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645242971"/>
        <w:docPartObj>
          <w:docPartGallery w:val="Cover Pages"/>
          <w:docPartUnique/>
        </w:docPartObj>
      </w:sdtPr>
      <w:sdtEndPr>
        <w:rPr>
          <w:rFonts w:cs="Arial"/>
        </w:rPr>
      </w:sdtEndPr>
      <w:sdtContent>
        <w:p w:rsidR="00707A1C" w:rsidRDefault="00662A61">
          <w:r>
            <w:rPr>
              <w:noProof/>
              <w:lang w:val="es-CO" w:eastAsia="es-CO"/>
            </w:rPr>
            <w:drawing>
              <wp:anchor distT="0" distB="0" distL="114300" distR="114300" simplePos="0" relativeHeight="251741696" behindDoc="0" locked="0" layoutInCell="1" allowOverlap="1" wp14:anchorId="18DCE6F0" wp14:editId="459F6AE2">
                <wp:simplePos x="0" y="0"/>
                <wp:positionH relativeFrom="column">
                  <wp:posOffset>-1085850</wp:posOffset>
                </wp:positionH>
                <wp:positionV relativeFrom="paragraph">
                  <wp:posOffset>-1515110</wp:posOffset>
                </wp:positionV>
                <wp:extent cx="7772400" cy="10058699"/>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rtada-Informe-de-Gestión-2017.jpg"/>
                        <pic:cNvPicPr/>
                      </pic:nvPicPr>
                      <pic:blipFill>
                        <a:blip r:embed="rId9">
                          <a:extLst>
                            <a:ext uri="{28A0092B-C50C-407E-A947-70E740481C1C}">
                              <a14:useLocalDpi xmlns:a14="http://schemas.microsoft.com/office/drawing/2010/main" val="0"/>
                            </a:ext>
                          </a:extLst>
                        </a:blip>
                        <a:stretch>
                          <a:fillRect/>
                        </a:stretch>
                      </pic:blipFill>
                      <pic:spPr>
                        <a:xfrm>
                          <a:off x="0" y="0"/>
                          <a:ext cx="7772400" cy="10058699"/>
                        </a:xfrm>
                        <a:prstGeom prst="rect">
                          <a:avLst/>
                        </a:prstGeom>
                      </pic:spPr>
                    </pic:pic>
                  </a:graphicData>
                </a:graphic>
                <wp14:sizeRelH relativeFrom="page">
                  <wp14:pctWidth>0</wp14:pctWidth>
                </wp14:sizeRelH>
                <wp14:sizeRelV relativeFrom="page">
                  <wp14:pctHeight>0</wp14:pctHeight>
                </wp14:sizeRelV>
              </wp:anchor>
            </w:drawing>
          </w: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5C7C7E" w:rsidRDefault="005C7C7E">
          <w:pPr>
            <w:spacing w:after="0" w:line="240" w:lineRule="auto"/>
            <w:rPr>
              <w:rFonts w:cs="Arial"/>
            </w:rPr>
          </w:pPr>
        </w:p>
        <w:p w:rsidR="00707A1C" w:rsidRDefault="00707A1C">
          <w:pPr>
            <w:spacing w:after="0" w:line="240" w:lineRule="auto"/>
            <w:rPr>
              <w:rFonts w:cs="Arial"/>
            </w:rPr>
          </w:pPr>
          <w:r>
            <w:rPr>
              <w:rFonts w:cs="Arial"/>
              <w:b/>
              <w:noProof/>
              <w:lang w:val="es-CO" w:eastAsia="es-CO"/>
            </w:rPr>
            <w:drawing>
              <wp:anchor distT="0" distB="0" distL="114300" distR="114300" simplePos="0" relativeHeight="251660800" behindDoc="0" locked="0" layoutInCell="1" allowOverlap="1" wp14:anchorId="75E57D75" wp14:editId="000AF8C1">
                <wp:simplePos x="0" y="0"/>
                <wp:positionH relativeFrom="column">
                  <wp:posOffset>5314950</wp:posOffset>
                </wp:positionH>
                <wp:positionV relativeFrom="paragraph">
                  <wp:posOffset>7362190</wp:posOffset>
                </wp:positionV>
                <wp:extent cx="1050290" cy="471805"/>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Pr="00D0772B">
            <w:rPr>
              <w:noProof/>
              <w:lang w:val="es-CO" w:eastAsia="es-CO"/>
            </w:rPr>
            <w:drawing>
              <wp:anchor distT="0" distB="0" distL="114300" distR="114300" simplePos="0" relativeHeight="251656704" behindDoc="0" locked="0" layoutInCell="1" allowOverlap="1" wp14:anchorId="3FF5B258" wp14:editId="4FC7B695">
                <wp:simplePos x="0" y="0"/>
                <wp:positionH relativeFrom="column">
                  <wp:posOffset>-542925</wp:posOffset>
                </wp:positionH>
                <wp:positionV relativeFrom="paragraph">
                  <wp:posOffset>7223760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21A72" w:rsidRPr="00707394" w:rsidRDefault="00321A72" w:rsidP="00321A72">
      <w:pPr>
        <w:spacing w:after="0" w:line="240" w:lineRule="auto"/>
        <w:jc w:val="center"/>
        <w:rPr>
          <w:rFonts w:cs="Arial"/>
          <w:b/>
        </w:rPr>
      </w:pPr>
      <w:r>
        <w:rPr>
          <w:rFonts w:cs="Arial"/>
          <w:b/>
          <w:noProof/>
          <w:sz w:val="20"/>
          <w:szCs w:val="20"/>
          <w:lang w:val="es-CO" w:eastAsia="es-CO"/>
        </w:rPr>
        <w:lastRenderedPageBreak/>
        <mc:AlternateContent>
          <mc:Choice Requires="wps">
            <w:drawing>
              <wp:anchor distT="0" distB="0" distL="114300" distR="114300" simplePos="0" relativeHeight="251683328" behindDoc="0" locked="0" layoutInCell="1" allowOverlap="1" wp14:anchorId="3BB446B9" wp14:editId="0E0A03D2">
                <wp:simplePos x="0" y="0"/>
                <wp:positionH relativeFrom="margin">
                  <wp:posOffset>6386830</wp:posOffset>
                </wp:positionH>
                <wp:positionV relativeFrom="paragraph">
                  <wp:posOffset>191770</wp:posOffset>
                </wp:positionV>
                <wp:extent cx="1267460" cy="594360"/>
                <wp:effectExtent l="127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280" w:rsidRPr="004172E3" w:rsidRDefault="00EF5280"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446B9" id="_x0000_t202" coordsize="21600,21600" o:spt="202" path="m,l,21600r21600,l21600,xe">
                <v:stroke joinstyle="miter"/>
                <v:path gradientshapeok="t" o:connecttype="rect"/>
              </v:shapetype>
              <v:shape id="Cuadro de texto 3" o:spid="_x0000_s1026" type="#_x0000_t202" style="position:absolute;left:0;text-align:left;margin-left:502.9pt;margin-top:15.1pt;width:99.8pt;height:46.8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f4uAIAAMA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" filled="f" stroked="f">
                <v:textbox>
                  <w:txbxContent>
                    <w:p w:rsidR="00EF5280" w:rsidRPr="004172E3" w:rsidRDefault="00EF5280" w:rsidP="00321A72">
                      <w:pPr>
                        <w:jc w:val="center"/>
                        <w:rPr>
                          <w:rFonts w:cs="Arial"/>
                          <w:b/>
                          <w:color w:val="FFFFFF" w:themeColor="background1"/>
                          <w:sz w:val="72"/>
                          <w:szCs w:val="96"/>
                        </w:rPr>
                      </w:pPr>
                      <w:r w:rsidRPr="004172E3">
                        <w:rPr>
                          <w:rFonts w:cs="Arial"/>
                          <w:b/>
                          <w:color w:val="FFFFFF" w:themeColor="background1"/>
                          <w:sz w:val="72"/>
                          <w:szCs w:val="96"/>
                        </w:rPr>
                        <w:t>201</w:t>
                      </w:r>
                      <w:r>
                        <w:rPr>
                          <w:rFonts w:cs="Arial"/>
                          <w:b/>
                          <w:color w:val="FFFFFF" w:themeColor="background1"/>
                          <w:sz w:val="72"/>
                          <w:szCs w:val="96"/>
                        </w:rPr>
                        <w:t>4</w:t>
                      </w:r>
                    </w:p>
                  </w:txbxContent>
                </v:textbox>
                <w10:wrap anchorx="margin"/>
              </v:shape>
            </w:pict>
          </mc:Fallback>
        </mc:AlternateContent>
      </w:r>
      <w:r w:rsidR="00EF6210">
        <w:rPr>
          <w:rFonts w:cs="Arial"/>
          <w:b/>
        </w:rPr>
        <w:t>D</w:t>
      </w:r>
      <w:r w:rsidRPr="00707394">
        <w:rPr>
          <w:rFonts w:cs="Arial"/>
          <w:b/>
        </w:rPr>
        <w:t xml:space="preserve">IRECTIVOS </w:t>
      </w:r>
    </w:p>
    <w:p w:rsidR="00321A72" w:rsidRDefault="00321A72" w:rsidP="00321A72">
      <w:pPr>
        <w:tabs>
          <w:tab w:val="left" w:pos="5415"/>
          <w:tab w:val="left" w:pos="6305"/>
        </w:tabs>
        <w:spacing w:after="0" w:line="240" w:lineRule="auto"/>
        <w:jc w:val="center"/>
        <w:rPr>
          <w:rFonts w:cs="Arial"/>
          <w:b/>
          <w:bCs/>
        </w:rPr>
      </w:pPr>
    </w:p>
    <w:p w:rsidR="00321A72" w:rsidRPr="00F97A74" w:rsidRDefault="00321A72" w:rsidP="00321A72">
      <w:pPr>
        <w:tabs>
          <w:tab w:val="left" w:pos="5415"/>
          <w:tab w:val="left" w:pos="6305"/>
        </w:tabs>
        <w:spacing w:after="0" w:line="240" w:lineRule="auto"/>
        <w:jc w:val="center"/>
        <w:rPr>
          <w:rFonts w:cs="Arial"/>
          <w:b/>
          <w:bCs/>
        </w:rPr>
      </w:pPr>
    </w:p>
    <w:p w:rsidR="00321A72" w:rsidRPr="00F97A74" w:rsidRDefault="00321A72" w:rsidP="00321A72">
      <w:pPr>
        <w:pStyle w:val="Encabezado"/>
        <w:jc w:val="center"/>
        <w:rPr>
          <w:rFonts w:cs="Arial"/>
          <w:bCs/>
          <w:color w:val="000000"/>
          <w:shd w:val="clear" w:color="auto" w:fill="FFFFFF"/>
        </w:rPr>
      </w:pPr>
      <w:r w:rsidRPr="00F97A74">
        <w:rPr>
          <w:rFonts w:cs="Arial"/>
          <w:bCs/>
          <w:color w:val="000000"/>
          <w:shd w:val="clear" w:color="auto" w:fill="FFFFFF"/>
        </w:rPr>
        <w:t>Cristina Plazas Michelsen.</w:t>
      </w:r>
    </w:p>
    <w:p w:rsidR="00321A72" w:rsidRPr="00F97A74" w:rsidRDefault="00321A72" w:rsidP="00321A72">
      <w:pPr>
        <w:pStyle w:val="Encabezado"/>
        <w:jc w:val="center"/>
        <w:rPr>
          <w:rFonts w:cs="Arial"/>
        </w:rPr>
      </w:pPr>
      <w:r w:rsidRPr="00F97A74">
        <w:rPr>
          <w:rFonts w:cs="Arial"/>
          <w:b/>
          <w:bCs/>
          <w:color w:val="000000"/>
          <w:shd w:val="clear" w:color="auto" w:fill="FFFFFF"/>
        </w:rPr>
        <w:t>Dir</w:t>
      </w:r>
      <w:r w:rsidR="00EF6210">
        <w:rPr>
          <w:rFonts w:cs="Arial"/>
          <w:b/>
          <w:bCs/>
          <w:color w:val="000000"/>
          <w:shd w:val="clear" w:color="auto" w:fill="FFFFFF"/>
        </w:rPr>
        <w:t>e</w:t>
      </w:r>
      <w:r w:rsidRPr="00F97A74">
        <w:rPr>
          <w:rFonts w:cs="Arial"/>
          <w:b/>
          <w:bCs/>
          <w:color w:val="000000"/>
          <w:shd w:val="clear" w:color="auto" w:fill="FFFFFF"/>
        </w:rPr>
        <w:t>ctora General</w:t>
      </w:r>
    </w:p>
    <w:tbl>
      <w:tblPr>
        <w:tblW w:w="9180" w:type="dxa"/>
        <w:jc w:val="center"/>
        <w:tblLook w:val="04A0" w:firstRow="1" w:lastRow="0" w:firstColumn="1" w:lastColumn="0" w:noHBand="0" w:noVBand="1"/>
      </w:tblPr>
      <w:tblGrid>
        <w:gridCol w:w="4322"/>
        <w:gridCol w:w="4858"/>
      </w:tblGrid>
      <w:tr w:rsidR="00321A72" w:rsidRPr="00F97A74" w:rsidTr="003B27AF">
        <w:trPr>
          <w:trHeight w:val="9421"/>
          <w:jc w:val="center"/>
        </w:trPr>
        <w:tc>
          <w:tcPr>
            <w:tcW w:w="4322" w:type="dxa"/>
          </w:tcPr>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Default="00321A72" w:rsidP="003B27AF">
            <w:pPr>
              <w:autoSpaceDE w:val="0"/>
              <w:autoSpaceDN w:val="0"/>
              <w:adjustRightInd w:val="0"/>
              <w:spacing w:after="0" w:line="240" w:lineRule="auto"/>
              <w:jc w:val="center"/>
              <w:rPr>
                <w:rFonts w:cs="Arial"/>
                <w:sz w:val="20"/>
                <w:szCs w:val="20"/>
              </w:rPr>
            </w:pPr>
          </w:p>
          <w:p w:rsidR="00321A72" w:rsidRDefault="00321A72" w:rsidP="003B27AF">
            <w:pPr>
              <w:autoSpaceDE w:val="0"/>
              <w:autoSpaceDN w:val="0"/>
              <w:adjustRightInd w:val="0"/>
              <w:spacing w:after="0" w:line="240" w:lineRule="auto"/>
              <w:jc w:val="center"/>
              <w:rPr>
                <w:rFonts w:cs="Arial"/>
                <w:sz w:val="20"/>
                <w:szCs w:val="20"/>
              </w:rPr>
            </w:pPr>
            <w:r w:rsidRPr="00AB5F30">
              <w:rPr>
                <w:rFonts w:cs="Arial"/>
                <w:sz w:val="20"/>
                <w:szCs w:val="20"/>
              </w:rPr>
              <w:t xml:space="preserve">Margarita Barraquer Sourdis </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Subdirector</w:t>
            </w:r>
            <w:r>
              <w:rPr>
                <w:rFonts w:cs="Arial"/>
                <w:b/>
                <w:sz w:val="20"/>
                <w:szCs w:val="20"/>
              </w:rPr>
              <w:t>a</w:t>
            </w:r>
            <w:r w:rsidRPr="00707394">
              <w:rPr>
                <w:rFonts w:cs="Arial"/>
                <w:b/>
                <w:sz w:val="20"/>
                <w:szCs w:val="20"/>
              </w:rPr>
              <w:t xml:space="preserve"> General</w:t>
            </w:r>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40F6A" w:rsidP="003B27AF">
            <w:pPr>
              <w:autoSpaceDE w:val="0"/>
              <w:autoSpaceDN w:val="0"/>
              <w:adjustRightInd w:val="0"/>
              <w:spacing w:after="0" w:line="240" w:lineRule="auto"/>
              <w:jc w:val="center"/>
              <w:rPr>
                <w:rFonts w:cs="Arial"/>
                <w:color w:val="000000"/>
                <w:sz w:val="20"/>
                <w:szCs w:val="20"/>
              </w:rPr>
            </w:pPr>
            <w:r>
              <w:rPr>
                <w:rFonts w:cs="Arial"/>
                <w:color w:val="000000"/>
                <w:sz w:val="20"/>
                <w:szCs w:val="20"/>
              </w:rPr>
              <w:t>Martha Yolanda Ciro</w:t>
            </w:r>
            <w:r w:rsidR="003410F3">
              <w:rPr>
                <w:rFonts w:cs="Arial"/>
                <w:color w:val="000000"/>
                <w:sz w:val="20"/>
                <w:szCs w:val="20"/>
              </w:rPr>
              <w:t xml:space="preserve"> </w:t>
            </w:r>
            <w:r w:rsidR="002E4FDF">
              <w:rPr>
                <w:rFonts w:cs="Arial"/>
                <w:color w:val="000000"/>
                <w:sz w:val="20"/>
                <w:szCs w:val="20"/>
              </w:rPr>
              <w:t>Flórez</w:t>
            </w:r>
          </w:p>
          <w:p w:rsidR="00321A72" w:rsidRPr="00707394" w:rsidRDefault="00321A72" w:rsidP="003B27AF">
            <w:pPr>
              <w:autoSpaceDE w:val="0"/>
              <w:autoSpaceDN w:val="0"/>
              <w:adjustRightInd w:val="0"/>
              <w:spacing w:after="0" w:line="240" w:lineRule="auto"/>
              <w:jc w:val="center"/>
              <w:rPr>
                <w:rFonts w:cs="Arial"/>
                <w:b/>
                <w:bCs/>
                <w:sz w:val="20"/>
                <w:szCs w:val="20"/>
              </w:rPr>
            </w:pPr>
            <w:r w:rsidRPr="00707394">
              <w:rPr>
                <w:rFonts w:cs="Arial"/>
                <w:b/>
                <w:bCs/>
                <w:sz w:val="20"/>
                <w:szCs w:val="20"/>
              </w:rPr>
              <w:t>Secretaria General</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C92672" w:rsidP="003B27AF">
            <w:pPr>
              <w:autoSpaceDE w:val="0"/>
              <w:autoSpaceDN w:val="0"/>
              <w:adjustRightInd w:val="0"/>
              <w:spacing w:after="0" w:line="240" w:lineRule="auto"/>
              <w:jc w:val="center"/>
              <w:rPr>
                <w:rFonts w:cs="Arial"/>
                <w:sz w:val="20"/>
                <w:szCs w:val="20"/>
              </w:rPr>
            </w:pPr>
            <w:r>
              <w:rPr>
                <w:rFonts w:cs="Arial"/>
                <w:sz w:val="20"/>
                <w:szCs w:val="20"/>
              </w:rPr>
              <w:t xml:space="preserve">Juan Carlos </w:t>
            </w:r>
            <w:r w:rsidR="00602EC7">
              <w:rPr>
                <w:rFonts w:cs="Arial"/>
                <w:sz w:val="20"/>
                <w:szCs w:val="20"/>
              </w:rPr>
              <w:t>Buitrago Ortiz</w:t>
            </w:r>
          </w:p>
          <w:p w:rsidR="00321A72" w:rsidRPr="00707394" w:rsidRDefault="00EA5B7A" w:rsidP="003B27AF">
            <w:pPr>
              <w:autoSpaceDE w:val="0"/>
              <w:autoSpaceDN w:val="0"/>
              <w:adjustRightInd w:val="0"/>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Primera Infancia</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C92672" w:rsidRPr="00C92672" w:rsidRDefault="00C92672" w:rsidP="003B27AF">
            <w:pPr>
              <w:autoSpaceDE w:val="0"/>
              <w:autoSpaceDN w:val="0"/>
              <w:adjustRightInd w:val="0"/>
              <w:spacing w:after="0" w:line="240" w:lineRule="auto"/>
              <w:jc w:val="center"/>
              <w:rPr>
                <w:rFonts w:cs="Arial"/>
                <w:sz w:val="20"/>
                <w:szCs w:val="20"/>
              </w:rPr>
            </w:pPr>
            <w:r>
              <w:rPr>
                <w:rFonts w:cs="Arial"/>
                <w:sz w:val="20"/>
                <w:szCs w:val="20"/>
              </w:rPr>
              <w:t>Cristina Venegas</w:t>
            </w:r>
            <w:r w:rsidR="003410F3">
              <w:rPr>
                <w:rFonts w:cs="Arial"/>
                <w:sz w:val="20"/>
                <w:szCs w:val="20"/>
              </w:rPr>
              <w:t xml:space="preserve"> Fajardo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EA5B7A">
              <w:rPr>
                <w:rFonts w:cs="Arial"/>
                <w:b/>
                <w:sz w:val="20"/>
                <w:szCs w:val="20"/>
              </w:rPr>
              <w:t>a</w:t>
            </w:r>
            <w:r w:rsidRPr="00707394">
              <w:rPr>
                <w:rFonts w:cs="Arial"/>
                <w:b/>
                <w:sz w:val="20"/>
                <w:szCs w:val="20"/>
              </w:rPr>
              <w:t xml:space="preserve"> de Niñez y Adolescencia</w:t>
            </w:r>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410F3" w:rsidP="003B27AF">
            <w:pPr>
              <w:autoSpaceDE w:val="0"/>
              <w:autoSpaceDN w:val="0"/>
              <w:adjustRightInd w:val="0"/>
              <w:spacing w:after="0" w:line="240" w:lineRule="auto"/>
              <w:jc w:val="center"/>
              <w:rPr>
                <w:rFonts w:cs="Arial"/>
                <w:sz w:val="20"/>
                <w:szCs w:val="20"/>
              </w:rPr>
            </w:pPr>
            <w:r w:rsidRPr="003410F3">
              <w:rPr>
                <w:rFonts w:cs="Arial"/>
                <w:sz w:val="20"/>
                <w:szCs w:val="20"/>
              </w:rPr>
              <w:t>Martha Yaneth Giraldo</w:t>
            </w:r>
            <w:r>
              <w:rPr>
                <w:rFonts w:cs="Arial"/>
                <w:sz w:val="20"/>
                <w:szCs w:val="20"/>
              </w:rPr>
              <w:t xml:space="preserve"> Alfaro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EA5B7A">
              <w:rPr>
                <w:rFonts w:cs="Arial"/>
                <w:b/>
                <w:sz w:val="20"/>
                <w:szCs w:val="20"/>
              </w:rPr>
              <w:t>a</w:t>
            </w:r>
            <w:r w:rsidRPr="00707394">
              <w:rPr>
                <w:rFonts w:cs="Arial"/>
                <w:b/>
                <w:sz w:val="20"/>
                <w:szCs w:val="20"/>
              </w:rPr>
              <w:t xml:space="preserve"> de Familia y Comunidades</w:t>
            </w:r>
            <w:r w:rsidR="003410F3">
              <w:rPr>
                <w:rFonts w:cs="Arial"/>
                <w:b/>
                <w:sz w:val="20"/>
                <w:szCs w:val="20"/>
              </w:rPr>
              <w:t xml:space="preserve"> </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410F3" w:rsidRPr="003410F3" w:rsidRDefault="003410F3" w:rsidP="003B27AF">
            <w:pPr>
              <w:autoSpaceDE w:val="0"/>
              <w:autoSpaceDN w:val="0"/>
              <w:adjustRightInd w:val="0"/>
              <w:spacing w:after="0" w:line="240" w:lineRule="auto"/>
              <w:jc w:val="center"/>
              <w:rPr>
                <w:rFonts w:cs="Arial"/>
                <w:sz w:val="20"/>
                <w:szCs w:val="20"/>
              </w:rPr>
            </w:pPr>
            <w:r>
              <w:rPr>
                <w:rFonts w:cs="Arial"/>
                <w:sz w:val="20"/>
                <w:szCs w:val="20"/>
              </w:rPr>
              <w:t>Alejandro Gómez López</w:t>
            </w:r>
          </w:p>
          <w:p w:rsidR="00321A72" w:rsidRPr="00707394" w:rsidRDefault="00EA5B7A" w:rsidP="003B27AF">
            <w:pPr>
              <w:autoSpaceDE w:val="0"/>
              <w:autoSpaceDN w:val="0"/>
              <w:adjustRightInd w:val="0"/>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Nutrición</w:t>
            </w:r>
          </w:p>
          <w:p w:rsidR="00321A72" w:rsidRPr="00707394" w:rsidRDefault="00321A72" w:rsidP="003B27AF">
            <w:pPr>
              <w:spacing w:after="0" w:line="240" w:lineRule="auto"/>
              <w:jc w:val="center"/>
              <w:rPr>
                <w:rFonts w:cs="Arial"/>
                <w:b/>
                <w:smallCaps/>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Ana María Fergusson Talero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Protección</w:t>
            </w:r>
          </w:p>
          <w:p w:rsidR="00321A72" w:rsidRPr="00707394" w:rsidRDefault="00321A72" w:rsidP="003B27AF">
            <w:pPr>
              <w:autoSpaceDE w:val="0"/>
              <w:autoSpaceDN w:val="0"/>
              <w:adjustRightInd w:val="0"/>
              <w:spacing w:after="0" w:line="240" w:lineRule="auto"/>
              <w:jc w:val="center"/>
              <w:rPr>
                <w:rFonts w:cs="Arial"/>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Juan Carlos Bolívar López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Planeación y Control de la Gestión</w:t>
            </w:r>
          </w:p>
          <w:p w:rsidR="00321A72" w:rsidRPr="00707394" w:rsidRDefault="00321A72" w:rsidP="003B27AF">
            <w:pPr>
              <w:autoSpaceDE w:val="0"/>
              <w:autoSpaceDN w:val="0"/>
              <w:adjustRightInd w:val="0"/>
              <w:spacing w:after="0" w:line="240" w:lineRule="auto"/>
              <w:jc w:val="center"/>
              <w:rPr>
                <w:rFonts w:cs="Arial"/>
                <w:b/>
                <w:sz w:val="20"/>
                <w:szCs w:val="20"/>
                <w:highlight w:val="yellow"/>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Pedro Quijano Samper</w:t>
            </w:r>
          </w:p>
          <w:p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Director </w:t>
            </w:r>
            <w:r w:rsidRPr="00707394">
              <w:rPr>
                <w:rFonts w:cs="Arial"/>
                <w:b/>
                <w:sz w:val="20"/>
                <w:szCs w:val="20"/>
              </w:rPr>
              <w:t>Sistema Nacional de Bienest</w:t>
            </w:r>
            <w:r>
              <w:rPr>
                <w:rFonts w:cs="Arial"/>
                <w:b/>
                <w:sz w:val="20"/>
                <w:szCs w:val="20"/>
              </w:rPr>
              <w:t>ar Familiar y Gestión Regional</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3410F3">
              <w:rPr>
                <w:rFonts w:cs="Arial"/>
                <w:sz w:val="20"/>
                <w:szCs w:val="20"/>
              </w:rPr>
              <w:t xml:space="preserve">Luz Karime </w:t>
            </w:r>
            <w:r w:rsidR="009610A6" w:rsidRPr="003410F3">
              <w:rPr>
                <w:rFonts w:cs="Arial"/>
                <w:sz w:val="20"/>
                <w:szCs w:val="20"/>
              </w:rPr>
              <w:t>Fernández</w:t>
            </w:r>
            <w:r w:rsidRPr="003410F3">
              <w:rPr>
                <w:rFonts w:cs="Arial"/>
                <w:sz w:val="20"/>
                <w:szCs w:val="20"/>
              </w:rPr>
              <w:t xml:space="preserve"> Castillo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Asesora Jurídica</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C92672" w:rsidP="003B27AF">
            <w:pPr>
              <w:autoSpaceDE w:val="0"/>
              <w:autoSpaceDN w:val="0"/>
              <w:adjustRightInd w:val="0"/>
              <w:spacing w:after="0" w:line="240" w:lineRule="auto"/>
              <w:jc w:val="center"/>
              <w:rPr>
                <w:rFonts w:cs="Arial"/>
                <w:sz w:val="20"/>
                <w:szCs w:val="20"/>
              </w:rPr>
            </w:pPr>
            <w:r>
              <w:rPr>
                <w:rFonts w:cs="Arial"/>
                <w:sz w:val="20"/>
                <w:szCs w:val="20"/>
              </w:rPr>
              <w:t>María Magdalena Forero Moreno</w:t>
            </w:r>
          </w:p>
          <w:p w:rsidR="00321A72" w:rsidRPr="00707394" w:rsidRDefault="00321A72" w:rsidP="003B27AF">
            <w:pPr>
              <w:autoSpaceDE w:val="0"/>
              <w:autoSpaceDN w:val="0"/>
              <w:adjustRightInd w:val="0"/>
              <w:spacing w:after="0" w:line="240" w:lineRule="auto"/>
              <w:jc w:val="center"/>
              <w:rPr>
                <w:rFonts w:cs="Arial"/>
                <w:sz w:val="20"/>
                <w:szCs w:val="20"/>
              </w:rPr>
            </w:pPr>
            <w:r>
              <w:rPr>
                <w:rFonts w:cs="Arial"/>
                <w:b/>
                <w:sz w:val="20"/>
                <w:szCs w:val="20"/>
              </w:rPr>
              <w:t xml:space="preserve">Jefe </w:t>
            </w:r>
            <w:r w:rsidRPr="00707394">
              <w:rPr>
                <w:rFonts w:cs="Arial"/>
                <w:b/>
                <w:sz w:val="20"/>
                <w:szCs w:val="20"/>
              </w:rPr>
              <w:t>Oficina Asesora de Comunicaciones</w:t>
            </w:r>
            <w:r w:rsidR="00C92672">
              <w:rPr>
                <w:rFonts w:cs="Arial"/>
                <w:b/>
                <w:sz w:val="20"/>
                <w:szCs w:val="20"/>
              </w:rPr>
              <w:t>(E)</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7F77CB" w:rsidP="003B27AF">
            <w:pPr>
              <w:autoSpaceDE w:val="0"/>
              <w:autoSpaceDN w:val="0"/>
              <w:adjustRightInd w:val="0"/>
              <w:spacing w:after="0" w:line="240" w:lineRule="auto"/>
              <w:jc w:val="center"/>
              <w:rPr>
                <w:rFonts w:cs="Arial"/>
                <w:sz w:val="20"/>
                <w:szCs w:val="20"/>
              </w:rPr>
            </w:pPr>
            <w:r>
              <w:rPr>
                <w:rFonts w:cs="Arial"/>
                <w:sz w:val="20"/>
                <w:szCs w:val="20"/>
              </w:rPr>
              <w:t>Héctor Germán Páramo Urrea</w:t>
            </w:r>
          </w:p>
          <w:p w:rsidR="00321A72" w:rsidRDefault="00602EC7" w:rsidP="003B27AF">
            <w:pPr>
              <w:spacing w:after="0" w:line="240" w:lineRule="auto"/>
              <w:jc w:val="center"/>
              <w:rPr>
                <w:rFonts w:cs="Arial"/>
                <w:b/>
                <w:sz w:val="20"/>
                <w:szCs w:val="20"/>
              </w:rPr>
            </w:pPr>
            <w:r>
              <w:rPr>
                <w:rFonts w:cs="Arial"/>
                <w:b/>
                <w:sz w:val="20"/>
                <w:szCs w:val="20"/>
              </w:rPr>
              <w:t>Director</w:t>
            </w:r>
            <w:r w:rsidR="00321A72" w:rsidRPr="00707394">
              <w:rPr>
                <w:rFonts w:cs="Arial"/>
                <w:b/>
                <w:sz w:val="20"/>
                <w:szCs w:val="20"/>
              </w:rPr>
              <w:t xml:space="preserve"> de Información y Tecnología</w:t>
            </w:r>
            <w:r w:rsidR="009610A6">
              <w:rPr>
                <w:rFonts w:cs="Arial"/>
                <w:b/>
                <w:sz w:val="20"/>
                <w:szCs w:val="20"/>
              </w:rPr>
              <w:t xml:space="preserve"> (</w:t>
            </w:r>
            <w:r w:rsidR="007F77CB">
              <w:rPr>
                <w:rFonts w:cs="Arial"/>
                <w:b/>
                <w:sz w:val="20"/>
                <w:szCs w:val="20"/>
              </w:rPr>
              <w:t>E)</w:t>
            </w:r>
          </w:p>
          <w:p w:rsidR="00321A72" w:rsidRDefault="00321A72" w:rsidP="003B27AF">
            <w:pPr>
              <w:spacing w:after="0" w:line="240" w:lineRule="auto"/>
              <w:jc w:val="center"/>
              <w:rPr>
                <w:rFonts w:cs="Arial"/>
                <w:b/>
                <w:sz w:val="20"/>
                <w:szCs w:val="20"/>
              </w:rPr>
            </w:pPr>
          </w:p>
          <w:p w:rsidR="003410F3" w:rsidRPr="00196FA4" w:rsidRDefault="003410F3" w:rsidP="003E778D">
            <w:pPr>
              <w:autoSpaceDE w:val="0"/>
              <w:autoSpaceDN w:val="0"/>
              <w:adjustRightInd w:val="0"/>
              <w:spacing w:after="0" w:line="240" w:lineRule="auto"/>
              <w:jc w:val="center"/>
              <w:rPr>
                <w:rFonts w:cs="Arial"/>
                <w:sz w:val="20"/>
                <w:szCs w:val="20"/>
              </w:rPr>
            </w:pPr>
            <w:r w:rsidRPr="00196FA4">
              <w:rPr>
                <w:rFonts w:cs="Arial"/>
                <w:sz w:val="20"/>
                <w:szCs w:val="20"/>
              </w:rPr>
              <w:t>Flor Alicia Rojas Aguilar</w:t>
            </w:r>
          </w:p>
          <w:p w:rsidR="00C92672" w:rsidRPr="00707394" w:rsidRDefault="00321A72" w:rsidP="009610A6">
            <w:pPr>
              <w:autoSpaceDE w:val="0"/>
              <w:autoSpaceDN w:val="0"/>
              <w:adjustRightInd w:val="0"/>
              <w:spacing w:after="0" w:line="240" w:lineRule="auto"/>
              <w:jc w:val="center"/>
              <w:rPr>
                <w:rFonts w:cs="Arial"/>
                <w:sz w:val="20"/>
                <w:szCs w:val="20"/>
                <w:highlight w:val="yellow"/>
              </w:rPr>
            </w:pPr>
            <w:r w:rsidRPr="00707394">
              <w:rPr>
                <w:rFonts w:cs="Arial"/>
                <w:b/>
                <w:sz w:val="20"/>
                <w:szCs w:val="20"/>
              </w:rPr>
              <w:t>Jefe Oficina de Control Interno</w:t>
            </w:r>
            <w:r w:rsidR="009610A6">
              <w:rPr>
                <w:rFonts w:cs="Arial"/>
                <w:b/>
                <w:sz w:val="20"/>
                <w:szCs w:val="20"/>
              </w:rPr>
              <w:t xml:space="preserve"> (</w:t>
            </w:r>
            <w:r w:rsidR="00552C4D">
              <w:rPr>
                <w:rFonts w:cs="Arial"/>
                <w:b/>
                <w:sz w:val="20"/>
                <w:szCs w:val="20"/>
              </w:rPr>
              <w:t>E</w:t>
            </w:r>
            <w:r w:rsidR="003410F3">
              <w:rPr>
                <w:rFonts w:cs="Arial"/>
                <w:b/>
                <w:sz w:val="20"/>
                <w:szCs w:val="20"/>
              </w:rPr>
              <w:t>)</w:t>
            </w:r>
          </w:p>
        </w:tc>
        <w:tc>
          <w:tcPr>
            <w:tcW w:w="4858" w:type="dxa"/>
          </w:tcPr>
          <w:p w:rsidR="00321A72" w:rsidRPr="00707394" w:rsidRDefault="00321A72" w:rsidP="003B27AF">
            <w:pPr>
              <w:autoSpaceDE w:val="0"/>
              <w:autoSpaceDN w:val="0"/>
              <w:adjustRightInd w:val="0"/>
              <w:spacing w:after="0" w:line="240" w:lineRule="auto"/>
              <w:jc w:val="center"/>
              <w:rPr>
                <w:rFonts w:cs="Arial"/>
                <w:b/>
                <w:sz w:val="20"/>
                <w:szCs w:val="20"/>
              </w:rPr>
            </w:pPr>
          </w:p>
          <w:p w:rsidR="00321A72" w:rsidRDefault="00321A72" w:rsidP="003B27AF">
            <w:pPr>
              <w:autoSpaceDE w:val="0"/>
              <w:autoSpaceDN w:val="0"/>
              <w:adjustRightInd w:val="0"/>
              <w:spacing w:after="0" w:line="240" w:lineRule="auto"/>
              <w:jc w:val="center"/>
              <w:rPr>
                <w:rFonts w:cs="Arial"/>
                <w:color w:val="000000"/>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Maria Magdalena Forero Moreno</w:t>
            </w:r>
          </w:p>
          <w:p w:rsidR="00321A72"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Cooperación y Convenios</w:t>
            </w:r>
          </w:p>
          <w:p w:rsidR="00321A72" w:rsidRDefault="00321A72" w:rsidP="003B27AF">
            <w:pPr>
              <w:spacing w:after="0" w:line="240" w:lineRule="auto"/>
              <w:jc w:val="center"/>
              <w:rPr>
                <w:rFonts w:cs="Arial"/>
                <w:sz w:val="20"/>
                <w:szCs w:val="20"/>
                <w:highlight w:val="yellow"/>
              </w:rPr>
            </w:pPr>
          </w:p>
          <w:p w:rsidR="003410F3" w:rsidRPr="007F77CB" w:rsidRDefault="003410F3" w:rsidP="003B27AF">
            <w:pPr>
              <w:autoSpaceDE w:val="0"/>
              <w:autoSpaceDN w:val="0"/>
              <w:adjustRightInd w:val="0"/>
              <w:spacing w:after="0" w:line="240" w:lineRule="auto"/>
              <w:jc w:val="center"/>
              <w:rPr>
                <w:rFonts w:cs="Arial"/>
                <w:sz w:val="20"/>
                <w:szCs w:val="20"/>
              </w:rPr>
            </w:pPr>
            <w:r w:rsidRPr="007F77CB">
              <w:rPr>
                <w:rFonts w:cs="Arial"/>
                <w:sz w:val="20"/>
                <w:szCs w:val="20"/>
              </w:rPr>
              <w:t>Cecilia Lorena Barraza Morelle</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 de Gestión Regional</w:t>
            </w:r>
          </w:p>
          <w:p w:rsidR="00321A72" w:rsidRDefault="00321A72" w:rsidP="003B27AF">
            <w:pPr>
              <w:autoSpaceDE w:val="0"/>
              <w:autoSpaceDN w:val="0"/>
              <w:adjustRightInd w:val="0"/>
              <w:spacing w:after="0" w:line="240" w:lineRule="auto"/>
              <w:jc w:val="center"/>
              <w:rPr>
                <w:rFonts w:cs="Arial"/>
                <w:sz w:val="20"/>
                <w:szCs w:val="20"/>
              </w:rPr>
            </w:pPr>
          </w:p>
          <w:p w:rsidR="003410F3" w:rsidRDefault="00A348B7" w:rsidP="003B27AF">
            <w:pPr>
              <w:autoSpaceDE w:val="0"/>
              <w:autoSpaceDN w:val="0"/>
              <w:adjustRightInd w:val="0"/>
              <w:spacing w:after="0" w:line="240" w:lineRule="auto"/>
              <w:jc w:val="center"/>
              <w:rPr>
                <w:rFonts w:cs="Arial"/>
                <w:sz w:val="20"/>
                <w:szCs w:val="20"/>
              </w:rPr>
            </w:pPr>
            <w:r>
              <w:rPr>
                <w:rFonts w:cs="Arial"/>
                <w:sz w:val="20"/>
                <w:szCs w:val="20"/>
              </w:rPr>
              <w:t>Carlos Enrique Garzón Gómez</w:t>
            </w:r>
          </w:p>
          <w:p w:rsidR="00321A72" w:rsidRPr="00707394" w:rsidRDefault="003410F3" w:rsidP="003B27AF">
            <w:pPr>
              <w:autoSpaceDE w:val="0"/>
              <w:autoSpaceDN w:val="0"/>
              <w:adjustRightInd w:val="0"/>
              <w:spacing w:after="0" w:line="240" w:lineRule="auto"/>
              <w:jc w:val="center"/>
              <w:rPr>
                <w:rFonts w:cs="Arial"/>
                <w:b/>
                <w:sz w:val="20"/>
                <w:szCs w:val="20"/>
              </w:rPr>
            </w:pPr>
            <w:r>
              <w:rPr>
                <w:rFonts w:cs="Arial"/>
                <w:b/>
                <w:sz w:val="20"/>
                <w:szCs w:val="20"/>
              </w:rPr>
              <w:t>Dire</w:t>
            </w:r>
            <w:r w:rsidR="00321A72" w:rsidRPr="00707394">
              <w:rPr>
                <w:rFonts w:cs="Arial"/>
                <w:b/>
                <w:sz w:val="20"/>
                <w:szCs w:val="20"/>
              </w:rPr>
              <w:t>ctor de Gestión Humana</w:t>
            </w:r>
          </w:p>
          <w:p w:rsidR="00321A72" w:rsidRDefault="00321A72" w:rsidP="003B27AF">
            <w:pPr>
              <w:autoSpaceDE w:val="0"/>
              <w:autoSpaceDN w:val="0"/>
              <w:adjustRightInd w:val="0"/>
              <w:spacing w:after="0" w:line="240" w:lineRule="auto"/>
              <w:jc w:val="center"/>
              <w:rPr>
                <w:rFonts w:cs="Arial"/>
                <w:sz w:val="20"/>
                <w:szCs w:val="20"/>
              </w:rPr>
            </w:pPr>
          </w:p>
          <w:p w:rsidR="00321A72" w:rsidRPr="00707394" w:rsidRDefault="00A348B7" w:rsidP="003B27AF">
            <w:pPr>
              <w:autoSpaceDE w:val="0"/>
              <w:autoSpaceDN w:val="0"/>
              <w:adjustRightInd w:val="0"/>
              <w:spacing w:after="0" w:line="240" w:lineRule="auto"/>
              <w:jc w:val="center"/>
              <w:rPr>
                <w:rFonts w:cs="Arial"/>
                <w:sz w:val="20"/>
                <w:szCs w:val="20"/>
              </w:rPr>
            </w:pPr>
            <w:r>
              <w:rPr>
                <w:rFonts w:cs="Arial"/>
                <w:sz w:val="20"/>
                <w:szCs w:val="20"/>
              </w:rPr>
              <w:t>Fabian Elias  Paternina Martínez</w:t>
            </w:r>
          </w:p>
          <w:p w:rsidR="00321A72" w:rsidRPr="00707394" w:rsidRDefault="00321A72" w:rsidP="003B27AF">
            <w:pPr>
              <w:autoSpaceDE w:val="0"/>
              <w:autoSpaceDN w:val="0"/>
              <w:adjustRightInd w:val="0"/>
              <w:spacing w:after="0" w:line="240" w:lineRule="auto"/>
              <w:jc w:val="center"/>
              <w:rPr>
                <w:rFonts w:cs="Arial"/>
                <w:b/>
                <w:sz w:val="20"/>
                <w:szCs w:val="20"/>
              </w:rPr>
            </w:pPr>
            <w:r>
              <w:rPr>
                <w:rFonts w:cs="Arial"/>
                <w:b/>
                <w:sz w:val="20"/>
                <w:szCs w:val="20"/>
              </w:rPr>
              <w:t>Director</w:t>
            </w:r>
            <w:r w:rsidRPr="00707394">
              <w:rPr>
                <w:rFonts w:cs="Arial"/>
                <w:b/>
                <w:sz w:val="20"/>
                <w:szCs w:val="20"/>
              </w:rPr>
              <w:t xml:space="preserve"> </w:t>
            </w:r>
            <w:r>
              <w:rPr>
                <w:rFonts w:cs="Arial"/>
                <w:b/>
                <w:sz w:val="20"/>
                <w:szCs w:val="20"/>
              </w:rPr>
              <w:t>Administrativo</w:t>
            </w:r>
          </w:p>
          <w:p w:rsidR="00321A72" w:rsidRDefault="00321A72" w:rsidP="003B27AF">
            <w:pPr>
              <w:autoSpaceDE w:val="0"/>
              <w:autoSpaceDN w:val="0"/>
              <w:adjustRightInd w:val="0"/>
              <w:spacing w:after="0" w:line="240" w:lineRule="auto"/>
              <w:jc w:val="center"/>
              <w:rPr>
                <w:rFonts w:cs="Arial"/>
                <w:b/>
                <w:bCs/>
                <w:sz w:val="20"/>
                <w:szCs w:val="20"/>
              </w:rPr>
            </w:pPr>
          </w:p>
          <w:p w:rsidR="00321A72" w:rsidRPr="003270FB" w:rsidRDefault="00A348B7" w:rsidP="003B27AF">
            <w:pPr>
              <w:autoSpaceDE w:val="0"/>
              <w:autoSpaceDN w:val="0"/>
              <w:adjustRightInd w:val="0"/>
              <w:spacing w:after="0" w:line="240" w:lineRule="auto"/>
              <w:jc w:val="center"/>
              <w:rPr>
                <w:rFonts w:cs="Arial"/>
                <w:bCs/>
                <w:sz w:val="20"/>
                <w:szCs w:val="20"/>
              </w:rPr>
            </w:pPr>
            <w:r>
              <w:rPr>
                <w:rFonts w:cs="Arial"/>
                <w:bCs/>
                <w:sz w:val="20"/>
                <w:szCs w:val="20"/>
              </w:rPr>
              <w:t>Martha Inés Estupiñan Estupiñan</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w:t>
            </w:r>
            <w:r w:rsidR="00602EC7">
              <w:rPr>
                <w:rFonts w:cs="Arial"/>
                <w:b/>
                <w:sz w:val="20"/>
                <w:szCs w:val="20"/>
              </w:rPr>
              <w:t>a Financiera</w:t>
            </w:r>
            <w:r w:rsidR="00E236EB">
              <w:rPr>
                <w:rFonts w:cs="Arial"/>
                <w:b/>
                <w:sz w:val="20"/>
                <w:szCs w:val="20"/>
              </w:rPr>
              <w:t xml:space="preserve"> (E)</w:t>
            </w:r>
          </w:p>
          <w:p w:rsidR="00321A72" w:rsidRPr="00707394" w:rsidRDefault="00321A72" w:rsidP="003B27AF">
            <w:pPr>
              <w:autoSpaceDE w:val="0"/>
              <w:autoSpaceDN w:val="0"/>
              <w:adjustRightInd w:val="0"/>
              <w:spacing w:after="0" w:line="240" w:lineRule="auto"/>
              <w:jc w:val="center"/>
              <w:rPr>
                <w:rFonts w:cs="Arial"/>
                <w:b/>
                <w:bCs/>
                <w:sz w:val="20"/>
                <w:szCs w:val="20"/>
              </w:rPr>
            </w:pPr>
          </w:p>
          <w:p w:rsidR="003410F3" w:rsidRPr="007F77CB" w:rsidRDefault="003410F3" w:rsidP="003B27AF">
            <w:pPr>
              <w:autoSpaceDE w:val="0"/>
              <w:autoSpaceDN w:val="0"/>
              <w:adjustRightInd w:val="0"/>
              <w:spacing w:after="0" w:line="240" w:lineRule="auto"/>
              <w:jc w:val="center"/>
              <w:rPr>
                <w:rFonts w:cs="Arial"/>
                <w:sz w:val="20"/>
                <w:szCs w:val="20"/>
              </w:rPr>
            </w:pPr>
            <w:r w:rsidRPr="007F77CB">
              <w:rPr>
                <w:rFonts w:cs="Arial"/>
                <w:sz w:val="20"/>
                <w:szCs w:val="20"/>
              </w:rPr>
              <w:t>Carolina Fajardo Triana</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 xml:space="preserve">Jefe </w:t>
            </w:r>
            <w:hyperlink r:id="rId12" w:history="1">
              <w:r w:rsidRPr="00707394">
                <w:rPr>
                  <w:rFonts w:cs="Arial"/>
                  <w:b/>
                  <w:sz w:val="20"/>
                  <w:szCs w:val="20"/>
                </w:rPr>
                <w:t>Oficina de Control Interno Disciplinario</w:t>
              </w:r>
            </w:hyperlink>
          </w:p>
          <w:p w:rsidR="00321A72" w:rsidRPr="00707394" w:rsidRDefault="00321A72" w:rsidP="003B27AF">
            <w:pPr>
              <w:autoSpaceDE w:val="0"/>
              <w:autoSpaceDN w:val="0"/>
              <w:adjustRightInd w:val="0"/>
              <w:spacing w:after="0" w:line="240" w:lineRule="auto"/>
              <w:jc w:val="center"/>
              <w:rPr>
                <w:rFonts w:cs="Arial"/>
                <w:b/>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Pr>
                <w:rFonts w:cs="Arial"/>
                <w:sz w:val="20"/>
                <w:szCs w:val="20"/>
              </w:rPr>
              <w:t>Catalina Pimienta Gómez</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Contratación</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Diana Marcela Velasco Rincón</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Directora de Servicios y Atención</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Jorge Mario Ríos Osorio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Director de Logística y Abastecimiento</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sz w:val="20"/>
                <w:szCs w:val="20"/>
              </w:rPr>
              <w:t>Janneth Moreno Romero</w:t>
            </w:r>
          </w:p>
          <w:p w:rsidR="00321A72" w:rsidRPr="00707394" w:rsidRDefault="00321A72" w:rsidP="003B27AF">
            <w:pPr>
              <w:autoSpaceDE w:val="0"/>
              <w:autoSpaceDN w:val="0"/>
              <w:adjustRightInd w:val="0"/>
              <w:spacing w:after="0" w:line="240" w:lineRule="auto"/>
              <w:jc w:val="center"/>
              <w:rPr>
                <w:rFonts w:cs="Arial"/>
                <w:b/>
                <w:sz w:val="20"/>
                <w:szCs w:val="20"/>
              </w:rPr>
            </w:pPr>
            <w:r w:rsidRPr="00707394">
              <w:rPr>
                <w:rFonts w:cs="Arial"/>
                <w:b/>
                <w:sz w:val="20"/>
                <w:szCs w:val="20"/>
              </w:rPr>
              <w:t>Jefe Oficina</w:t>
            </w:r>
            <w:r>
              <w:rPr>
                <w:rFonts w:cs="Arial"/>
                <w:b/>
                <w:sz w:val="20"/>
                <w:szCs w:val="20"/>
              </w:rPr>
              <w:t xml:space="preserve"> de Aseguramiento a la Calidad</w:t>
            </w:r>
          </w:p>
          <w:p w:rsidR="00321A72" w:rsidRPr="00707394" w:rsidRDefault="00321A72" w:rsidP="003B27AF">
            <w:pPr>
              <w:autoSpaceDE w:val="0"/>
              <w:autoSpaceDN w:val="0"/>
              <w:adjustRightInd w:val="0"/>
              <w:spacing w:after="0" w:line="240" w:lineRule="auto"/>
              <w:jc w:val="center"/>
              <w:rPr>
                <w:rFonts w:cs="Arial"/>
                <w:sz w:val="20"/>
                <w:szCs w:val="20"/>
              </w:rPr>
            </w:pPr>
          </w:p>
          <w:p w:rsidR="00321A72" w:rsidRPr="00707394" w:rsidRDefault="00321A72" w:rsidP="003B27AF">
            <w:pPr>
              <w:autoSpaceDE w:val="0"/>
              <w:autoSpaceDN w:val="0"/>
              <w:adjustRightInd w:val="0"/>
              <w:spacing w:after="0" w:line="240" w:lineRule="auto"/>
              <w:jc w:val="center"/>
              <w:rPr>
                <w:rFonts w:cs="Arial"/>
                <w:sz w:val="20"/>
                <w:szCs w:val="20"/>
              </w:rPr>
            </w:pPr>
            <w:r w:rsidRPr="00707394">
              <w:rPr>
                <w:rFonts w:cs="Arial"/>
                <w:b/>
                <w:smallCaps/>
                <w:sz w:val="20"/>
                <w:szCs w:val="20"/>
              </w:rPr>
              <w:br w:type="page"/>
            </w:r>
          </w:p>
        </w:tc>
      </w:tr>
    </w:tbl>
    <w:sdt>
      <w:sdtPr>
        <w:rPr>
          <w:rFonts w:ascii="Arial" w:eastAsia="Calibri" w:hAnsi="Arial" w:cs="Times New Roman"/>
          <w:color w:val="auto"/>
          <w:sz w:val="22"/>
          <w:szCs w:val="22"/>
          <w:lang w:val="es-ES" w:eastAsia="en-US"/>
        </w:rPr>
        <w:id w:val="1817292410"/>
        <w:docPartObj>
          <w:docPartGallery w:val="Table of Contents"/>
          <w:docPartUnique/>
        </w:docPartObj>
      </w:sdtPr>
      <w:sdtEndPr>
        <w:rPr>
          <w:bCs/>
        </w:rPr>
      </w:sdtEndPr>
      <w:sdtContent>
        <w:p w:rsidR="0042259F" w:rsidRPr="009610A6" w:rsidRDefault="0042259F" w:rsidP="0042259F">
          <w:pPr>
            <w:pStyle w:val="TtulodeTDC"/>
            <w:numPr>
              <w:ilvl w:val="0"/>
              <w:numId w:val="0"/>
            </w:numPr>
            <w:ind w:left="432" w:hanging="432"/>
          </w:pPr>
          <w:r w:rsidRPr="009610A6">
            <w:rPr>
              <w:lang w:val="es-ES"/>
            </w:rPr>
            <w:t>Contenido</w:t>
          </w:r>
        </w:p>
        <w:p w:rsidR="009610A6" w:rsidRPr="009610A6" w:rsidRDefault="00B93FA0" w:rsidP="009610A6">
          <w:pPr>
            <w:pStyle w:val="TDC1"/>
            <w:rPr>
              <w:rFonts w:asciiTheme="minorHAnsi" w:eastAsiaTheme="minorEastAsia" w:hAnsiTheme="minorHAnsi" w:cstheme="minorBidi"/>
              <w:kern w:val="0"/>
              <w:lang w:val="es-CO" w:eastAsia="es-CO"/>
            </w:rPr>
          </w:pPr>
          <w:r w:rsidRPr="009610A6">
            <w:fldChar w:fldCharType="begin"/>
          </w:r>
          <w:r w:rsidRPr="009610A6">
            <w:instrText xml:space="preserve"> TOC \o "1-3" \h \z \u </w:instrText>
          </w:r>
          <w:r w:rsidRPr="009610A6">
            <w:fldChar w:fldCharType="separate"/>
          </w:r>
          <w:hyperlink w:anchor="_Toc473581386" w:history="1">
            <w:r w:rsidR="009610A6" w:rsidRPr="009610A6">
              <w:rPr>
                <w:rStyle w:val="Hipervnculo"/>
                <w:rFonts w:eastAsia="Calibri"/>
                <w:b w:val="0"/>
              </w:rPr>
              <w:t>INTRODUCCIÓN</w:t>
            </w:r>
            <w:r w:rsidR="009610A6" w:rsidRPr="009610A6">
              <w:rPr>
                <w:webHidden/>
              </w:rPr>
              <w:tab/>
            </w:r>
            <w:r w:rsidR="009610A6" w:rsidRPr="009610A6">
              <w:rPr>
                <w:webHidden/>
              </w:rPr>
              <w:fldChar w:fldCharType="begin"/>
            </w:r>
            <w:r w:rsidR="009610A6" w:rsidRPr="009610A6">
              <w:rPr>
                <w:webHidden/>
              </w:rPr>
              <w:instrText xml:space="preserve"> PAGEREF _Toc473581386 \h </w:instrText>
            </w:r>
            <w:r w:rsidR="009610A6" w:rsidRPr="009610A6">
              <w:rPr>
                <w:webHidden/>
              </w:rPr>
            </w:r>
            <w:r w:rsidR="009610A6" w:rsidRPr="009610A6">
              <w:rPr>
                <w:webHidden/>
              </w:rPr>
              <w:fldChar w:fldCharType="separate"/>
            </w:r>
            <w:r w:rsidR="00EF5280">
              <w:rPr>
                <w:webHidden/>
              </w:rPr>
              <w:t>6</w:t>
            </w:r>
            <w:r w:rsidR="009610A6" w:rsidRPr="009610A6">
              <w:rPr>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387" w:history="1">
            <w:r w:rsidR="009610A6" w:rsidRPr="009610A6">
              <w:rPr>
                <w:rStyle w:val="Hipervnculo"/>
              </w:rPr>
              <w:t>1.</w:t>
            </w:r>
            <w:r w:rsidR="009610A6" w:rsidRPr="009610A6">
              <w:rPr>
                <w:rFonts w:asciiTheme="minorHAnsi" w:eastAsiaTheme="minorEastAsia" w:hAnsiTheme="minorHAnsi" w:cstheme="minorBidi"/>
                <w:kern w:val="0"/>
                <w:lang w:val="es-CO" w:eastAsia="es-CO"/>
              </w:rPr>
              <w:tab/>
            </w:r>
            <w:r w:rsidR="009610A6" w:rsidRPr="009610A6">
              <w:rPr>
                <w:rStyle w:val="Hipervnculo"/>
                <w:rFonts w:eastAsia="Calibri"/>
              </w:rPr>
              <w:t>CONTEXTO NACIONAL</w:t>
            </w:r>
            <w:r w:rsidR="009610A6" w:rsidRPr="009610A6">
              <w:rPr>
                <w:webHidden/>
              </w:rPr>
              <w:tab/>
            </w:r>
            <w:r w:rsidR="009610A6" w:rsidRPr="009610A6">
              <w:rPr>
                <w:webHidden/>
              </w:rPr>
              <w:fldChar w:fldCharType="begin"/>
            </w:r>
            <w:r w:rsidR="009610A6" w:rsidRPr="009610A6">
              <w:rPr>
                <w:webHidden/>
              </w:rPr>
              <w:instrText xml:space="preserve"> PAGEREF _Toc473581387 \h </w:instrText>
            </w:r>
            <w:r w:rsidR="009610A6" w:rsidRPr="009610A6">
              <w:rPr>
                <w:webHidden/>
              </w:rPr>
            </w:r>
            <w:r w:rsidR="009610A6" w:rsidRPr="009610A6">
              <w:rPr>
                <w:webHidden/>
              </w:rPr>
              <w:fldChar w:fldCharType="separate"/>
            </w:r>
            <w:r w:rsidR="00EF5280">
              <w:rPr>
                <w:webHidden/>
              </w:rPr>
              <w:t>6</w:t>
            </w:r>
            <w:r w:rsidR="009610A6" w:rsidRPr="009610A6">
              <w:rPr>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88" w:history="1">
            <w:r w:rsidR="009610A6" w:rsidRPr="009610A6">
              <w:rPr>
                <w:rStyle w:val="Hipervnculo"/>
                <w:rFonts w:cs="Arial"/>
                <w:noProof/>
              </w:rPr>
              <w:t>1.1.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Nacional de Desarrollo 2014 -2018 “Todos por un nuevo país”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_Toc473581388 \h </w:instrText>
            </w:r>
            <w:r w:rsidR="009610A6" w:rsidRPr="009610A6">
              <w:rPr>
                <w:noProof/>
                <w:webHidden/>
              </w:rPr>
            </w:r>
            <w:r w:rsidR="009610A6" w:rsidRPr="009610A6">
              <w:rPr>
                <w:noProof/>
                <w:webHidden/>
              </w:rPr>
              <w:fldChar w:fldCharType="separate"/>
            </w:r>
            <w:r w:rsidR="00EF5280">
              <w:rPr>
                <w:noProof/>
                <w:webHidden/>
              </w:rPr>
              <w:t>6</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89" w:history="1">
            <w:r w:rsidR="009610A6" w:rsidRPr="009610A6">
              <w:rPr>
                <w:rStyle w:val="Hipervnculo"/>
                <w:rFonts w:cs="Arial"/>
                <w:noProof/>
              </w:rPr>
              <w:t>1.2.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Indicativo Sector de la Inclusión Social y la Reconciliación “Construimos grandes historias de inclusión social y reconciliación para Colombia”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_Toc473581389 \h </w:instrText>
            </w:r>
            <w:r w:rsidR="009610A6" w:rsidRPr="009610A6">
              <w:rPr>
                <w:noProof/>
                <w:webHidden/>
              </w:rPr>
            </w:r>
            <w:r w:rsidR="009610A6" w:rsidRPr="009610A6">
              <w:rPr>
                <w:noProof/>
                <w:webHidden/>
              </w:rPr>
              <w:fldChar w:fldCharType="separate"/>
            </w:r>
            <w:r w:rsidR="00EF5280">
              <w:rPr>
                <w:noProof/>
                <w:webHidden/>
              </w:rPr>
              <w:t>7</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0" w:history="1">
            <w:r w:rsidR="009610A6" w:rsidRPr="009610A6">
              <w:rPr>
                <w:rStyle w:val="Hipervnculo"/>
                <w:rFonts w:cs="Arial"/>
                <w:noProof/>
              </w:rPr>
              <w:t>1.3.</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Indicativo Institucional 2015 – 2018 “Estamos cambiando el mundo”</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_Toc473581390 \h </w:instrText>
            </w:r>
            <w:r w:rsidR="009610A6" w:rsidRPr="009610A6">
              <w:rPr>
                <w:noProof/>
                <w:webHidden/>
              </w:rPr>
            </w:r>
            <w:r w:rsidR="009610A6" w:rsidRPr="009610A6">
              <w:rPr>
                <w:noProof/>
                <w:webHidden/>
              </w:rPr>
              <w:fldChar w:fldCharType="separate"/>
            </w:r>
            <w:r w:rsidR="00EF5280">
              <w:rPr>
                <w:noProof/>
                <w:webHidden/>
              </w:rPr>
              <w:t>9</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391" w:history="1">
            <w:r w:rsidR="009610A6" w:rsidRPr="009610A6">
              <w:rPr>
                <w:rStyle w:val="Hipervnculo"/>
              </w:rPr>
              <w:t>2.</w:t>
            </w:r>
            <w:r w:rsidR="009610A6" w:rsidRPr="009610A6">
              <w:rPr>
                <w:rFonts w:asciiTheme="minorHAnsi" w:eastAsiaTheme="minorEastAsia" w:hAnsiTheme="minorHAnsi" w:cstheme="minorBidi"/>
                <w:kern w:val="0"/>
                <w:lang w:val="es-CO" w:eastAsia="es-CO"/>
              </w:rPr>
              <w:tab/>
            </w:r>
            <w:r w:rsidR="009610A6" w:rsidRPr="009610A6">
              <w:rPr>
                <w:rStyle w:val="Hipervnculo"/>
              </w:rPr>
              <w:t>GESTIÓN FINANCIERA</w:t>
            </w:r>
            <w:r w:rsidR="009610A6" w:rsidRPr="009610A6">
              <w:rPr>
                <w:webHidden/>
              </w:rPr>
              <w:tab/>
            </w:r>
            <w:r w:rsidR="009610A6" w:rsidRPr="009610A6">
              <w:rPr>
                <w:webHidden/>
              </w:rPr>
              <w:fldChar w:fldCharType="begin"/>
            </w:r>
            <w:r w:rsidR="009610A6" w:rsidRPr="009610A6">
              <w:rPr>
                <w:webHidden/>
              </w:rPr>
              <w:instrText xml:space="preserve"> PAGEREF _Toc473581391 \h </w:instrText>
            </w:r>
            <w:r w:rsidR="009610A6" w:rsidRPr="009610A6">
              <w:rPr>
                <w:webHidden/>
              </w:rPr>
            </w:r>
            <w:r w:rsidR="009610A6" w:rsidRPr="009610A6">
              <w:rPr>
                <w:webHidden/>
              </w:rPr>
              <w:fldChar w:fldCharType="separate"/>
            </w:r>
            <w:r w:rsidR="00EF5280">
              <w:rPr>
                <w:webHidden/>
              </w:rPr>
              <w:t>12</w:t>
            </w:r>
            <w:r w:rsidR="009610A6" w:rsidRPr="009610A6">
              <w:rPr>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2" w:history="1">
            <w:r w:rsidR="009610A6" w:rsidRPr="009610A6">
              <w:rPr>
                <w:rStyle w:val="Hipervnculo"/>
                <w:rFonts w:cs="Arial"/>
                <w:noProof/>
              </w:rPr>
              <w:t>2.1.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Apropiación presupuestal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_Toc473581392 \h </w:instrText>
            </w:r>
            <w:r w:rsidR="009610A6" w:rsidRPr="009610A6">
              <w:rPr>
                <w:noProof/>
                <w:webHidden/>
              </w:rPr>
            </w:r>
            <w:r w:rsidR="009610A6" w:rsidRPr="009610A6">
              <w:rPr>
                <w:noProof/>
                <w:webHidden/>
              </w:rPr>
              <w:fldChar w:fldCharType="separate"/>
            </w:r>
            <w:r w:rsidR="00EF5280">
              <w:rPr>
                <w:noProof/>
                <w:webHidden/>
              </w:rPr>
              <w:t>12</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3" w:history="1">
            <w:r w:rsidR="009610A6" w:rsidRPr="009610A6">
              <w:rPr>
                <w:rStyle w:val="Hipervnculo"/>
                <w:rFonts w:cs="Arial"/>
                <w:noProof/>
              </w:rPr>
              <w:t>2.2.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Comportamiento Proyectos de Inversión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_Toc473581393 \h </w:instrText>
            </w:r>
            <w:r w:rsidR="009610A6" w:rsidRPr="009610A6">
              <w:rPr>
                <w:noProof/>
                <w:webHidden/>
              </w:rPr>
            </w:r>
            <w:r w:rsidR="009610A6" w:rsidRPr="009610A6">
              <w:rPr>
                <w:noProof/>
                <w:webHidden/>
              </w:rPr>
              <w:fldChar w:fldCharType="separate"/>
            </w:r>
            <w:r w:rsidR="00EF5280">
              <w:rPr>
                <w:noProof/>
                <w:webHidden/>
              </w:rPr>
              <w:t>14</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4" w:history="1">
            <w:r w:rsidR="009610A6" w:rsidRPr="009610A6">
              <w:rPr>
                <w:rStyle w:val="Hipervnculo"/>
                <w:rFonts w:cs="Arial"/>
                <w:noProof/>
                <w:lang w:eastAsia="es-ES"/>
              </w:rPr>
              <w:t>2.3.</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Reservas Presupuestales ICBF</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_Toc473581394 \h </w:instrText>
            </w:r>
            <w:r w:rsidR="009610A6" w:rsidRPr="009610A6">
              <w:rPr>
                <w:noProof/>
                <w:webHidden/>
              </w:rPr>
            </w:r>
            <w:r w:rsidR="009610A6" w:rsidRPr="009610A6">
              <w:rPr>
                <w:noProof/>
                <w:webHidden/>
              </w:rPr>
              <w:fldChar w:fldCharType="separate"/>
            </w:r>
            <w:r w:rsidR="00EF5280">
              <w:rPr>
                <w:noProof/>
                <w:webHidden/>
              </w:rPr>
              <w:t>15</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395" w:history="1">
            <w:r w:rsidR="009610A6" w:rsidRPr="009610A6">
              <w:rPr>
                <w:rStyle w:val="Hipervnculo"/>
                <w:rFonts w:cs="Arial"/>
                <w:noProof/>
              </w:rPr>
              <w:t>2.3.1.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Reservas Presupuestales por Regional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_Toc473581395 \h </w:instrText>
            </w:r>
            <w:r w:rsidR="009610A6" w:rsidRPr="009610A6">
              <w:rPr>
                <w:noProof/>
                <w:webHidden/>
              </w:rPr>
            </w:r>
            <w:r w:rsidR="009610A6" w:rsidRPr="009610A6">
              <w:rPr>
                <w:noProof/>
                <w:webHidden/>
              </w:rPr>
              <w:fldChar w:fldCharType="separate"/>
            </w:r>
            <w:r w:rsidR="00EF5280">
              <w:rPr>
                <w:noProof/>
                <w:webHidden/>
              </w:rPr>
              <w:t>15</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6" w:history="1">
            <w:r w:rsidR="009610A6" w:rsidRPr="009610A6">
              <w:rPr>
                <w:rStyle w:val="Hipervnculo"/>
                <w:rFonts w:cs="Arial"/>
                <w:noProof/>
              </w:rPr>
              <w:t>2.4.</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_Toc473581396 \h </w:instrText>
            </w:r>
            <w:r w:rsidR="009610A6" w:rsidRPr="009610A6">
              <w:rPr>
                <w:noProof/>
                <w:webHidden/>
              </w:rPr>
            </w:r>
            <w:r w:rsidR="009610A6" w:rsidRPr="009610A6">
              <w:rPr>
                <w:noProof/>
                <w:webHidden/>
              </w:rPr>
              <w:fldChar w:fldCharType="separate"/>
            </w:r>
            <w:r w:rsidR="00EF5280">
              <w:rPr>
                <w:noProof/>
                <w:webHidden/>
              </w:rPr>
              <w:t>16</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7" w:history="1">
            <w:r w:rsidR="009610A6" w:rsidRPr="009610A6">
              <w:rPr>
                <w:rStyle w:val="Hipervnculo"/>
                <w:rFonts w:cs="Arial"/>
                <w:noProof/>
              </w:rPr>
              <w:t>2.5.</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Retos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_Toc473581397 \h </w:instrText>
            </w:r>
            <w:r w:rsidR="009610A6" w:rsidRPr="009610A6">
              <w:rPr>
                <w:noProof/>
                <w:webHidden/>
              </w:rPr>
            </w:r>
            <w:r w:rsidR="009610A6" w:rsidRPr="009610A6">
              <w:rPr>
                <w:noProof/>
                <w:webHidden/>
              </w:rPr>
              <w:fldChar w:fldCharType="separate"/>
            </w:r>
            <w:r w:rsidR="00EF5280">
              <w:rPr>
                <w:noProof/>
                <w:webHidden/>
              </w:rPr>
              <w:t>17</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398" w:history="1">
            <w:r w:rsidR="009610A6" w:rsidRPr="009610A6">
              <w:rPr>
                <w:rStyle w:val="Hipervnculo"/>
              </w:rPr>
              <w:t>3.</w:t>
            </w:r>
            <w:r w:rsidR="009610A6" w:rsidRPr="009610A6">
              <w:rPr>
                <w:rFonts w:asciiTheme="minorHAnsi" w:eastAsiaTheme="minorEastAsia" w:hAnsiTheme="minorHAnsi" w:cstheme="minorBidi"/>
                <w:kern w:val="0"/>
                <w:lang w:val="es-CO" w:eastAsia="es-CO"/>
              </w:rPr>
              <w:tab/>
            </w:r>
            <w:r w:rsidR="009610A6" w:rsidRPr="009610A6">
              <w:rPr>
                <w:rStyle w:val="Hipervnculo"/>
              </w:rPr>
              <w:t>GESTION MISIONAL Y DE GOBIERNO</w:t>
            </w:r>
            <w:r w:rsidR="009610A6" w:rsidRPr="009610A6">
              <w:rPr>
                <w:webHidden/>
              </w:rPr>
              <w:tab/>
            </w:r>
            <w:r w:rsidR="009610A6" w:rsidRPr="009610A6">
              <w:rPr>
                <w:webHidden/>
              </w:rPr>
              <w:fldChar w:fldCharType="begin"/>
            </w:r>
            <w:r w:rsidR="009610A6" w:rsidRPr="009610A6">
              <w:rPr>
                <w:webHidden/>
              </w:rPr>
              <w:instrText xml:space="preserve"> PAGEREF _Toc473581398 \h </w:instrText>
            </w:r>
            <w:r w:rsidR="009610A6" w:rsidRPr="009610A6">
              <w:rPr>
                <w:webHidden/>
              </w:rPr>
            </w:r>
            <w:r w:rsidR="009610A6" w:rsidRPr="009610A6">
              <w:rPr>
                <w:webHidden/>
              </w:rPr>
              <w:fldChar w:fldCharType="separate"/>
            </w:r>
            <w:r w:rsidR="00EF5280">
              <w:rPr>
                <w:webHidden/>
              </w:rPr>
              <w:t>19</w:t>
            </w:r>
            <w:r w:rsidR="009610A6" w:rsidRPr="009610A6">
              <w:rPr>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399" w:history="1">
            <w:r w:rsidR="009610A6" w:rsidRPr="009610A6">
              <w:rPr>
                <w:rStyle w:val="Hipervnculo"/>
                <w:rFonts w:eastAsia="Times New Roman" w:cs="Arial"/>
                <w:noProof/>
              </w:rPr>
              <w:t>3.1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ATENCIÓN A LA PRIMERA INFANCIA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_Toc473581399 \h </w:instrText>
            </w:r>
            <w:r w:rsidR="009610A6" w:rsidRPr="009610A6">
              <w:rPr>
                <w:noProof/>
                <w:webHidden/>
              </w:rPr>
            </w:r>
            <w:r w:rsidR="009610A6" w:rsidRPr="009610A6">
              <w:rPr>
                <w:noProof/>
                <w:webHidden/>
              </w:rPr>
              <w:fldChar w:fldCharType="separate"/>
            </w:r>
            <w:r w:rsidR="00EF5280">
              <w:rPr>
                <w:noProof/>
                <w:webHidden/>
              </w:rPr>
              <w:t>19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0" w:history="1">
            <w:r w:rsidR="009610A6" w:rsidRPr="009610A6">
              <w:rPr>
                <w:rStyle w:val="Hipervnculo"/>
                <w:rFonts w:eastAsia="Times New Roman" w:cs="Arial"/>
                <w:noProof/>
              </w:rPr>
              <w:t>3.1.1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Aspectos relevantes de la Ley de Primera Infancia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_Toc473581400 \h </w:instrText>
            </w:r>
            <w:r w:rsidR="009610A6" w:rsidRPr="009610A6">
              <w:rPr>
                <w:noProof/>
                <w:webHidden/>
              </w:rPr>
            </w:r>
            <w:r w:rsidR="009610A6" w:rsidRPr="009610A6">
              <w:rPr>
                <w:noProof/>
                <w:webHidden/>
              </w:rPr>
              <w:fldChar w:fldCharType="separate"/>
            </w:r>
            <w:r w:rsidR="00EF5280">
              <w:rPr>
                <w:noProof/>
                <w:webHidden/>
              </w:rPr>
              <w:t>19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1" w:history="1">
            <w:r w:rsidR="009610A6" w:rsidRPr="009610A6">
              <w:rPr>
                <w:rStyle w:val="Hipervnculo"/>
                <w:rFonts w:eastAsia="Times New Roman" w:cs="Arial"/>
                <w:noProof/>
              </w:rPr>
              <w:t>3.1.2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Atención Integral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_Toc473581401 \h </w:instrText>
            </w:r>
            <w:r w:rsidR="009610A6" w:rsidRPr="009610A6">
              <w:rPr>
                <w:noProof/>
                <w:webHidden/>
              </w:rPr>
            </w:r>
            <w:r w:rsidR="009610A6" w:rsidRPr="009610A6">
              <w:rPr>
                <w:noProof/>
                <w:webHidden/>
              </w:rPr>
              <w:fldChar w:fldCharType="separate"/>
            </w:r>
            <w:r w:rsidR="00EF5280">
              <w:rPr>
                <w:noProof/>
                <w:webHidden/>
              </w:rPr>
              <w:t>20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2" w:history="1">
            <w:r w:rsidR="009610A6" w:rsidRPr="009610A6">
              <w:rPr>
                <w:rStyle w:val="Hipervnculo"/>
                <w:rFonts w:eastAsia="Times New Roman" w:cs="Arial"/>
                <w:noProof/>
              </w:rPr>
              <w:t>3.1.3</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Atención Tradicional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_Toc473581402 \h </w:instrText>
            </w:r>
            <w:r w:rsidR="009610A6" w:rsidRPr="009610A6">
              <w:rPr>
                <w:noProof/>
                <w:webHidden/>
              </w:rPr>
            </w:r>
            <w:r w:rsidR="009610A6" w:rsidRPr="009610A6">
              <w:rPr>
                <w:noProof/>
                <w:webHidden/>
              </w:rPr>
              <w:fldChar w:fldCharType="separate"/>
            </w:r>
            <w:r w:rsidR="00EF5280">
              <w:rPr>
                <w:noProof/>
                <w:webHidden/>
              </w:rPr>
              <w:t>28</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3" w:history="1">
            <w:r w:rsidR="009610A6" w:rsidRPr="009610A6">
              <w:rPr>
                <w:rStyle w:val="Hipervnculo"/>
                <w:rFonts w:eastAsia="Times New Roman" w:cs="Arial"/>
                <w:noProof/>
              </w:rPr>
              <w:t>3.1.4</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Fortalecimiento de la gestión de la Dirección de Primera Infancia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_Toc473581403 \h </w:instrText>
            </w:r>
            <w:r w:rsidR="009610A6" w:rsidRPr="009610A6">
              <w:rPr>
                <w:noProof/>
                <w:webHidden/>
              </w:rPr>
            </w:r>
            <w:r w:rsidR="009610A6" w:rsidRPr="009610A6">
              <w:rPr>
                <w:noProof/>
                <w:webHidden/>
              </w:rPr>
              <w:fldChar w:fldCharType="separate"/>
            </w:r>
            <w:r w:rsidR="00EF5280">
              <w:rPr>
                <w:noProof/>
                <w:webHidden/>
              </w:rPr>
              <w:t>30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4" w:history="1">
            <w:r w:rsidR="009610A6" w:rsidRPr="009610A6">
              <w:rPr>
                <w:rStyle w:val="Hipervnculo"/>
                <w:rFonts w:eastAsia="Times New Roman" w:cs="Arial"/>
                <w:noProof/>
              </w:rPr>
              <w:t>3.1.5</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Estrategias para mejorar calidad en la atención a la primera infancia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_Toc473581404 \h </w:instrText>
            </w:r>
            <w:r w:rsidR="009610A6" w:rsidRPr="009610A6">
              <w:rPr>
                <w:noProof/>
                <w:webHidden/>
              </w:rPr>
            </w:r>
            <w:r w:rsidR="009610A6" w:rsidRPr="009610A6">
              <w:rPr>
                <w:noProof/>
                <w:webHidden/>
              </w:rPr>
              <w:fldChar w:fldCharType="separate"/>
            </w:r>
            <w:r w:rsidR="00EF5280">
              <w:rPr>
                <w:noProof/>
                <w:webHidden/>
              </w:rPr>
              <w:t>32</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5" w:history="1">
            <w:r w:rsidR="009610A6" w:rsidRPr="009610A6">
              <w:rPr>
                <w:rStyle w:val="Hipervnculo"/>
                <w:rFonts w:eastAsia="Times New Roman" w:cs="Arial"/>
                <w:noProof/>
              </w:rPr>
              <w:t>3.1.6</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Atención compromisos con madres comunitarias del sindicato SINTRACIHOBI</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_Toc473581405 \h </w:instrText>
            </w:r>
            <w:r w:rsidR="009610A6" w:rsidRPr="009610A6">
              <w:rPr>
                <w:noProof/>
                <w:webHidden/>
              </w:rPr>
            </w:r>
            <w:r w:rsidR="009610A6" w:rsidRPr="009610A6">
              <w:rPr>
                <w:noProof/>
                <w:webHidden/>
              </w:rPr>
              <w:fldChar w:fldCharType="separate"/>
            </w:r>
            <w:r w:rsidR="00EF5280">
              <w:rPr>
                <w:noProof/>
                <w:webHidden/>
              </w:rPr>
              <w:t>34</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6" w:history="1">
            <w:r w:rsidR="009610A6" w:rsidRPr="009610A6">
              <w:rPr>
                <w:rStyle w:val="Hipervnculo"/>
                <w:rFonts w:eastAsia="Times New Roman" w:cs="Arial"/>
                <w:noProof/>
              </w:rPr>
              <w:t>3.1.7</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_Toc473581406 \h </w:instrText>
            </w:r>
            <w:r w:rsidR="009610A6" w:rsidRPr="009610A6">
              <w:rPr>
                <w:noProof/>
                <w:webHidden/>
              </w:rPr>
            </w:r>
            <w:r w:rsidR="009610A6" w:rsidRPr="009610A6">
              <w:rPr>
                <w:noProof/>
                <w:webHidden/>
              </w:rPr>
              <w:fldChar w:fldCharType="separate"/>
            </w:r>
            <w:r w:rsidR="00EF5280">
              <w:rPr>
                <w:noProof/>
                <w:webHidden/>
              </w:rPr>
              <w:t>37</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07" w:history="1">
            <w:r w:rsidR="009610A6" w:rsidRPr="009610A6">
              <w:rPr>
                <w:rStyle w:val="Hipervnculo"/>
                <w:rFonts w:eastAsia="Times New Roman" w:cs="Arial"/>
                <w:noProof/>
              </w:rPr>
              <w:t>3.1.8</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_Toc473581407 \h </w:instrText>
            </w:r>
            <w:r w:rsidR="009610A6" w:rsidRPr="009610A6">
              <w:rPr>
                <w:noProof/>
                <w:webHidden/>
              </w:rPr>
            </w:r>
            <w:r w:rsidR="009610A6" w:rsidRPr="009610A6">
              <w:rPr>
                <w:noProof/>
                <w:webHidden/>
              </w:rPr>
              <w:fldChar w:fldCharType="separate"/>
            </w:r>
            <w:r w:rsidR="00EF5280">
              <w:rPr>
                <w:noProof/>
                <w:webHidden/>
              </w:rPr>
              <w:t>39</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08" w:history="1">
            <w:r w:rsidR="009610A6" w:rsidRPr="009610A6">
              <w:rPr>
                <w:rStyle w:val="Hipervnculo"/>
                <w:b w:val="0"/>
              </w:rPr>
              <w:t>3.2</w:t>
            </w:r>
            <w:r w:rsidR="009610A6" w:rsidRPr="009610A6">
              <w:rPr>
                <w:rFonts w:asciiTheme="minorHAnsi" w:eastAsiaTheme="minorEastAsia" w:hAnsiTheme="minorHAnsi" w:cstheme="minorBidi"/>
                <w:kern w:val="0"/>
                <w:lang w:val="es-CO" w:eastAsia="es-CO"/>
              </w:rPr>
              <w:tab/>
            </w:r>
            <w:r w:rsidR="009610A6" w:rsidRPr="009610A6">
              <w:rPr>
                <w:rStyle w:val="Hipervnculo"/>
                <w:b w:val="0"/>
              </w:rPr>
              <w:t>ATENCIÓN A LA NIÑEZ Y LA ADOLESCENCIA</w:t>
            </w:r>
            <w:r w:rsidR="009610A6" w:rsidRPr="009610A6">
              <w:rPr>
                <w:webHidden/>
              </w:rPr>
              <w:tab/>
            </w:r>
            <w:r w:rsidR="009610A6" w:rsidRPr="009610A6">
              <w:rPr>
                <w:webHidden/>
              </w:rPr>
              <w:fldChar w:fldCharType="begin"/>
            </w:r>
            <w:r w:rsidR="009610A6" w:rsidRPr="009610A6">
              <w:rPr>
                <w:webHidden/>
              </w:rPr>
              <w:instrText xml:space="preserve"> PAGEREF _Toc473581408 \h </w:instrText>
            </w:r>
            <w:r w:rsidR="009610A6" w:rsidRPr="009610A6">
              <w:rPr>
                <w:webHidden/>
              </w:rPr>
            </w:r>
            <w:r w:rsidR="009610A6" w:rsidRPr="009610A6">
              <w:rPr>
                <w:webHidden/>
              </w:rPr>
              <w:fldChar w:fldCharType="separate"/>
            </w:r>
            <w:r w:rsidR="00EF5280">
              <w:rPr>
                <w:webHidden/>
              </w:rPr>
              <w:t>40</w:t>
            </w:r>
            <w:r w:rsidR="009610A6" w:rsidRPr="009610A6">
              <w:rPr>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09" w:history="1">
            <w:r w:rsidR="009610A6" w:rsidRPr="009610A6">
              <w:rPr>
                <w:rStyle w:val="Hipervnculo"/>
                <w:noProof/>
                <w:lang w:eastAsia="es-ES"/>
              </w:rPr>
              <w:t>3.2.1 Estrategias y Programas de la Dirección de Niñez y Adolescencia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_Toc473581409 \h </w:instrText>
            </w:r>
            <w:r w:rsidR="009610A6" w:rsidRPr="009610A6">
              <w:rPr>
                <w:noProof/>
                <w:webHidden/>
              </w:rPr>
            </w:r>
            <w:r w:rsidR="009610A6" w:rsidRPr="009610A6">
              <w:rPr>
                <w:noProof/>
                <w:webHidden/>
              </w:rPr>
              <w:fldChar w:fldCharType="separate"/>
            </w:r>
            <w:r w:rsidR="00EF5280">
              <w:rPr>
                <w:noProof/>
                <w:webHidden/>
              </w:rPr>
              <w:t>40</w:t>
            </w:r>
            <w:r w:rsidR="009610A6" w:rsidRPr="009610A6">
              <w:rPr>
                <w:noProof/>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10" w:history="1">
            <w:r w:rsidR="009610A6" w:rsidRPr="009610A6">
              <w:rPr>
                <w:rStyle w:val="Hipervnculo"/>
                <w:noProof/>
              </w:rPr>
              <w:t>3.2.2 Política pública de niñez y adolescencia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_Toc473581410 \h </w:instrText>
            </w:r>
            <w:r w:rsidR="009610A6" w:rsidRPr="009610A6">
              <w:rPr>
                <w:noProof/>
                <w:webHidden/>
              </w:rPr>
            </w:r>
            <w:r w:rsidR="009610A6" w:rsidRPr="009610A6">
              <w:rPr>
                <w:noProof/>
                <w:webHidden/>
              </w:rPr>
              <w:fldChar w:fldCharType="separate"/>
            </w:r>
            <w:r w:rsidR="00EF5280">
              <w:rPr>
                <w:noProof/>
                <w:webHidden/>
              </w:rPr>
              <w:t>65</w:t>
            </w:r>
            <w:r w:rsidR="009610A6" w:rsidRPr="009610A6">
              <w:rPr>
                <w:noProof/>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11" w:history="1">
            <w:r w:rsidR="009610A6" w:rsidRPr="009610A6">
              <w:rPr>
                <w:rStyle w:val="Hipervnculo"/>
                <w:noProof/>
                <w:lang w:eastAsia="es-ES"/>
              </w:rPr>
              <w:t>3.2.3 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_Toc473581411 \h </w:instrText>
            </w:r>
            <w:r w:rsidR="009610A6" w:rsidRPr="009610A6">
              <w:rPr>
                <w:noProof/>
                <w:webHidden/>
              </w:rPr>
            </w:r>
            <w:r w:rsidR="009610A6" w:rsidRPr="009610A6">
              <w:rPr>
                <w:noProof/>
                <w:webHidden/>
              </w:rPr>
              <w:fldChar w:fldCharType="separate"/>
            </w:r>
            <w:r w:rsidR="00EF5280">
              <w:rPr>
                <w:noProof/>
                <w:webHidden/>
              </w:rPr>
              <w:t>66</w:t>
            </w:r>
            <w:r w:rsidR="009610A6" w:rsidRPr="009610A6">
              <w:rPr>
                <w:noProof/>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12" w:history="1">
            <w:r w:rsidR="009610A6" w:rsidRPr="009610A6">
              <w:rPr>
                <w:rStyle w:val="Hipervnculo"/>
                <w:noProof/>
                <w:lang w:eastAsia="es-ES"/>
              </w:rPr>
              <w:t>3.2.4 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_Toc473581412 \h </w:instrText>
            </w:r>
            <w:r w:rsidR="009610A6" w:rsidRPr="009610A6">
              <w:rPr>
                <w:noProof/>
                <w:webHidden/>
              </w:rPr>
            </w:r>
            <w:r w:rsidR="009610A6" w:rsidRPr="009610A6">
              <w:rPr>
                <w:noProof/>
                <w:webHidden/>
              </w:rPr>
              <w:fldChar w:fldCharType="separate"/>
            </w:r>
            <w:r w:rsidR="00EF5280">
              <w:rPr>
                <w:noProof/>
                <w:webHidden/>
              </w:rPr>
              <w:t>67</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13" w:history="1">
            <w:r w:rsidR="009610A6" w:rsidRPr="009610A6">
              <w:rPr>
                <w:rStyle w:val="Hipervnculo"/>
                <w:b w:val="0"/>
              </w:rPr>
              <w:t>3.3</w:t>
            </w:r>
            <w:r w:rsidR="009610A6" w:rsidRPr="009610A6">
              <w:rPr>
                <w:rFonts w:asciiTheme="minorHAnsi" w:eastAsiaTheme="minorEastAsia" w:hAnsiTheme="minorHAnsi" w:cstheme="minorBidi"/>
                <w:kern w:val="0"/>
                <w:lang w:val="es-CO" w:eastAsia="es-CO"/>
              </w:rPr>
              <w:tab/>
            </w:r>
            <w:r w:rsidR="009610A6" w:rsidRPr="009610A6">
              <w:rPr>
                <w:rStyle w:val="Hipervnculo"/>
                <w:b w:val="0"/>
              </w:rPr>
              <w:t>ATENCIÓN A LAS FAMILIAS Y COMUNIDADES</w:t>
            </w:r>
            <w:r w:rsidR="009610A6" w:rsidRPr="009610A6">
              <w:rPr>
                <w:webHidden/>
              </w:rPr>
              <w:tab/>
            </w:r>
            <w:r w:rsidR="009610A6" w:rsidRPr="009610A6">
              <w:rPr>
                <w:webHidden/>
              </w:rPr>
              <w:fldChar w:fldCharType="begin"/>
            </w:r>
            <w:r w:rsidR="009610A6" w:rsidRPr="009610A6">
              <w:rPr>
                <w:webHidden/>
              </w:rPr>
              <w:instrText xml:space="preserve"> PAGEREF _Toc473581413 \h </w:instrText>
            </w:r>
            <w:r w:rsidR="009610A6" w:rsidRPr="009610A6">
              <w:rPr>
                <w:webHidden/>
              </w:rPr>
            </w:r>
            <w:r w:rsidR="009610A6" w:rsidRPr="009610A6">
              <w:rPr>
                <w:webHidden/>
              </w:rPr>
              <w:fldChar w:fldCharType="separate"/>
            </w:r>
            <w:r w:rsidR="00EF5280">
              <w:rPr>
                <w:webHidden/>
              </w:rPr>
              <w:t>69</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14" w:history="1">
            <w:r w:rsidR="009610A6" w:rsidRPr="009610A6">
              <w:rPr>
                <w:rStyle w:val="Hipervnculo"/>
                <w:rFonts w:eastAsiaTheme="majorEastAsia" w:cs="Arial"/>
                <w:noProof/>
              </w:rPr>
              <w:t>3.3.1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Marco de Política Pública de Familia y Comunidades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_Toc473581414 \h </w:instrText>
            </w:r>
            <w:r w:rsidR="009610A6" w:rsidRPr="009610A6">
              <w:rPr>
                <w:noProof/>
                <w:webHidden/>
              </w:rPr>
            </w:r>
            <w:r w:rsidR="009610A6" w:rsidRPr="009610A6">
              <w:rPr>
                <w:noProof/>
                <w:webHidden/>
              </w:rPr>
              <w:fldChar w:fldCharType="separate"/>
            </w:r>
            <w:r w:rsidR="00EF5280">
              <w:rPr>
                <w:noProof/>
                <w:webHidden/>
              </w:rPr>
              <w:t>69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15" w:history="1">
            <w:r w:rsidR="009610A6" w:rsidRPr="009610A6">
              <w:rPr>
                <w:rStyle w:val="Hipervnculo"/>
                <w:rFonts w:eastAsiaTheme="majorEastAsia" w:cs="Arial"/>
                <w:noProof/>
              </w:rPr>
              <w:t>3.3.2</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Acciones adelantadas frente a políticas priorizadas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_Toc473581415 \h </w:instrText>
            </w:r>
            <w:r w:rsidR="009610A6" w:rsidRPr="009610A6">
              <w:rPr>
                <w:noProof/>
                <w:webHidden/>
              </w:rPr>
            </w:r>
            <w:r w:rsidR="009610A6" w:rsidRPr="009610A6">
              <w:rPr>
                <w:noProof/>
                <w:webHidden/>
              </w:rPr>
              <w:fldChar w:fldCharType="separate"/>
            </w:r>
            <w:r w:rsidR="00EF5280">
              <w:rPr>
                <w:noProof/>
                <w:webHidden/>
              </w:rPr>
              <w:t>70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16" w:history="1">
            <w:r w:rsidR="009610A6" w:rsidRPr="009610A6">
              <w:rPr>
                <w:rStyle w:val="Hipervnculo"/>
                <w:rFonts w:eastAsiaTheme="majorEastAsia" w:cs="Arial"/>
                <w:noProof/>
              </w:rPr>
              <w:t>3.3.3</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Atención a Familias y Comunidades Atención a Familias y Comunidades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_Toc473581416 \h </w:instrText>
            </w:r>
            <w:r w:rsidR="009610A6" w:rsidRPr="009610A6">
              <w:rPr>
                <w:noProof/>
                <w:webHidden/>
              </w:rPr>
            </w:r>
            <w:r w:rsidR="009610A6" w:rsidRPr="009610A6">
              <w:rPr>
                <w:noProof/>
                <w:webHidden/>
              </w:rPr>
              <w:fldChar w:fldCharType="separate"/>
            </w:r>
            <w:r w:rsidR="00EF5280">
              <w:rPr>
                <w:noProof/>
                <w:webHidden/>
              </w:rPr>
              <w:t>73</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17" w:history="1">
            <w:r w:rsidR="009610A6" w:rsidRPr="009610A6">
              <w:rPr>
                <w:rStyle w:val="Hipervnculo"/>
                <w:rFonts w:eastAsiaTheme="majorEastAsia" w:cs="Arial"/>
                <w:noProof/>
              </w:rPr>
              <w:t>3.3.4</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_Toc473581417 \h </w:instrText>
            </w:r>
            <w:r w:rsidR="009610A6" w:rsidRPr="009610A6">
              <w:rPr>
                <w:noProof/>
                <w:webHidden/>
              </w:rPr>
            </w:r>
            <w:r w:rsidR="009610A6" w:rsidRPr="009610A6">
              <w:rPr>
                <w:noProof/>
                <w:webHidden/>
              </w:rPr>
              <w:fldChar w:fldCharType="separate"/>
            </w:r>
            <w:r w:rsidR="00EF5280">
              <w:rPr>
                <w:noProof/>
                <w:webHidden/>
              </w:rPr>
              <w:t>81</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18" w:history="1">
            <w:r w:rsidR="009610A6" w:rsidRPr="009610A6">
              <w:rPr>
                <w:rStyle w:val="Hipervnculo"/>
                <w:rFonts w:eastAsiaTheme="majorEastAsia" w:cs="Arial"/>
                <w:noProof/>
              </w:rPr>
              <w:t>3.3.5</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_Toc473581418 \h </w:instrText>
            </w:r>
            <w:r w:rsidR="009610A6" w:rsidRPr="009610A6">
              <w:rPr>
                <w:noProof/>
                <w:webHidden/>
              </w:rPr>
            </w:r>
            <w:r w:rsidR="009610A6" w:rsidRPr="009610A6">
              <w:rPr>
                <w:noProof/>
                <w:webHidden/>
              </w:rPr>
              <w:fldChar w:fldCharType="separate"/>
            </w:r>
            <w:r w:rsidR="00EF5280">
              <w:rPr>
                <w:noProof/>
                <w:webHidden/>
              </w:rPr>
              <w:t>83</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19" w:history="1">
            <w:r w:rsidR="009610A6" w:rsidRPr="009610A6">
              <w:rPr>
                <w:rStyle w:val="Hipervnculo"/>
                <w:b w:val="0"/>
              </w:rPr>
              <w:t>3.4</w:t>
            </w:r>
            <w:r w:rsidR="009610A6" w:rsidRPr="009610A6">
              <w:rPr>
                <w:rFonts w:asciiTheme="minorHAnsi" w:eastAsiaTheme="minorEastAsia" w:hAnsiTheme="minorHAnsi" w:cstheme="minorBidi"/>
                <w:kern w:val="0"/>
                <w:lang w:val="es-CO" w:eastAsia="es-CO"/>
              </w:rPr>
              <w:tab/>
            </w:r>
            <w:r w:rsidR="009610A6" w:rsidRPr="009610A6">
              <w:rPr>
                <w:rStyle w:val="Hipervnculo"/>
                <w:b w:val="0"/>
              </w:rPr>
              <w:t>ATENCIÓN EN NUTRICIÓN</w:t>
            </w:r>
            <w:r w:rsidR="009610A6" w:rsidRPr="009610A6">
              <w:rPr>
                <w:webHidden/>
              </w:rPr>
              <w:tab/>
            </w:r>
            <w:r w:rsidR="009610A6" w:rsidRPr="009610A6">
              <w:rPr>
                <w:webHidden/>
              </w:rPr>
              <w:fldChar w:fldCharType="begin"/>
            </w:r>
            <w:r w:rsidR="009610A6" w:rsidRPr="009610A6">
              <w:rPr>
                <w:webHidden/>
              </w:rPr>
              <w:instrText xml:space="preserve"> PAGEREF _Toc473581419 \h </w:instrText>
            </w:r>
            <w:r w:rsidR="009610A6" w:rsidRPr="009610A6">
              <w:rPr>
                <w:webHidden/>
              </w:rPr>
            </w:r>
            <w:r w:rsidR="009610A6" w:rsidRPr="009610A6">
              <w:rPr>
                <w:webHidden/>
              </w:rPr>
              <w:fldChar w:fldCharType="separate"/>
            </w:r>
            <w:r w:rsidR="00EF5280">
              <w:rPr>
                <w:webHidden/>
              </w:rPr>
              <w:t>85</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0" w:history="1">
            <w:r w:rsidR="009610A6" w:rsidRPr="009610A6">
              <w:rPr>
                <w:rStyle w:val="Hipervnculo"/>
                <w:rFonts w:eastAsiaTheme="majorEastAsia" w:cs="Arial"/>
                <w:noProof/>
              </w:rPr>
              <w:t>3.4.1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Marco de Política Pública de Nutrición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_Toc473581420 \h </w:instrText>
            </w:r>
            <w:r w:rsidR="009610A6" w:rsidRPr="009610A6">
              <w:rPr>
                <w:noProof/>
                <w:webHidden/>
              </w:rPr>
            </w:r>
            <w:r w:rsidR="009610A6" w:rsidRPr="009610A6">
              <w:rPr>
                <w:noProof/>
                <w:webHidden/>
              </w:rPr>
              <w:fldChar w:fldCharType="separate"/>
            </w:r>
            <w:r w:rsidR="00EF5280">
              <w:rPr>
                <w:noProof/>
                <w:webHidden/>
              </w:rPr>
              <w:t>85</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1" w:history="1">
            <w:r w:rsidR="009610A6" w:rsidRPr="009610A6">
              <w:rPr>
                <w:rStyle w:val="Hipervnculo"/>
                <w:rFonts w:eastAsiaTheme="majorEastAsia" w:cs="Arial"/>
                <w:noProof/>
              </w:rPr>
              <w:t>3.4.2</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Estrategia de Recuperación Nutricional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_Toc473581421 \h </w:instrText>
            </w:r>
            <w:r w:rsidR="009610A6" w:rsidRPr="009610A6">
              <w:rPr>
                <w:noProof/>
                <w:webHidden/>
              </w:rPr>
            </w:r>
            <w:r w:rsidR="009610A6" w:rsidRPr="009610A6">
              <w:rPr>
                <w:noProof/>
                <w:webHidden/>
              </w:rPr>
              <w:fldChar w:fldCharType="separate"/>
            </w:r>
            <w:r w:rsidR="00EF5280">
              <w:rPr>
                <w:noProof/>
                <w:webHidden/>
              </w:rPr>
              <w:t>90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2" w:history="1">
            <w:r w:rsidR="009610A6" w:rsidRPr="009610A6">
              <w:rPr>
                <w:rStyle w:val="Hipervnculo"/>
                <w:rFonts w:eastAsiaTheme="majorEastAsia" w:cs="Arial"/>
                <w:noProof/>
              </w:rPr>
              <w:t>3.4.3</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Sistema de Seguimiento Nutricional – SSN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_Toc473581422 \h </w:instrText>
            </w:r>
            <w:r w:rsidR="009610A6" w:rsidRPr="009610A6">
              <w:rPr>
                <w:noProof/>
                <w:webHidden/>
              </w:rPr>
            </w:r>
            <w:r w:rsidR="009610A6" w:rsidRPr="009610A6">
              <w:rPr>
                <w:noProof/>
                <w:webHidden/>
              </w:rPr>
              <w:fldChar w:fldCharType="separate"/>
            </w:r>
            <w:r w:rsidR="00EF5280">
              <w:rPr>
                <w:noProof/>
                <w:webHidden/>
              </w:rPr>
              <w:t>93</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3" w:history="1">
            <w:r w:rsidR="009610A6" w:rsidRPr="009610A6">
              <w:rPr>
                <w:rStyle w:val="Hipervnculo"/>
                <w:rFonts w:eastAsiaTheme="majorEastAsia" w:cs="Arial"/>
                <w:noProof/>
              </w:rPr>
              <w:t>3.4.4</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Alimentos de Alto Valor Nutricional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_Toc473581423 \h </w:instrText>
            </w:r>
            <w:r w:rsidR="009610A6" w:rsidRPr="009610A6">
              <w:rPr>
                <w:noProof/>
                <w:webHidden/>
              </w:rPr>
            </w:r>
            <w:r w:rsidR="009610A6" w:rsidRPr="009610A6">
              <w:rPr>
                <w:noProof/>
                <w:webHidden/>
              </w:rPr>
              <w:fldChar w:fldCharType="separate"/>
            </w:r>
            <w:r w:rsidR="00EF5280">
              <w:rPr>
                <w:noProof/>
                <w:webHidden/>
              </w:rPr>
              <w:t>94</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4" w:history="1">
            <w:r w:rsidR="009610A6" w:rsidRPr="009610A6">
              <w:rPr>
                <w:rStyle w:val="Hipervnculo"/>
                <w:rFonts w:eastAsiaTheme="majorEastAsia" w:cs="Arial"/>
                <w:noProof/>
              </w:rPr>
              <w:t>3.4.5</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_Toc473581424 \h </w:instrText>
            </w:r>
            <w:r w:rsidR="009610A6" w:rsidRPr="009610A6">
              <w:rPr>
                <w:noProof/>
                <w:webHidden/>
              </w:rPr>
            </w:r>
            <w:r w:rsidR="009610A6" w:rsidRPr="009610A6">
              <w:rPr>
                <w:noProof/>
                <w:webHidden/>
              </w:rPr>
              <w:fldChar w:fldCharType="separate"/>
            </w:r>
            <w:r w:rsidR="00EF5280">
              <w:rPr>
                <w:noProof/>
                <w:webHidden/>
              </w:rPr>
              <w:t>100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5" w:history="1">
            <w:r w:rsidR="009610A6" w:rsidRPr="009610A6">
              <w:rPr>
                <w:rStyle w:val="Hipervnculo"/>
                <w:rFonts w:eastAsiaTheme="majorEastAsia" w:cs="Arial"/>
                <w:noProof/>
              </w:rPr>
              <w:t>3.4.6</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_Toc473581425 \h </w:instrText>
            </w:r>
            <w:r w:rsidR="009610A6" w:rsidRPr="009610A6">
              <w:rPr>
                <w:noProof/>
                <w:webHidden/>
              </w:rPr>
            </w:r>
            <w:r w:rsidR="009610A6" w:rsidRPr="009610A6">
              <w:rPr>
                <w:noProof/>
                <w:webHidden/>
              </w:rPr>
              <w:fldChar w:fldCharType="separate"/>
            </w:r>
            <w:r w:rsidR="00EF5280">
              <w:rPr>
                <w:noProof/>
                <w:webHidden/>
              </w:rPr>
              <w:t>101</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26" w:history="1">
            <w:r w:rsidR="009610A6" w:rsidRPr="009610A6">
              <w:rPr>
                <w:rStyle w:val="Hipervnculo"/>
                <w:b w:val="0"/>
              </w:rPr>
              <w:t>3.5</w:t>
            </w:r>
            <w:r w:rsidR="009610A6" w:rsidRPr="009610A6">
              <w:rPr>
                <w:rFonts w:asciiTheme="minorHAnsi" w:eastAsiaTheme="minorEastAsia" w:hAnsiTheme="minorHAnsi" w:cstheme="minorBidi"/>
                <w:kern w:val="0"/>
                <w:lang w:val="es-CO" w:eastAsia="es-CO"/>
              </w:rPr>
              <w:tab/>
            </w:r>
            <w:r w:rsidR="009610A6" w:rsidRPr="009610A6">
              <w:rPr>
                <w:rStyle w:val="Hipervnculo"/>
                <w:b w:val="0"/>
              </w:rPr>
              <w:t>PROTECCIÓN DE NIÑOS, NIÑAS Y ADOLESCENTES</w:t>
            </w:r>
            <w:r w:rsidR="009610A6" w:rsidRPr="009610A6">
              <w:rPr>
                <w:webHidden/>
              </w:rPr>
              <w:tab/>
            </w:r>
            <w:r w:rsidR="009610A6" w:rsidRPr="009610A6">
              <w:rPr>
                <w:webHidden/>
              </w:rPr>
              <w:fldChar w:fldCharType="begin"/>
            </w:r>
            <w:r w:rsidR="009610A6" w:rsidRPr="009610A6">
              <w:rPr>
                <w:webHidden/>
              </w:rPr>
              <w:instrText xml:space="preserve"> PAGEREF _Toc473581426 \h </w:instrText>
            </w:r>
            <w:r w:rsidR="009610A6" w:rsidRPr="009610A6">
              <w:rPr>
                <w:webHidden/>
              </w:rPr>
            </w:r>
            <w:r w:rsidR="009610A6" w:rsidRPr="009610A6">
              <w:rPr>
                <w:webHidden/>
              </w:rPr>
              <w:fldChar w:fldCharType="separate"/>
            </w:r>
            <w:r w:rsidR="00EF5280">
              <w:rPr>
                <w:webHidden/>
              </w:rPr>
              <w:t>103</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7" w:history="1">
            <w:r w:rsidR="009610A6" w:rsidRPr="009610A6">
              <w:rPr>
                <w:rStyle w:val="Hipervnculo"/>
                <w:rFonts w:eastAsiaTheme="majorEastAsia" w:cs="Arial"/>
                <w:noProof/>
              </w:rPr>
              <w:t>3.5.1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Marco Normativo</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_Toc473581427 \h </w:instrText>
            </w:r>
            <w:r w:rsidR="009610A6" w:rsidRPr="009610A6">
              <w:rPr>
                <w:noProof/>
                <w:webHidden/>
              </w:rPr>
            </w:r>
            <w:r w:rsidR="009610A6" w:rsidRPr="009610A6">
              <w:rPr>
                <w:noProof/>
                <w:webHidden/>
              </w:rPr>
              <w:fldChar w:fldCharType="separate"/>
            </w:r>
            <w:r w:rsidR="00EF5280">
              <w:rPr>
                <w:noProof/>
                <w:webHidden/>
              </w:rPr>
              <w:t>103</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8" w:history="1">
            <w:r w:rsidR="009610A6" w:rsidRPr="009610A6">
              <w:rPr>
                <w:rStyle w:val="Hipervnculo"/>
                <w:rFonts w:eastAsiaTheme="majorEastAsia" w:cs="Arial"/>
                <w:noProof/>
              </w:rPr>
              <w:t>3.5.2</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Proceso Administrativo de Restablecimiento de Derechos – PARD</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_Toc473581428 \h </w:instrText>
            </w:r>
            <w:r w:rsidR="009610A6" w:rsidRPr="009610A6">
              <w:rPr>
                <w:noProof/>
                <w:webHidden/>
              </w:rPr>
            </w:r>
            <w:r w:rsidR="009610A6" w:rsidRPr="009610A6">
              <w:rPr>
                <w:noProof/>
                <w:webHidden/>
              </w:rPr>
              <w:fldChar w:fldCharType="separate"/>
            </w:r>
            <w:r w:rsidR="00EF5280">
              <w:rPr>
                <w:noProof/>
                <w:webHidden/>
              </w:rPr>
              <w:t>103</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29" w:history="1">
            <w:r w:rsidR="009610A6" w:rsidRPr="009610A6">
              <w:rPr>
                <w:rStyle w:val="Hipervnculo"/>
                <w:rFonts w:eastAsiaTheme="majorEastAsia" w:cs="Arial"/>
                <w:noProof/>
              </w:rPr>
              <w:t>3.5.3</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Sistema de Responsabilidad Penal para Adolescentes (SRPA)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_Toc473581429 \h </w:instrText>
            </w:r>
            <w:r w:rsidR="009610A6" w:rsidRPr="009610A6">
              <w:rPr>
                <w:noProof/>
                <w:webHidden/>
              </w:rPr>
            </w:r>
            <w:r w:rsidR="009610A6" w:rsidRPr="009610A6">
              <w:rPr>
                <w:noProof/>
                <w:webHidden/>
              </w:rPr>
              <w:fldChar w:fldCharType="separate"/>
            </w:r>
            <w:r w:rsidR="00EF5280">
              <w:rPr>
                <w:noProof/>
                <w:webHidden/>
              </w:rPr>
              <w:t>134</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0" w:history="1">
            <w:r w:rsidR="009610A6" w:rsidRPr="009610A6">
              <w:rPr>
                <w:rStyle w:val="Hipervnculo"/>
                <w:rFonts w:eastAsiaTheme="majorEastAsia" w:cs="Arial"/>
                <w:noProof/>
              </w:rPr>
              <w:t>3.5.4</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Adopciones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_Toc473581430 \h </w:instrText>
            </w:r>
            <w:r w:rsidR="009610A6" w:rsidRPr="009610A6">
              <w:rPr>
                <w:noProof/>
                <w:webHidden/>
              </w:rPr>
            </w:r>
            <w:r w:rsidR="009610A6" w:rsidRPr="009610A6">
              <w:rPr>
                <w:noProof/>
                <w:webHidden/>
              </w:rPr>
              <w:fldChar w:fldCharType="separate"/>
            </w:r>
            <w:r w:rsidR="00EF5280">
              <w:rPr>
                <w:noProof/>
                <w:webHidden/>
              </w:rPr>
              <w:t>136</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1" w:history="1">
            <w:r w:rsidR="009610A6" w:rsidRPr="009610A6">
              <w:rPr>
                <w:rStyle w:val="Hipervnculo"/>
                <w:rFonts w:eastAsiaTheme="majorEastAsia" w:cs="Arial"/>
                <w:noProof/>
              </w:rPr>
              <w:t>3.5.5</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Acciones transversales para el restablecimiento de derechos y proyectos de vida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_Toc473581431 \h </w:instrText>
            </w:r>
            <w:r w:rsidR="009610A6" w:rsidRPr="009610A6">
              <w:rPr>
                <w:noProof/>
                <w:webHidden/>
              </w:rPr>
            </w:r>
            <w:r w:rsidR="009610A6" w:rsidRPr="009610A6">
              <w:rPr>
                <w:noProof/>
                <w:webHidden/>
              </w:rPr>
              <w:fldChar w:fldCharType="separate"/>
            </w:r>
            <w:r w:rsidR="00EF5280">
              <w:rPr>
                <w:noProof/>
                <w:webHidden/>
              </w:rPr>
              <w:t>138</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2" w:history="1">
            <w:r w:rsidR="009610A6" w:rsidRPr="009610A6">
              <w:rPr>
                <w:rStyle w:val="Hipervnculo"/>
                <w:rFonts w:eastAsiaTheme="majorEastAsia" w:cs="Arial"/>
                <w:noProof/>
              </w:rPr>
              <w:t>3.5.6</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Ejecución de metas y recursos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_Toc473581432 \h </w:instrText>
            </w:r>
            <w:r w:rsidR="009610A6" w:rsidRPr="009610A6">
              <w:rPr>
                <w:noProof/>
                <w:webHidden/>
              </w:rPr>
            </w:r>
            <w:r w:rsidR="009610A6" w:rsidRPr="009610A6">
              <w:rPr>
                <w:noProof/>
                <w:webHidden/>
              </w:rPr>
              <w:fldChar w:fldCharType="separate"/>
            </w:r>
            <w:r w:rsidR="00EF5280">
              <w:rPr>
                <w:noProof/>
                <w:webHidden/>
              </w:rPr>
              <w:t>141</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3" w:history="1">
            <w:r w:rsidR="009610A6" w:rsidRPr="009610A6">
              <w:rPr>
                <w:rStyle w:val="Hipervnculo"/>
                <w:rFonts w:eastAsiaTheme="majorEastAsia" w:cs="Arial"/>
                <w:noProof/>
              </w:rPr>
              <w:t>3.5.7</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_Toc473581433 \h </w:instrText>
            </w:r>
            <w:r w:rsidR="009610A6" w:rsidRPr="009610A6">
              <w:rPr>
                <w:noProof/>
                <w:webHidden/>
              </w:rPr>
            </w:r>
            <w:r w:rsidR="009610A6" w:rsidRPr="009610A6">
              <w:rPr>
                <w:noProof/>
                <w:webHidden/>
              </w:rPr>
              <w:fldChar w:fldCharType="separate"/>
            </w:r>
            <w:r w:rsidR="00EF5280">
              <w:rPr>
                <w:noProof/>
                <w:webHidden/>
              </w:rPr>
              <w:t>145</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4" w:history="1">
            <w:r w:rsidR="009610A6" w:rsidRPr="009610A6">
              <w:rPr>
                <w:rStyle w:val="Hipervnculo"/>
                <w:rFonts w:eastAsiaTheme="majorEastAsia" w:cs="Arial"/>
                <w:noProof/>
              </w:rPr>
              <w:t>3.5.8</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_Toc473581434 \h </w:instrText>
            </w:r>
            <w:r w:rsidR="009610A6" w:rsidRPr="009610A6">
              <w:rPr>
                <w:noProof/>
                <w:webHidden/>
              </w:rPr>
            </w:r>
            <w:r w:rsidR="009610A6" w:rsidRPr="009610A6">
              <w:rPr>
                <w:noProof/>
                <w:webHidden/>
              </w:rPr>
              <w:fldChar w:fldCharType="separate"/>
            </w:r>
            <w:r w:rsidR="00EF5280">
              <w:rPr>
                <w:noProof/>
                <w:webHidden/>
              </w:rPr>
              <w:t>146</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35" w:history="1">
            <w:r w:rsidR="009610A6" w:rsidRPr="009610A6">
              <w:rPr>
                <w:rStyle w:val="Hipervnculo"/>
                <w:b w:val="0"/>
              </w:rPr>
              <w:t>3.6</w:t>
            </w:r>
            <w:r w:rsidR="009610A6" w:rsidRPr="009610A6">
              <w:rPr>
                <w:rFonts w:asciiTheme="minorHAnsi" w:eastAsiaTheme="minorEastAsia" w:hAnsiTheme="minorHAnsi" w:cstheme="minorBidi"/>
                <w:kern w:val="0"/>
                <w:lang w:val="es-CO" w:eastAsia="es-CO"/>
              </w:rPr>
              <w:tab/>
            </w:r>
            <w:r w:rsidR="009610A6" w:rsidRPr="009610A6">
              <w:rPr>
                <w:rStyle w:val="Hipervnculo"/>
                <w:b w:val="0"/>
              </w:rPr>
              <w:t>ARTICULACIÓN DEL SISTEMA NACIONAL DE BIENESTAR FAMILIAR</w:t>
            </w:r>
            <w:r w:rsidR="009610A6" w:rsidRPr="009610A6">
              <w:rPr>
                <w:webHidden/>
              </w:rPr>
              <w:tab/>
            </w:r>
            <w:r w:rsidR="009610A6" w:rsidRPr="009610A6">
              <w:rPr>
                <w:webHidden/>
              </w:rPr>
              <w:fldChar w:fldCharType="begin"/>
            </w:r>
            <w:r w:rsidR="009610A6" w:rsidRPr="009610A6">
              <w:rPr>
                <w:webHidden/>
              </w:rPr>
              <w:instrText xml:space="preserve"> PAGEREF _Toc473581435 \h </w:instrText>
            </w:r>
            <w:r w:rsidR="009610A6" w:rsidRPr="009610A6">
              <w:rPr>
                <w:webHidden/>
              </w:rPr>
            </w:r>
            <w:r w:rsidR="009610A6" w:rsidRPr="009610A6">
              <w:rPr>
                <w:webHidden/>
              </w:rPr>
              <w:fldChar w:fldCharType="separate"/>
            </w:r>
            <w:r w:rsidR="00EF5280">
              <w:rPr>
                <w:webHidden/>
              </w:rPr>
              <w:t>148</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6" w:history="1">
            <w:r w:rsidR="009610A6" w:rsidRPr="009610A6">
              <w:rPr>
                <w:rStyle w:val="Hipervnculo"/>
                <w:rFonts w:eastAsiaTheme="majorEastAsia" w:cs="Arial"/>
                <w:noProof/>
              </w:rPr>
              <w:t>3.6.1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Marco de la Política Pública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_Toc473581436 \h </w:instrText>
            </w:r>
            <w:r w:rsidR="009610A6" w:rsidRPr="009610A6">
              <w:rPr>
                <w:noProof/>
                <w:webHidden/>
              </w:rPr>
            </w:r>
            <w:r w:rsidR="009610A6" w:rsidRPr="009610A6">
              <w:rPr>
                <w:noProof/>
                <w:webHidden/>
              </w:rPr>
              <w:fldChar w:fldCharType="separate"/>
            </w:r>
            <w:r w:rsidR="00EF5280">
              <w:rPr>
                <w:noProof/>
                <w:webHidden/>
              </w:rPr>
              <w:t>148</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7" w:history="1">
            <w:r w:rsidR="009610A6" w:rsidRPr="009610A6">
              <w:rPr>
                <w:rStyle w:val="Hipervnculo"/>
                <w:rFonts w:eastAsiaTheme="majorEastAsia" w:cs="Arial"/>
                <w:noProof/>
              </w:rPr>
              <w:t>3.6.2</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Procesos estratégicos del Sistema Nacional de Bienestar Familiar</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_Toc473581437 \h </w:instrText>
            </w:r>
            <w:r w:rsidR="009610A6" w:rsidRPr="009610A6">
              <w:rPr>
                <w:noProof/>
                <w:webHidden/>
              </w:rPr>
            </w:r>
            <w:r w:rsidR="009610A6" w:rsidRPr="009610A6">
              <w:rPr>
                <w:noProof/>
                <w:webHidden/>
              </w:rPr>
              <w:fldChar w:fldCharType="separate"/>
            </w:r>
            <w:r w:rsidR="00EF5280">
              <w:rPr>
                <w:noProof/>
                <w:webHidden/>
              </w:rPr>
              <w:t>149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8" w:history="1">
            <w:r w:rsidR="009610A6" w:rsidRPr="009610A6">
              <w:rPr>
                <w:rStyle w:val="Hipervnculo"/>
                <w:rFonts w:eastAsiaTheme="majorEastAsia" w:cs="Arial"/>
                <w:noProof/>
              </w:rPr>
              <w:t>3.6.3</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Componentes del Sistema Nacional de Bienestar Familiar</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_Toc473581438 \h </w:instrText>
            </w:r>
            <w:r w:rsidR="009610A6" w:rsidRPr="009610A6">
              <w:rPr>
                <w:noProof/>
                <w:webHidden/>
              </w:rPr>
            </w:r>
            <w:r w:rsidR="009610A6" w:rsidRPr="009610A6">
              <w:rPr>
                <w:noProof/>
                <w:webHidden/>
              </w:rPr>
              <w:fldChar w:fldCharType="separate"/>
            </w:r>
            <w:r w:rsidR="00EF5280">
              <w:rPr>
                <w:noProof/>
                <w:webHidden/>
              </w:rPr>
              <w:t>152</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39" w:history="1">
            <w:r w:rsidR="009610A6" w:rsidRPr="009610A6">
              <w:rPr>
                <w:rStyle w:val="Hipervnculo"/>
                <w:rFonts w:eastAsiaTheme="majorEastAsia" w:cs="Arial"/>
                <w:noProof/>
              </w:rPr>
              <w:t>3.6.4</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_Toc473581439 \h </w:instrText>
            </w:r>
            <w:r w:rsidR="009610A6" w:rsidRPr="009610A6">
              <w:rPr>
                <w:noProof/>
                <w:webHidden/>
              </w:rPr>
            </w:r>
            <w:r w:rsidR="009610A6" w:rsidRPr="009610A6">
              <w:rPr>
                <w:noProof/>
                <w:webHidden/>
              </w:rPr>
              <w:fldChar w:fldCharType="separate"/>
            </w:r>
            <w:r w:rsidR="00EF5280">
              <w:rPr>
                <w:noProof/>
                <w:webHidden/>
              </w:rPr>
              <w:t>174</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40" w:history="1">
            <w:r w:rsidR="009610A6" w:rsidRPr="009610A6">
              <w:rPr>
                <w:rStyle w:val="Hipervnculo"/>
                <w:rFonts w:eastAsiaTheme="majorEastAsia" w:cs="Arial"/>
                <w:noProof/>
              </w:rPr>
              <w:t>3.6.5</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_Toc473581440 \h </w:instrText>
            </w:r>
            <w:r w:rsidR="009610A6" w:rsidRPr="009610A6">
              <w:rPr>
                <w:noProof/>
                <w:webHidden/>
              </w:rPr>
            </w:r>
            <w:r w:rsidR="009610A6" w:rsidRPr="009610A6">
              <w:rPr>
                <w:noProof/>
                <w:webHidden/>
              </w:rPr>
              <w:fldChar w:fldCharType="separate"/>
            </w:r>
            <w:r w:rsidR="00EF5280">
              <w:rPr>
                <w:noProof/>
                <w:webHidden/>
              </w:rPr>
              <w:t>175</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41" w:history="1">
            <w:r w:rsidR="009610A6" w:rsidRPr="009610A6">
              <w:rPr>
                <w:rStyle w:val="Hipervnculo"/>
                <w:b w:val="0"/>
              </w:rPr>
              <w:t>3.7</w:t>
            </w:r>
            <w:r w:rsidR="009610A6" w:rsidRPr="009610A6">
              <w:rPr>
                <w:rFonts w:asciiTheme="minorHAnsi" w:eastAsiaTheme="minorEastAsia" w:hAnsiTheme="minorHAnsi" w:cstheme="minorBidi"/>
                <w:kern w:val="0"/>
                <w:lang w:val="es-CO" w:eastAsia="es-CO"/>
              </w:rPr>
              <w:tab/>
            </w:r>
            <w:r w:rsidR="009610A6" w:rsidRPr="009610A6">
              <w:rPr>
                <w:rStyle w:val="Hipervnculo"/>
                <w:b w:val="0"/>
              </w:rPr>
              <w:t>ASUNTOS TRANSVERSALES</w:t>
            </w:r>
            <w:r w:rsidR="009610A6" w:rsidRPr="009610A6">
              <w:rPr>
                <w:webHidden/>
              </w:rPr>
              <w:tab/>
            </w:r>
            <w:r w:rsidR="009610A6" w:rsidRPr="009610A6">
              <w:rPr>
                <w:webHidden/>
              </w:rPr>
              <w:fldChar w:fldCharType="begin"/>
            </w:r>
            <w:r w:rsidR="009610A6" w:rsidRPr="009610A6">
              <w:rPr>
                <w:webHidden/>
              </w:rPr>
              <w:instrText xml:space="preserve"> PAGEREF _Toc473581441 \h </w:instrText>
            </w:r>
            <w:r w:rsidR="009610A6" w:rsidRPr="009610A6">
              <w:rPr>
                <w:webHidden/>
              </w:rPr>
            </w:r>
            <w:r w:rsidR="009610A6" w:rsidRPr="009610A6">
              <w:rPr>
                <w:webHidden/>
              </w:rPr>
              <w:fldChar w:fldCharType="separate"/>
            </w:r>
            <w:r w:rsidR="00EF5280">
              <w:rPr>
                <w:webHidden/>
              </w:rPr>
              <w:t>177</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42" w:history="1">
            <w:r w:rsidR="009610A6" w:rsidRPr="009610A6">
              <w:rPr>
                <w:rStyle w:val="Hipervnculo"/>
                <w:rFonts w:eastAsiaTheme="majorEastAsia" w:cs="Arial"/>
                <w:noProof/>
              </w:rPr>
              <w:t>3.7.1</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Gestión del ICBF en La Guajira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_Toc473581442 \h </w:instrText>
            </w:r>
            <w:r w:rsidR="009610A6" w:rsidRPr="009610A6">
              <w:rPr>
                <w:noProof/>
                <w:webHidden/>
              </w:rPr>
            </w:r>
            <w:r w:rsidR="009610A6" w:rsidRPr="009610A6">
              <w:rPr>
                <w:noProof/>
                <w:webHidden/>
              </w:rPr>
              <w:fldChar w:fldCharType="separate"/>
            </w:r>
            <w:r w:rsidR="00EF5280">
              <w:rPr>
                <w:noProof/>
                <w:webHidden/>
              </w:rPr>
              <w:t>177</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43" w:history="1">
            <w:r w:rsidR="009610A6" w:rsidRPr="009610A6">
              <w:rPr>
                <w:rStyle w:val="Hipervnculo"/>
                <w:rFonts w:eastAsiaTheme="majorEastAsia" w:cs="Arial"/>
                <w:noProof/>
              </w:rPr>
              <w:t>3.8</w:t>
            </w:r>
            <w:r w:rsidR="009610A6" w:rsidRPr="009610A6">
              <w:rPr>
                <w:rFonts w:asciiTheme="minorHAnsi" w:eastAsiaTheme="minorEastAsia" w:hAnsiTheme="minorHAnsi" w:cstheme="minorBidi"/>
                <w:noProof/>
                <w:lang w:val="es-CO" w:eastAsia="es-CO"/>
              </w:rPr>
              <w:tab/>
            </w:r>
            <w:r w:rsidR="009610A6" w:rsidRPr="009610A6">
              <w:rPr>
                <w:rStyle w:val="Hipervnculo"/>
                <w:rFonts w:eastAsia="Times New Roman" w:cs="Arial"/>
                <w:bCs/>
                <w:noProof/>
                <w:kern w:val="32"/>
              </w:rPr>
              <w:t>Modelo de Enfoque Diferencial de Derechos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_Toc473581443 \h </w:instrText>
            </w:r>
            <w:r w:rsidR="009610A6" w:rsidRPr="009610A6">
              <w:rPr>
                <w:noProof/>
                <w:webHidden/>
              </w:rPr>
            </w:r>
            <w:r w:rsidR="009610A6" w:rsidRPr="009610A6">
              <w:rPr>
                <w:noProof/>
                <w:webHidden/>
              </w:rPr>
              <w:fldChar w:fldCharType="separate"/>
            </w:r>
            <w:r w:rsidR="00EF5280">
              <w:rPr>
                <w:noProof/>
                <w:webHidden/>
              </w:rPr>
              <w:t>180</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44" w:history="1">
            <w:r w:rsidR="009610A6" w:rsidRPr="009610A6">
              <w:rPr>
                <w:rStyle w:val="Hipervnculo"/>
              </w:rPr>
              <w:t>4.</w:t>
            </w:r>
            <w:r w:rsidR="009610A6" w:rsidRPr="009610A6">
              <w:rPr>
                <w:rFonts w:asciiTheme="minorHAnsi" w:eastAsiaTheme="minorEastAsia" w:hAnsiTheme="minorHAnsi" w:cstheme="minorBidi"/>
                <w:kern w:val="0"/>
                <w:lang w:val="es-CO" w:eastAsia="es-CO"/>
              </w:rPr>
              <w:tab/>
            </w:r>
            <w:r w:rsidR="009610A6" w:rsidRPr="009610A6">
              <w:rPr>
                <w:rStyle w:val="Hipervnculo"/>
              </w:rPr>
              <w:t>TRANSPARENCIA, PARTICIPACIÓN Y SERVICIO AL CIUDADANO</w:t>
            </w:r>
            <w:r w:rsidR="009610A6" w:rsidRPr="009610A6">
              <w:rPr>
                <w:webHidden/>
              </w:rPr>
              <w:tab/>
            </w:r>
            <w:r w:rsidR="009610A6" w:rsidRPr="009610A6">
              <w:rPr>
                <w:webHidden/>
              </w:rPr>
              <w:fldChar w:fldCharType="begin"/>
            </w:r>
            <w:r w:rsidR="009610A6" w:rsidRPr="009610A6">
              <w:rPr>
                <w:webHidden/>
              </w:rPr>
              <w:instrText xml:space="preserve"> PAGEREF _Toc473581444 \h </w:instrText>
            </w:r>
            <w:r w:rsidR="009610A6" w:rsidRPr="009610A6">
              <w:rPr>
                <w:webHidden/>
              </w:rPr>
            </w:r>
            <w:r w:rsidR="009610A6" w:rsidRPr="009610A6">
              <w:rPr>
                <w:webHidden/>
              </w:rPr>
              <w:fldChar w:fldCharType="separate"/>
            </w:r>
            <w:r w:rsidR="00EF5280">
              <w:rPr>
                <w:webHidden/>
              </w:rPr>
              <w:t>190</w:t>
            </w:r>
            <w:r w:rsidR="009610A6" w:rsidRPr="009610A6">
              <w:rPr>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50" w:history="1">
            <w:r w:rsidR="009610A6" w:rsidRPr="009610A6">
              <w:rPr>
                <w:rStyle w:val="Hipervnculo"/>
                <w:rFonts w:eastAsiaTheme="majorEastAsia" w:cs="Arial"/>
                <w:noProof/>
              </w:rPr>
              <w:t>4.1 Transparencia y acceso a la información pública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_Toc473581450 \h </w:instrText>
            </w:r>
            <w:r w:rsidR="009610A6" w:rsidRPr="009610A6">
              <w:rPr>
                <w:noProof/>
                <w:webHidden/>
              </w:rPr>
            </w:r>
            <w:r w:rsidR="009610A6" w:rsidRPr="009610A6">
              <w:rPr>
                <w:noProof/>
                <w:webHidden/>
              </w:rPr>
              <w:fldChar w:fldCharType="separate"/>
            </w:r>
            <w:r w:rsidR="00EF5280">
              <w:rPr>
                <w:noProof/>
                <w:webHidden/>
              </w:rPr>
              <w:t>190</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1" w:history="1">
            <w:r w:rsidR="009610A6" w:rsidRPr="009610A6">
              <w:rPr>
                <w:rStyle w:val="Hipervnculo"/>
                <w:rFonts w:eastAsiaTheme="majorEastAsia" w:cs="Arial"/>
                <w:noProof/>
              </w:rPr>
              <w:t>4.2</w:t>
            </w:r>
            <w:r w:rsidR="009610A6" w:rsidRPr="009610A6">
              <w:rPr>
                <w:rFonts w:asciiTheme="minorHAnsi" w:eastAsiaTheme="minorEastAsia" w:hAnsiTheme="minorHAnsi" w:cstheme="minorBidi"/>
                <w:noProof/>
                <w:lang w:val="es-CO" w:eastAsia="es-CO"/>
              </w:rPr>
              <w:tab/>
            </w:r>
            <w:r w:rsidR="009610A6" w:rsidRPr="009610A6">
              <w:rPr>
                <w:rStyle w:val="Hipervnculo"/>
                <w:rFonts w:eastAsiaTheme="majorEastAsia" w:cs="Arial"/>
                <w:noProof/>
              </w:rPr>
              <w:t>Participación, Rendición de cuentas y mesas públicas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_Toc473581451 \h </w:instrText>
            </w:r>
            <w:r w:rsidR="009610A6" w:rsidRPr="009610A6">
              <w:rPr>
                <w:noProof/>
                <w:webHidden/>
              </w:rPr>
            </w:r>
            <w:r w:rsidR="009610A6" w:rsidRPr="009610A6">
              <w:rPr>
                <w:noProof/>
                <w:webHidden/>
              </w:rPr>
              <w:fldChar w:fldCharType="separate"/>
            </w:r>
            <w:r w:rsidR="00EF5280">
              <w:rPr>
                <w:noProof/>
                <w:webHidden/>
              </w:rPr>
              <w:t>198</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2" w:history="1">
            <w:r w:rsidR="009610A6" w:rsidRPr="009610A6">
              <w:rPr>
                <w:rStyle w:val="Hipervnculo"/>
                <w:rFonts w:eastAsiaTheme="majorEastAsia" w:cs="Arial"/>
                <w:noProof/>
              </w:rPr>
              <w:t>4.3</w:t>
            </w:r>
            <w:r w:rsidR="009610A6" w:rsidRPr="009610A6">
              <w:rPr>
                <w:rFonts w:asciiTheme="minorHAnsi" w:eastAsiaTheme="minorEastAsia" w:hAnsiTheme="minorHAnsi" w:cstheme="minorBidi"/>
                <w:noProof/>
                <w:lang w:val="es-CO" w:eastAsia="es-CO"/>
              </w:rPr>
              <w:tab/>
            </w:r>
            <w:r w:rsidR="009610A6" w:rsidRPr="009610A6">
              <w:rPr>
                <w:rStyle w:val="Hipervnculo"/>
                <w:rFonts w:eastAsiaTheme="majorEastAsia" w:cs="Arial"/>
                <w:noProof/>
              </w:rPr>
              <w:t>Servicio al ciudadano</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_Toc473581452 \h </w:instrText>
            </w:r>
            <w:r w:rsidR="009610A6" w:rsidRPr="009610A6">
              <w:rPr>
                <w:noProof/>
                <w:webHidden/>
              </w:rPr>
            </w:r>
            <w:r w:rsidR="009610A6" w:rsidRPr="009610A6">
              <w:rPr>
                <w:noProof/>
                <w:webHidden/>
              </w:rPr>
              <w:fldChar w:fldCharType="separate"/>
            </w:r>
            <w:r w:rsidR="00EF5280">
              <w:rPr>
                <w:noProof/>
                <w:webHidden/>
              </w:rPr>
              <w:t>203</w:t>
            </w:r>
            <w:r w:rsidR="009610A6" w:rsidRPr="009610A6">
              <w:rPr>
                <w:noProof/>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53" w:history="1">
            <w:r w:rsidR="009610A6" w:rsidRPr="009610A6">
              <w:rPr>
                <w:rStyle w:val="Hipervnculo"/>
                <w:rFonts w:cs="Arial"/>
                <w:noProof/>
              </w:rPr>
              <w:t>4.4. Gestión del Conocimiento e Innovación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_Toc473581453 \h </w:instrText>
            </w:r>
            <w:r w:rsidR="009610A6" w:rsidRPr="009610A6">
              <w:rPr>
                <w:noProof/>
                <w:webHidden/>
              </w:rPr>
            </w:r>
            <w:r w:rsidR="009610A6" w:rsidRPr="009610A6">
              <w:rPr>
                <w:noProof/>
                <w:webHidden/>
              </w:rPr>
              <w:fldChar w:fldCharType="separate"/>
            </w:r>
            <w:r w:rsidR="00EF5280">
              <w:rPr>
                <w:noProof/>
                <w:webHidden/>
              </w:rPr>
              <w:t>206</w:t>
            </w:r>
            <w:r w:rsidR="009610A6" w:rsidRPr="009610A6">
              <w:rPr>
                <w:noProof/>
                <w:webHidden/>
              </w:rPr>
              <w:fldChar w:fldCharType="end"/>
            </w:r>
          </w:hyperlink>
        </w:p>
        <w:p w:rsidR="009610A6" w:rsidRPr="009610A6" w:rsidRDefault="009A3CC4">
          <w:pPr>
            <w:pStyle w:val="TDC2"/>
            <w:tabs>
              <w:tab w:val="right" w:leader="dot" w:pos="9395"/>
            </w:tabs>
            <w:rPr>
              <w:rFonts w:asciiTheme="minorHAnsi" w:eastAsiaTheme="minorEastAsia" w:hAnsiTheme="minorHAnsi" w:cstheme="minorBidi"/>
              <w:noProof/>
              <w:lang w:val="es-CO" w:eastAsia="es-CO"/>
            </w:rPr>
          </w:pPr>
          <w:hyperlink w:anchor="_Toc473581454" w:history="1">
            <w:r w:rsidR="009610A6" w:rsidRPr="009610A6">
              <w:rPr>
                <w:rStyle w:val="Hipervnculo"/>
                <w:rFonts w:cs="Arial"/>
                <w:noProof/>
              </w:rPr>
              <w:t>Contexto del modelo de Gestión de Conocimiento e Innovación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_Toc473581454 \h </w:instrText>
            </w:r>
            <w:r w:rsidR="009610A6" w:rsidRPr="009610A6">
              <w:rPr>
                <w:noProof/>
                <w:webHidden/>
              </w:rPr>
            </w:r>
            <w:r w:rsidR="009610A6" w:rsidRPr="009610A6">
              <w:rPr>
                <w:noProof/>
                <w:webHidden/>
              </w:rPr>
              <w:fldChar w:fldCharType="separate"/>
            </w:r>
            <w:r w:rsidR="00EF5280">
              <w:rPr>
                <w:noProof/>
                <w:webHidden/>
              </w:rPr>
              <w:t>206</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5" w:history="1">
            <w:r w:rsidR="009610A6" w:rsidRPr="009610A6">
              <w:rPr>
                <w:rStyle w:val="Hipervnculo"/>
                <w:rFonts w:cs="Arial"/>
                <w:noProof/>
              </w:rPr>
              <w:t>4.5.</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y Retos de Transparencia, participación y servicio al ciudadano</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_Toc473581455 \h </w:instrText>
            </w:r>
            <w:r w:rsidR="009610A6" w:rsidRPr="009610A6">
              <w:rPr>
                <w:noProof/>
                <w:webHidden/>
              </w:rPr>
            </w:r>
            <w:r w:rsidR="009610A6" w:rsidRPr="009610A6">
              <w:rPr>
                <w:noProof/>
                <w:webHidden/>
              </w:rPr>
              <w:fldChar w:fldCharType="separate"/>
            </w:r>
            <w:r w:rsidR="00EF5280">
              <w:rPr>
                <w:noProof/>
                <w:webHidden/>
              </w:rPr>
              <w:t>207</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56" w:history="1">
            <w:r w:rsidR="009610A6" w:rsidRPr="009610A6">
              <w:rPr>
                <w:rStyle w:val="Hipervnculo"/>
              </w:rPr>
              <w:t>5</w:t>
            </w:r>
            <w:r w:rsidR="009610A6" w:rsidRPr="009610A6">
              <w:rPr>
                <w:rFonts w:asciiTheme="minorHAnsi" w:eastAsiaTheme="minorEastAsia" w:hAnsiTheme="minorHAnsi" w:cstheme="minorBidi"/>
                <w:kern w:val="0"/>
                <w:lang w:val="es-CO" w:eastAsia="es-CO"/>
              </w:rPr>
              <w:tab/>
            </w:r>
            <w:r w:rsidR="009610A6" w:rsidRPr="009610A6">
              <w:rPr>
                <w:rStyle w:val="Hipervnculo"/>
              </w:rPr>
              <w:t>GESTIÓN DEL TALENTO HUMANO</w:t>
            </w:r>
            <w:r w:rsidR="009610A6" w:rsidRPr="009610A6">
              <w:rPr>
                <w:webHidden/>
              </w:rPr>
              <w:tab/>
            </w:r>
            <w:r w:rsidR="009610A6" w:rsidRPr="009610A6">
              <w:rPr>
                <w:webHidden/>
              </w:rPr>
              <w:fldChar w:fldCharType="begin"/>
            </w:r>
            <w:r w:rsidR="009610A6" w:rsidRPr="009610A6">
              <w:rPr>
                <w:webHidden/>
              </w:rPr>
              <w:instrText xml:space="preserve"> PAGEREF _Toc473581456 \h </w:instrText>
            </w:r>
            <w:r w:rsidR="009610A6" w:rsidRPr="009610A6">
              <w:rPr>
                <w:webHidden/>
              </w:rPr>
            </w:r>
            <w:r w:rsidR="009610A6" w:rsidRPr="009610A6">
              <w:rPr>
                <w:webHidden/>
              </w:rPr>
              <w:fldChar w:fldCharType="separate"/>
            </w:r>
            <w:r w:rsidR="00EF5280">
              <w:rPr>
                <w:webHidden/>
              </w:rPr>
              <w:t>216</w:t>
            </w:r>
            <w:r w:rsidR="009610A6" w:rsidRPr="009610A6">
              <w:rPr>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7" w:history="1">
            <w:r w:rsidR="009610A6" w:rsidRPr="009610A6">
              <w:rPr>
                <w:rStyle w:val="Hipervnculo"/>
                <w:rFonts w:cs="Arial"/>
                <w:noProof/>
              </w:rPr>
              <w:t>5.1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institucional de capacitación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_Toc473581457 \h </w:instrText>
            </w:r>
            <w:r w:rsidR="009610A6" w:rsidRPr="009610A6">
              <w:rPr>
                <w:noProof/>
                <w:webHidden/>
              </w:rPr>
            </w:r>
            <w:r w:rsidR="009610A6" w:rsidRPr="009610A6">
              <w:rPr>
                <w:noProof/>
                <w:webHidden/>
              </w:rPr>
              <w:fldChar w:fldCharType="separate"/>
            </w:r>
            <w:r w:rsidR="00EF5280">
              <w:rPr>
                <w:noProof/>
                <w:webHidden/>
              </w:rPr>
              <w:t>216</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8" w:history="1">
            <w:r w:rsidR="009610A6" w:rsidRPr="009610A6">
              <w:rPr>
                <w:rStyle w:val="Hipervnculo"/>
                <w:rFonts w:cs="Arial"/>
                <w:noProof/>
              </w:rPr>
              <w:t>5.2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de bienestar e incentivos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_Toc473581458 \h </w:instrText>
            </w:r>
            <w:r w:rsidR="009610A6" w:rsidRPr="009610A6">
              <w:rPr>
                <w:noProof/>
                <w:webHidden/>
              </w:rPr>
            </w:r>
            <w:r w:rsidR="009610A6" w:rsidRPr="009610A6">
              <w:rPr>
                <w:noProof/>
                <w:webHidden/>
              </w:rPr>
              <w:fldChar w:fldCharType="separate"/>
            </w:r>
            <w:r w:rsidR="00EF5280">
              <w:rPr>
                <w:noProof/>
                <w:webHidden/>
              </w:rPr>
              <w:t>219</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59" w:history="1">
            <w:r w:rsidR="009610A6" w:rsidRPr="009610A6">
              <w:rPr>
                <w:rStyle w:val="Hipervnculo"/>
                <w:rFonts w:cs="Arial"/>
                <w:noProof/>
              </w:rPr>
              <w:t>5.3</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Plan anual de vacantes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_Toc473581459 \h </w:instrText>
            </w:r>
            <w:r w:rsidR="009610A6" w:rsidRPr="009610A6">
              <w:rPr>
                <w:noProof/>
                <w:webHidden/>
              </w:rPr>
            </w:r>
            <w:r w:rsidR="009610A6" w:rsidRPr="009610A6">
              <w:rPr>
                <w:noProof/>
                <w:webHidden/>
              </w:rPr>
              <w:fldChar w:fldCharType="separate"/>
            </w:r>
            <w:r w:rsidR="00EF5280">
              <w:rPr>
                <w:noProof/>
                <w:webHidden/>
              </w:rPr>
              <w:t>222</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0" w:history="1">
            <w:r w:rsidR="009610A6" w:rsidRPr="009610A6">
              <w:rPr>
                <w:rStyle w:val="Hipervnculo"/>
                <w:rFonts w:cs="Arial"/>
                <w:noProof/>
              </w:rPr>
              <w:t>5.4</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_Toc473581460 \h </w:instrText>
            </w:r>
            <w:r w:rsidR="009610A6" w:rsidRPr="009610A6">
              <w:rPr>
                <w:noProof/>
                <w:webHidden/>
              </w:rPr>
            </w:r>
            <w:r w:rsidR="009610A6" w:rsidRPr="009610A6">
              <w:rPr>
                <w:noProof/>
                <w:webHidden/>
              </w:rPr>
              <w:fldChar w:fldCharType="separate"/>
            </w:r>
            <w:r w:rsidR="00EF5280">
              <w:rPr>
                <w:noProof/>
                <w:webHidden/>
              </w:rPr>
              <w:t>223</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1" w:history="1">
            <w:r w:rsidR="009610A6" w:rsidRPr="009610A6">
              <w:rPr>
                <w:rStyle w:val="Hipervnculo"/>
                <w:rFonts w:cs="Arial"/>
                <w:noProof/>
              </w:rPr>
              <w:t>10.5</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_Toc473581461 \h </w:instrText>
            </w:r>
            <w:r w:rsidR="009610A6" w:rsidRPr="009610A6">
              <w:rPr>
                <w:noProof/>
                <w:webHidden/>
              </w:rPr>
            </w:r>
            <w:r w:rsidR="009610A6" w:rsidRPr="009610A6">
              <w:rPr>
                <w:noProof/>
                <w:webHidden/>
              </w:rPr>
              <w:fldChar w:fldCharType="separate"/>
            </w:r>
            <w:r w:rsidR="00EF5280">
              <w:rPr>
                <w:noProof/>
                <w:webHidden/>
              </w:rPr>
              <w:t>224</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62" w:history="1">
            <w:r w:rsidR="009610A6" w:rsidRPr="009610A6">
              <w:rPr>
                <w:rStyle w:val="Hipervnculo"/>
              </w:rPr>
              <w:t>6</w:t>
            </w:r>
            <w:r w:rsidR="009610A6" w:rsidRPr="009610A6">
              <w:rPr>
                <w:rFonts w:asciiTheme="minorHAnsi" w:eastAsiaTheme="minorEastAsia" w:hAnsiTheme="minorHAnsi" w:cstheme="minorBidi"/>
                <w:kern w:val="0"/>
                <w:lang w:val="es-CO" w:eastAsia="es-CO"/>
              </w:rPr>
              <w:tab/>
            </w:r>
            <w:r w:rsidR="009610A6" w:rsidRPr="009610A6">
              <w:rPr>
                <w:rStyle w:val="Hipervnculo"/>
              </w:rPr>
              <w:t>GESTIÓN ADMINISTRATIVA</w:t>
            </w:r>
            <w:r w:rsidR="009610A6" w:rsidRPr="009610A6">
              <w:rPr>
                <w:webHidden/>
              </w:rPr>
              <w:tab/>
            </w:r>
            <w:r w:rsidR="009610A6" w:rsidRPr="009610A6">
              <w:rPr>
                <w:webHidden/>
              </w:rPr>
              <w:fldChar w:fldCharType="begin"/>
            </w:r>
            <w:r w:rsidR="009610A6" w:rsidRPr="009610A6">
              <w:rPr>
                <w:webHidden/>
              </w:rPr>
              <w:instrText xml:space="preserve"> PAGEREF _Toc473581462 \h </w:instrText>
            </w:r>
            <w:r w:rsidR="009610A6" w:rsidRPr="009610A6">
              <w:rPr>
                <w:webHidden/>
              </w:rPr>
            </w:r>
            <w:r w:rsidR="009610A6" w:rsidRPr="009610A6">
              <w:rPr>
                <w:webHidden/>
              </w:rPr>
              <w:fldChar w:fldCharType="separate"/>
            </w:r>
            <w:r w:rsidR="00EF5280">
              <w:rPr>
                <w:webHidden/>
              </w:rPr>
              <w:t>226</w:t>
            </w:r>
            <w:r w:rsidR="009610A6" w:rsidRPr="009610A6">
              <w:rPr>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3" w:history="1">
            <w:r w:rsidR="009610A6" w:rsidRPr="009610A6">
              <w:rPr>
                <w:rStyle w:val="Hipervnculo"/>
                <w:rFonts w:cs="Arial"/>
                <w:noProof/>
              </w:rPr>
              <w:t>6.1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Infraestructura para la atención de la primera infancia</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_Toc473581463 \h </w:instrText>
            </w:r>
            <w:r w:rsidR="009610A6" w:rsidRPr="009610A6">
              <w:rPr>
                <w:noProof/>
                <w:webHidden/>
              </w:rPr>
            </w:r>
            <w:r w:rsidR="009610A6" w:rsidRPr="009610A6">
              <w:rPr>
                <w:noProof/>
                <w:webHidden/>
              </w:rPr>
              <w:fldChar w:fldCharType="separate"/>
            </w:r>
            <w:r w:rsidR="00EF5280">
              <w:rPr>
                <w:noProof/>
                <w:webHidden/>
              </w:rPr>
              <w:t>226</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4" w:history="1">
            <w:r w:rsidR="009610A6" w:rsidRPr="009610A6">
              <w:rPr>
                <w:rStyle w:val="Hipervnculo"/>
                <w:noProof/>
              </w:rPr>
              <w:t>6.2</w:t>
            </w:r>
            <w:r w:rsidR="009610A6" w:rsidRPr="009610A6">
              <w:rPr>
                <w:rFonts w:asciiTheme="minorHAnsi" w:eastAsiaTheme="minorEastAsia" w:hAnsiTheme="minorHAnsi" w:cstheme="minorBidi"/>
                <w:noProof/>
                <w:lang w:val="es-CO" w:eastAsia="es-CO"/>
              </w:rPr>
              <w:tab/>
            </w:r>
            <w:r w:rsidR="009610A6" w:rsidRPr="009610A6">
              <w:rPr>
                <w:rStyle w:val="Hipervnculo"/>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_Toc473581464 \h </w:instrText>
            </w:r>
            <w:r w:rsidR="009610A6" w:rsidRPr="009610A6">
              <w:rPr>
                <w:noProof/>
                <w:webHidden/>
              </w:rPr>
            </w:r>
            <w:r w:rsidR="009610A6" w:rsidRPr="009610A6">
              <w:rPr>
                <w:noProof/>
                <w:webHidden/>
              </w:rPr>
              <w:fldChar w:fldCharType="separate"/>
            </w:r>
            <w:r w:rsidR="00EF5280">
              <w:rPr>
                <w:noProof/>
                <w:webHidden/>
              </w:rPr>
              <w:t>230</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5" w:history="1">
            <w:r w:rsidR="009610A6" w:rsidRPr="009610A6">
              <w:rPr>
                <w:rStyle w:val="Hipervnculo"/>
                <w:noProof/>
              </w:rPr>
              <w:t>6.3</w:t>
            </w:r>
            <w:r w:rsidR="009610A6" w:rsidRPr="009610A6">
              <w:rPr>
                <w:rFonts w:asciiTheme="minorHAnsi" w:eastAsiaTheme="minorEastAsia" w:hAnsiTheme="minorHAnsi" w:cstheme="minorBidi"/>
                <w:noProof/>
                <w:lang w:val="es-CO" w:eastAsia="es-CO"/>
              </w:rPr>
              <w:tab/>
            </w:r>
            <w:r w:rsidR="009610A6" w:rsidRPr="009610A6">
              <w:rPr>
                <w:rStyle w:val="Hipervnculo"/>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_Toc473581465 \h </w:instrText>
            </w:r>
            <w:r w:rsidR="009610A6" w:rsidRPr="009610A6">
              <w:rPr>
                <w:noProof/>
                <w:webHidden/>
              </w:rPr>
            </w:r>
            <w:r w:rsidR="009610A6" w:rsidRPr="009610A6">
              <w:rPr>
                <w:noProof/>
                <w:webHidden/>
              </w:rPr>
              <w:fldChar w:fldCharType="separate"/>
            </w:r>
            <w:r w:rsidR="00EF5280">
              <w:rPr>
                <w:noProof/>
                <w:webHidden/>
              </w:rPr>
              <w:t>231</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6" w:history="1">
            <w:r w:rsidR="009610A6" w:rsidRPr="009610A6">
              <w:rPr>
                <w:rStyle w:val="Hipervnculo"/>
                <w:noProof/>
              </w:rPr>
              <w:t>6.4</w:t>
            </w:r>
            <w:r w:rsidR="009610A6" w:rsidRPr="009610A6">
              <w:rPr>
                <w:rFonts w:asciiTheme="minorHAnsi" w:eastAsiaTheme="minorEastAsia" w:hAnsiTheme="minorHAnsi" w:cstheme="minorBidi"/>
                <w:noProof/>
                <w:lang w:val="es-CO" w:eastAsia="es-CO"/>
              </w:rPr>
              <w:tab/>
            </w:r>
            <w:r w:rsidR="009610A6" w:rsidRPr="009610A6">
              <w:rPr>
                <w:rStyle w:val="Hipervnculo"/>
                <w:noProof/>
              </w:rPr>
              <w:t>Modelo Estándar de Control Interno – MECI</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_Toc473581466 \h </w:instrText>
            </w:r>
            <w:r w:rsidR="009610A6" w:rsidRPr="009610A6">
              <w:rPr>
                <w:noProof/>
                <w:webHidden/>
              </w:rPr>
            </w:r>
            <w:r w:rsidR="009610A6" w:rsidRPr="009610A6">
              <w:rPr>
                <w:noProof/>
                <w:webHidden/>
              </w:rPr>
              <w:fldChar w:fldCharType="separate"/>
            </w:r>
            <w:r w:rsidR="00EF5280">
              <w:rPr>
                <w:noProof/>
                <w:webHidden/>
              </w:rPr>
              <w:t>232</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67" w:history="1">
            <w:r w:rsidR="009610A6" w:rsidRPr="009610A6">
              <w:rPr>
                <w:rStyle w:val="Hipervnculo"/>
                <w:noProof/>
              </w:rPr>
              <w:t>6.4.1</w:t>
            </w:r>
            <w:r w:rsidR="009610A6" w:rsidRPr="009610A6">
              <w:rPr>
                <w:rFonts w:asciiTheme="minorHAnsi" w:eastAsiaTheme="minorEastAsia" w:hAnsiTheme="minorHAnsi" w:cstheme="minorBidi"/>
                <w:noProof/>
                <w:lang w:val="es-CO" w:eastAsia="es-CO"/>
              </w:rPr>
              <w:tab/>
            </w:r>
            <w:r w:rsidR="009610A6" w:rsidRPr="009610A6">
              <w:rPr>
                <w:rStyle w:val="Hipervnculo"/>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_Toc473581467 \h </w:instrText>
            </w:r>
            <w:r w:rsidR="009610A6" w:rsidRPr="009610A6">
              <w:rPr>
                <w:noProof/>
                <w:webHidden/>
              </w:rPr>
            </w:r>
            <w:r w:rsidR="009610A6" w:rsidRPr="009610A6">
              <w:rPr>
                <w:noProof/>
                <w:webHidden/>
              </w:rPr>
              <w:fldChar w:fldCharType="separate"/>
            </w:r>
            <w:r w:rsidR="00EF5280">
              <w:rPr>
                <w:noProof/>
                <w:webHidden/>
              </w:rPr>
              <w:t>249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68" w:history="1">
            <w:r w:rsidR="009610A6" w:rsidRPr="009610A6">
              <w:rPr>
                <w:rStyle w:val="Hipervnculo"/>
                <w:noProof/>
              </w:rPr>
              <w:t>6.4.2</w:t>
            </w:r>
            <w:r w:rsidR="009610A6" w:rsidRPr="009610A6">
              <w:rPr>
                <w:rFonts w:asciiTheme="minorHAnsi" w:eastAsiaTheme="minorEastAsia" w:hAnsiTheme="minorHAnsi" w:cstheme="minorBidi"/>
                <w:noProof/>
                <w:lang w:val="es-CO" w:eastAsia="es-CO"/>
              </w:rPr>
              <w:tab/>
            </w:r>
            <w:r w:rsidR="009610A6" w:rsidRPr="009610A6">
              <w:rPr>
                <w:rStyle w:val="Hipervnculo"/>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_Toc473581468 \h </w:instrText>
            </w:r>
            <w:r w:rsidR="009610A6" w:rsidRPr="009610A6">
              <w:rPr>
                <w:noProof/>
                <w:webHidden/>
              </w:rPr>
            </w:r>
            <w:r w:rsidR="009610A6" w:rsidRPr="009610A6">
              <w:rPr>
                <w:noProof/>
                <w:webHidden/>
              </w:rPr>
              <w:fldChar w:fldCharType="separate"/>
            </w:r>
            <w:r w:rsidR="00EF5280">
              <w:rPr>
                <w:noProof/>
                <w:webHidden/>
              </w:rPr>
              <w:t>250</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69" w:history="1">
            <w:r w:rsidR="009610A6" w:rsidRPr="009610A6">
              <w:rPr>
                <w:rStyle w:val="Hipervnculo"/>
                <w:rFonts w:cs="Arial"/>
                <w:noProof/>
              </w:rPr>
              <w:t>6.5</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Gestión regional</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_Toc473581469 \h </w:instrText>
            </w:r>
            <w:r w:rsidR="009610A6" w:rsidRPr="009610A6">
              <w:rPr>
                <w:noProof/>
                <w:webHidden/>
              </w:rPr>
            </w:r>
            <w:r w:rsidR="009610A6" w:rsidRPr="009610A6">
              <w:rPr>
                <w:noProof/>
                <w:webHidden/>
              </w:rPr>
              <w:fldChar w:fldCharType="separate"/>
            </w:r>
            <w:r w:rsidR="00EF5280">
              <w:rPr>
                <w:noProof/>
                <w:webHidden/>
              </w:rPr>
              <w:t>250</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0" w:history="1">
            <w:r w:rsidR="009610A6" w:rsidRPr="009610A6">
              <w:rPr>
                <w:rStyle w:val="Hipervnculo"/>
                <w:rFonts w:cs="Arial"/>
                <w:noProof/>
              </w:rPr>
              <w:t>6.5.1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y Retos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_Toc473581470 \h </w:instrText>
            </w:r>
            <w:r w:rsidR="009610A6" w:rsidRPr="009610A6">
              <w:rPr>
                <w:noProof/>
                <w:webHidden/>
              </w:rPr>
            </w:r>
            <w:r w:rsidR="009610A6" w:rsidRPr="009610A6">
              <w:rPr>
                <w:noProof/>
                <w:webHidden/>
              </w:rPr>
              <w:fldChar w:fldCharType="separate"/>
            </w:r>
            <w:r w:rsidR="00EF5280">
              <w:rPr>
                <w:noProof/>
                <w:webHidden/>
              </w:rPr>
              <w:t>252</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71" w:history="1">
            <w:r w:rsidR="009610A6" w:rsidRPr="009610A6">
              <w:rPr>
                <w:rStyle w:val="Hipervnculo"/>
                <w:rFonts w:cs="Arial"/>
                <w:noProof/>
              </w:rPr>
              <w:t>6.6</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Contratación</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_Toc473581471 \h </w:instrText>
            </w:r>
            <w:r w:rsidR="009610A6" w:rsidRPr="009610A6">
              <w:rPr>
                <w:noProof/>
                <w:webHidden/>
              </w:rPr>
            </w:r>
            <w:r w:rsidR="009610A6" w:rsidRPr="009610A6">
              <w:rPr>
                <w:noProof/>
                <w:webHidden/>
              </w:rPr>
              <w:fldChar w:fldCharType="separate"/>
            </w:r>
            <w:r w:rsidR="00EF5280">
              <w:rPr>
                <w:noProof/>
                <w:webHidden/>
              </w:rPr>
              <w:t>252</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2" w:history="1">
            <w:r w:rsidR="009610A6" w:rsidRPr="009610A6">
              <w:rPr>
                <w:rStyle w:val="Hipervnculo"/>
                <w:rFonts w:cs="Arial"/>
                <w:noProof/>
              </w:rPr>
              <w:t>6.6.1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_Toc473581472 \h </w:instrText>
            </w:r>
            <w:r w:rsidR="009610A6" w:rsidRPr="009610A6">
              <w:rPr>
                <w:noProof/>
                <w:webHidden/>
              </w:rPr>
            </w:r>
            <w:r w:rsidR="009610A6" w:rsidRPr="009610A6">
              <w:rPr>
                <w:noProof/>
                <w:webHidden/>
              </w:rPr>
              <w:fldChar w:fldCharType="separate"/>
            </w:r>
            <w:r w:rsidR="00EF5280">
              <w:rPr>
                <w:noProof/>
                <w:webHidden/>
              </w:rPr>
              <w:t>258</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3" w:history="1">
            <w:r w:rsidR="009610A6" w:rsidRPr="009610A6">
              <w:rPr>
                <w:rStyle w:val="Hipervnculo"/>
                <w:rFonts w:cs="Arial"/>
                <w:noProof/>
              </w:rPr>
              <w:t>6.6.2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_Toc473581473 \h </w:instrText>
            </w:r>
            <w:r w:rsidR="009610A6" w:rsidRPr="009610A6">
              <w:rPr>
                <w:noProof/>
                <w:webHidden/>
              </w:rPr>
            </w:r>
            <w:r w:rsidR="009610A6" w:rsidRPr="009610A6">
              <w:rPr>
                <w:noProof/>
                <w:webHidden/>
              </w:rPr>
              <w:fldChar w:fldCharType="separate"/>
            </w:r>
            <w:r w:rsidR="00EF5280">
              <w:rPr>
                <w:noProof/>
                <w:webHidden/>
              </w:rPr>
              <w:t>258</w:t>
            </w:r>
            <w:r w:rsidR="009610A6" w:rsidRPr="009610A6">
              <w:rPr>
                <w:noProof/>
                <w:webHidden/>
              </w:rPr>
              <w:fldChar w:fldCharType="end"/>
            </w:r>
          </w:hyperlink>
        </w:p>
        <w:p w:rsidR="009610A6" w:rsidRPr="009610A6" w:rsidRDefault="009A3CC4">
          <w:pPr>
            <w:pStyle w:val="TDC2"/>
            <w:tabs>
              <w:tab w:val="left" w:pos="880"/>
              <w:tab w:val="right" w:leader="dot" w:pos="9395"/>
            </w:tabs>
            <w:rPr>
              <w:rFonts w:asciiTheme="minorHAnsi" w:eastAsiaTheme="minorEastAsia" w:hAnsiTheme="minorHAnsi" w:cstheme="minorBidi"/>
              <w:noProof/>
              <w:lang w:val="es-CO" w:eastAsia="es-CO"/>
            </w:rPr>
          </w:pPr>
          <w:hyperlink w:anchor="_Toc473581474" w:history="1">
            <w:r w:rsidR="009610A6" w:rsidRPr="009610A6">
              <w:rPr>
                <w:rStyle w:val="Hipervnculo"/>
                <w:rFonts w:cs="Arial"/>
                <w:noProof/>
              </w:rPr>
              <w:t>6.7</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Gestión de Cooperación y Convenios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_Toc473581474 \h </w:instrText>
            </w:r>
            <w:r w:rsidR="009610A6" w:rsidRPr="009610A6">
              <w:rPr>
                <w:noProof/>
                <w:webHidden/>
              </w:rPr>
            </w:r>
            <w:r w:rsidR="009610A6" w:rsidRPr="009610A6">
              <w:rPr>
                <w:noProof/>
                <w:webHidden/>
              </w:rPr>
              <w:fldChar w:fldCharType="separate"/>
            </w:r>
            <w:r w:rsidR="00EF5280">
              <w:rPr>
                <w:noProof/>
                <w:webHidden/>
              </w:rPr>
              <w:t>259</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5" w:history="1">
            <w:r w:rsidR="009610A6" w:rsidRPr="009610A6">
              <w:rPr>
                <w:rStyle w:val="Hipervnculo"/>
                <w:rFonts w:cs="Arial"/>
                <w:noProof/>
              </w:rPr>
              <w:t>6.7.1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2016</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_Toc473581475 \h </w:instrText>
            </w:r>
            <w:r w:rsidR="009610A6" w:rsidRPr="009610A6">
              <w:rPr>
                <w:noProof/>
                <w:webHidden/>
              </w:rPr>
            </w:r>
            <w:r w:rsidR="009610A6" w:rsidRPr="009610A6">
              <w:rPr>
                <w:noProof/>
                <w:webHidden/>
              </w:rPr>
              <w:fldChar w:fldCharType="separate"/>
            </w:r>
            <w:r w:rsidR="00EF5280">
              <w:rPr>
                <w:noProof/>
                <w:webHidden/>
              </w:rPr>
              <w:t>261</w:t>
            </w:r>
            <w:r w:rsidR="009610A6" w:rsidRPr="009610A6">
              <w:rPr>
                <w:noProof/>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6" w:history="1">
            <w:r w:rsidR="009610A6" w:rsidRPr="009610A6">
              <w:rPr>
                <w:rStyle w:val="Hipervnculo"/>
                <w:rFonts w:cs="Arial"/>
                <w:noProof/>
              </w:rPr>
              <w:t>6.7.2</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Retos 2017</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_Toc473581476 \h </w:instrText>
            </w:r>
            <w:r w:rsidR="009610A6" w:rsidRPr="009610A6">
              <w:rPr>
                <w:noProof/>
                <w:webHidden/>
              </w:rPr>
            </w:r>
            <w:r w:rsidR="009610A6" w:rsidRPr="009610A6">
              <w:rPr>
                <w:noProof/>
                <w:webHidden/>
              </w:rPr>
              <w:fldChar w:fldCharType="separate"/>
            </w:r>
            <w:r w:rsidR="00EF5280">
              <w:rPr>
                <w:noProof/>
                <w:webHidden/>
              </w:rPr>
              <w:t>261</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77" w:history="1">
            <w:r w:rsidR="009610A6" w:rsidRPr="009610A6">
              <w:rPr>
                <w:rStyle w:val="Hipervnculo"/>
                <w:b w:val="0"/>
              </w:rPr>
              <w:t>6.8</w:t>
            </w:r>
            <w:r w:rsidR="009610A6" w:rsidRPr="009610A6">
              <w:rPr>
                <w:rFonts w:asciiTheme="minorHAnsi" w:eastAsiaTheme="minorEastAsia" w:hAnsiTheme="minorHAnsi" w:cstheme="minorBidi"/>
                <w:kern w:val="0"/>
                <w:lang w:val="es-CO" w:eastAsia="es-CO"/>
              </w:rPr>
              <w:tab/>
            </w:r>
            <w:r w:rsidR="009610A6" w:rsidRPr="009610A6">
              <w:rPr>
                <w:rStyle w:val="Hipervnculo"/>
                <w:b w:val="0"/>
              </w:rPr>
              <w:t>Gestión Comunicaciones</w:t>
            </w:r>
            <w:r w:rsidR="009610A6" w:rsidRPr="009610A6">
              <w:rPr>
                <w:webHidden/>
              </w:rPr>
              <w:tab/>
            </w:r>
            <w:r w:rsidR="009610A6" w:rsidRPr="009610A6">
              <w:rPr>
                <w:webHidden/>
              </w:rPr>
              <w:fldChar w:fldCharType="begin"/>
            </w:r>
            <w:r w:rsidR="009610A6" w:rsidRPr="009610A6">
              <w:rPr>
                <w:webHidden/>
              </w:rPr>
              <w:instrText xml:space="preserve"> PAGEREF _Toc473581477 \h </w:instrText>
            </w:r>
            <w:r w:rsidR="009610A6" w:rsidRPr="009610A6">
              <w:rPr>
                <w:webHidden/>
              </w:rPr>
            </w:r>
            <w:r w:rsidR="009610A6" w:rsidRPr="009610A6">
              <w:rPr>
                <w:webHidden/>
              </w:rPr>
              <w:fldChar w:fldCharType="separate"/>
            </w:r>
            <w:r w:rsidR="00EF5280">
              <w:rPr>
                <w:webHidden/>
              </w:rPr>
              <w:t>262</w:t>
            </w:r>
            <w:r w:rsidR="009610A6" w:rsidRPr="009610A6">
              <w:rPr>
                <w:webHidden/>
              </w:rPr>
              <w:fldChar w:fldCharType="end"/>
            </w:r>
          </w:hyperlink>
        </w:p>
        <w:p w:rsidR="009610A6" w:rsidRPr="009610A6" w:rsidRDefault="009A3CC4">
          <w:pPr>
            <w:pStyle w:val="TDC2"/>
            <w:tabs>
              <w:tab w:val="left" w:pos="1100"/>
              <w:tab w:val="right" w:leader="dot" w:pos="9395"/>
            </w:tabs>
            <w:rPr>
              <w:rFonts w:asciiTheme="minorHAnsi" w:eastAsiaTheme="minorEastAsia" w:hAnsiTheme="minorHAnsi" w:cstheme="minorBidi"/>
              <w:noProof/>
              <w:lang w:val="es-CO" w:eastAsia="es-CO"/>
            </w:rPr>
          </w:pPr>
          <w:hyperlink w:anchor="_Toc473581478" w:history="1">
            <w:r w:rsidR="009610A6" w:rsidRPr="009610A6">
              <w:rPr>
                <w:rStyle w:val="Hipervnculo"/>
                <w:rFonts w:cs="Arial"/>
                <w:noProof/>
              </w:rPr>
              <w:t>6.8.1</w:t>
            </w:r>
            <w:r w:rsidR="009610A6" w:rsidRPr="009610A6">
              <w:rPr>
                <w:rFonts w:asciiTheme="minorHAnsi" w:eastAsiaTheme="minorEastAsia" w:hAnsiTheme="minorHAnsi" w:cstheme="minorBidi"/>
                <w:noProof/>
                <w:lang w:val="es-CO" w:eastAsia="es-CO"/>
              </w:rPr>
              <w:tab/>
            </w:r>
            <w:r w:rsidR="009610A6" w:rsidRPr="009610A6">
              <w:rPr>
                <w:rStyle w:val="Hipervnculo"/>
                <w:rFonts w:cs="Arial"/>
                <w:noProof/>
              </w:rPr>
              <w:t>Logros  y Retos</w:t>
            </w:r>
            <w:r w:rsidR="009610A6" w:rsidRPr="009610A6">
              <w:rPr>
                <w:noProof/>
                <w:webHidden/>
              </w:rPr>
              <w:tab/>
            </w:r>
            <w:r w:rsidR="009610A6" w:rsidRPr="009610A6">
              <w:rPr>
                <w:noProof/>
                <w:webHidden/>
              </w:rPr>
              <w:fldChar w:fldCharType="begin"/>
            </w:r>
            <w:r w:rsidR="009610A6" w:rsidRPr="009610A6">
              <w:rPr>
                <w:noProof/>
                <w:webHidden/>
              </w:rPr>
              <w:instrText xml:space="preserve"> PAGEREF _Toc473581478 \h </w:instrText>
            </w:r>
            <w:r w:rsidR="009610A6" w:rsidRPr="009610A6">
              <w:rPr>
                <w:noProof/>
                <w:webHidden/>
              </w:rPr>
            </w:r>
            <w:r w:rsidR="009610A6" w:rsidRPr="009610A6">
              <w:rPr>
                <w:noProof/>
                <w:webHidden/>
              </w:rPr>
              <w:fldChar w:fldCharType="separate"/>
            </w:r>
            <w:r w:rsidR="00EF5280">
              <w:rPr>
                <w:noProof/>
                <w:webHidden/>
              </w:rPr>
              <w:t>264</w:t>
            </w:r>
            <w:r w:rsidR="009610A6" w:rsidRPr="009610A6">
              <w:rPr>
                <w:noProof/>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79" w:history="1">
            <w:r w:rsidR="009610A6" w:rsidRPr="009610A6">
              <w:rPr>
                <w:rStyle w:val="Hipervnculo"/>
                <w:b w:val="0"/>
              </w:rPr>
              <w:t>ANEXO 1. Novedades Normativas 2016</w:t>
            </w:r>
            <w:r w:rsidR="009610A6" w:rsidRPr="009610A6">
              <w:rPr>
                <w:webHidden/>
              </w:rPr>
              <w:tab/>
            </w:r>
            <w:r w:rsidR="009610A6" w:rsidRPr="009610A6">
              <w:rPr>
                <w:webHidden/>
              </w:rPr>
              <w:fldChar w:fldCharType="begin"/>
            </w:r>
            <w:r w:rsidR="009610A6" w:rsidRPr="009610A6">
              <w:rPr>
                <w:webHidden/>
              </w:rPr>
              <w:instrText xml:space="preserve"> PAGEREF _Toc473581479 \h </w:instrText>
            </w:r>
            <w:r w:rsidR="009610A6" w:rsidRPr="009610A6">
              <w:rPr>
                <w:webHidden/>
              </w:rPr>
            </w:r>
            <w:r w:rsidR="009610A6" w:rsidRPr="009610A6">
              <w:rPr>
                <w:webHidden/>
              </w:rPr>
              <w:fldChar w:fldCharType="separate"/>
            </w:r>
            <w:r w:rsidR="00EF5280">
              <w:rPr>
                <w:webHidden/>
              </w:rPr>
              <w:t>265</w:t>
            </w:r>
            <w:r w:rsidR="009610A6" w:rsidRPr="009610A6">
              <w:rPr>
                <w:webHidden/>
              </w:rPr>
              <w:fldChar w:fldCharType="end"/>
            </w:r>
          </w:hyperlink>
        </w:p>
        <w:p w:rsidR="009610A6" w:rsidRPr="009610A6" w:rsidRDefault="009A3CC4" w:rsidP="009610A6">
          <w:pPr>
            <w:pStyle w:val="TDC1"/>
            <w:rPr>
              <w:rFonts w:asciiTheme="minorHAnsi" w:eastAsiaTheme="minorEastAsia" w:hAnsiTheme="minorHAnsi" w:cstheme="minorBidi"/>
              <w:kern w:val="0"/>
              <w:lang w:val="es-CO" w:eastAsia="es-CO"/>
            </w:rPr>
          </w:pPr>
          <w:hyperlink w:anchor="_Toc473581480" w:history="1">
            <w:r w:rsidR="009610A6" w:rsidRPr="009610A6">
              <w:rPr>
                <w:rStyle w:val="Hipervnculo"/>
                <w:b w:val="0"/>
              </w:rPr>
              <w:t>ANEXO 2.  Proyectos de Ley en los cuales el ICBF se ha pronunciado en 2016</w:t>
            </w:r>
            <w:r w:rsidR="009610A6" w:rsidRPr="009610A6">
              <w:rPr>
                <w:webHidden/>
              </w:rPr>
              <w:tab/>
            </w:r>
            <w:r w:rsidR="009610A6" w:rsidRPr="009610A6">
              <w:rPr>
                <w:webHidden/>
              </w:rPr>
              <w:fldChar w:fldCharType="begin"/>
            </w:r>
            <w:r w:rsidR="009610A6" w:rsidRPr="009610A6">
              <w:rPr>
                <w:webHidden/>
              </w:rPr>
              <w:instrText xml:space="preserve"> PAGEREF _Toc473581480 \h </w:instrText>
            </w:r>
            <w:r w:rsidR="009610A6" w:rsidRPr="009610A6">
              <w:rPr>
                <w:webHidden/>
              </w:rPr>
            </w:r>
            <w:r w:rsidR="009610A6" w:rsidRPr="009610A6">
              <w:rPr>
                <w:webHidden/>
              </w:rPr>
              <w:fldChar w:fldCharType="separate"/>
            </w:r>
            <w:r w:rsidR="00EF5280">
              <w:rPr>
                <w:webHidden/>
              </w:rPr>
              <w:t>269</w:t>
            </w:r>
            <w:r w:rsidR="009610A6" w:rsidRPr="009610A6">
              <w:rPr>
                <w:webHidden/>
              </w:rPr>
              <w:fldChar w:fldCharType="end"/>
            </w:r>
          </w:hyperlink>
        </w:p>
        <w:p w:rsidR="0042259F" w:rsidRPr="009610A6" w:rsidRDefault="00B93FA0">
          <w:r w:rsidRPr="009610A6">
            <w:fldChar w:fldCharType="end"/>
          </w:r>
        </w:p>
      </w:sdtContent>
    </w:sdt>
    <w:p w:rsidR="005A035D" w:rsidRPr="002E4FDF" w:rsidRDefault="005A035D" w:rsidP="006D7CA6">
      <w:pPr>
        <w:spacing w:after="0" w:line="240" w:lineRule="auto"/>
        <w:jc w:val="both"/>
        <w:rPr>
          <w:rFonts w:cs="Arial"/>
        </w:rPr>
      </w:pPr>
    </w:p>
    <w:p w:rsidR="00E563D9" w:rsidRPr="006C5219" w:rsidRDefault="00E563D9">
      <w:pPr>
        <w:spacing w:after="0" w:line="240" w:lineRule="auto"/>
        <w:rPr>
          <w:rFonts w:cs="Arial"/>
          <w:b/>
        </w:rPr>
      </w:pPr>
      <w:bookmarkStart w:id="1" w:name="_Toc441847004"/>
      <w:r w:rsidRPr="002E4FDF">
        <w:rPr>
          <w:rFonts w:cs="Arial"/>
          <w:bCs/>
        </w:rPr>
        <w:br w:type="page"/>
      </w:r>
    </w:p>
    <w:p w:rsidR="002E4CFF" w:rsidRPr="000E70C6" w:rsidRDefault="002E4CFF" w:rsidP="000E70C6">
      <w:pPr>
        <w:pStyle w:val="Ttulo1"/>
        <w:numPr>
          <w:ilvl w:val="0"/>
          <w:numId w:val="0"/>
        </w:numPr>
        <w:ind w:left="432" w:hanging="432"/>
        <w:rPr>
          <w:rFonts w:eastAsia="Calibri" w:cs="Arial"/>
          <w:bCs w:val="0"/>
          <w:kern w:val="0"/>
          <w:szCs w:val="22"/>
        </w:rPr>
      </w:pPr>
      <w:bookmarkStart w:id="2" w:name="_Toc473581386"/>
      <w:r w:rsidRPr="000E70C6">
        <w:rPr>
          <w:rFonts w:eastAsia="Calibri" w:cs="Arial"/>
          <w:bCs w:val="0"/>
          <w:kern w:val="0"/>
          <w:szCs w:val="22"/>
        </w:rPr>
        <w:lastRenderedPageBreak/>
        <w:t>INTRODUCCIÓN</w:t>
      </w:r>
      <w:bookmarkEnd w:id="1"/>
      <w:bookmarkEnd w:id="2"/>
    </w:p>
    <w:p w:rsidR="00D30F9B" w:rsidRDefault="00D30F9B" w:rsidP="009A7E1D">
      <w:pPr>
        <w:spacing w:after="0" w:line="240" w:lineRule="auto"/>
        <w:jc w:val="both"/>
        <w:rPr>
          <w:rFonts w:cs="Arial"/>
        </w:rPr>
      </w:pPr>
    </w:p>
    <w:p w:rsidR="009A7E1D" w:rsidRDefault="000D715A" w:rsidP="009A7E1D">
      <w:pPr>
        <w:spacing w:after="0" w:line="240" w:lineRule="auto"/>
        <w:jc w:val="both"/>
        <w:rPr>
          <w:rFonts w:cs="Arial"/>
        </w:rPr>
      </w:pPr>
      <w:r>
        <w:rPr>
          <w:rFonts w:cs="Arial"/>
        </w:rPr>
        <w:t>De conformidad con lo establecido en la Ley 1712 de 2014 el</w:t>
      </w:r>
      <w:r w:rsidR="009A7E1D" w:rsidRPr="005006E3">
        <w:rPr>
          <w:rFonts w:cs="Arial"/>
        </w:rPr>
        <w:t xml:space="preserve"> Ins</w:t>
      </w:r>
      <w:r w:rsidR="009A7E1D">
        <w:rPr>
          <w:rFonts w:cs="Arial"/>
        </w:rPr>
        <w:t>tituto Colombiano de Bienestar Familiar -ICBF-, presenta el</w:t>
      </w:r>
      <w:r>
        <w:rPr>
          <w:rFonts w:cs="Arial"/>
        </w:rPr>
        <w:t xml:space="preserve"> informe de gestión del año 2016</w:t>
      </w:r>
      <w:r w:rsidR="009A7E1D">
        <w:rPr>
          <w:rFonts w:cs="Arial"/>
        </w:rPr>
        <w:t xml:space="preserve">, con el objetivo de facilitar el control social </w:t>
      </w:r>
      <w:r>
        <w:rPr>
          <w:rFonts w:cs="Arial"/>
        </w:rPr>
        <w:t>sobre su ejercicio como entidad pública.</w:t>
      </w:r>
    </w:p>
    <w:p w:rsidR="009A7E1D" w:rsidRDefault="009A7E1D" w:rsidP="009A7E1D">
      <w:pPr>
        <w:spacing w:after="0" w:line="240" w:lineRule="auto"/>
        <w:jc w:val="both"/>
        <w:rPr>
          <w:rFonts w:cs="Arial"/>
        </w:rPr>
      </w:pPr>
    </w:p>
    <w:p w:rsidR="009A7E1D" w:rsidRDefault="000D715A" w:rsidP="009A7E1D">
      <w:pPr>
        <w:spacing w:after="0" w:line="240" w:lineRule="auto"/>
        <w:jc w:val="both"/>
        <w:rPr>
          <w:rFonts w:cs="Arial"/>
        </w:rPr>
      </w:pPr>
      <w:r>
        <w:rPr>
          <w:rFonts w:cs="Arial"/>
        </w:rPr>
        <w:t xml:space="preserve">Se conservó la misma estructura del informe 2015, por lo cual la parte introductoria es similar a la del informe inmediatamente anterior. En ese sentido se realiza una brevísima </w:t>
      </w:r>
      <w:r w:rsidR="009A7E1D">
        <w:rPr>
          <w:rFonts w:cs="Arial"/>
        </w:rPr>
        <w:t>estructuración de las acciones de acuerdo con el Plan Nacional de Desarrollo 2014 -2018, el Plan Indicativo del Sector de la Inclusión Social  y el Plan Indicativo Institucional 2015 -2018, los cuales señalan las prioridades del gobierno en la materia, continúa con un reporte sobre la gestión financiera del Instituto.</w:t>
      </w:r>
    </w:p>
    <w:p w:rsidR="009A7E1D" w:rsidRDefault="009A7E1D" w:rsidP="009A7E1D">
      <w:pPr>
        <w:spacing w:after="0" w:line="240" w:lineRule="auto"/>
        <w:jc w:val="both"/>
        <w:rPr>
          <w:rFonts w:cs="Arial"/>
        </w:rPr>
      </w:pPr>
    </w:p>
    <w:p w:rsidR="009A7E1D" w:rsidRDefault="000D715A" w:rsidP="009A7E1D">
      <w:pPr>
        <w:spacing w:after="0" w:line="240" w:lineRule="auto"/>
        <w:jc w:val="both"/>
        <w:rPr>
          <w:rFonts w:cs="Arial"/>
        </w:rPr>
      </w:pPr>
      <w:r>
        <w:rPr>
          <w:rFonts w:cs="Arial"/>
        </w:rPr>
        <w:t xml:space="preserve">Posterior a esto, se </w:t>
      </w:r>
      <w:r w:rsidR="009A7E1D">
        <w:rPr>
          <w:rFonts w:cs="Arial"/>
        </w:rPr>
        <w:t>aborda</w:t>
      </w:r>
      <w:r w:rsidR="002F29F6">
        <w:rPr>
          <w:rFonts w:cs="Arial"/>
        </w:rPr>
        <w:t xml:space="preserve"> lo correspondiente a</w:t>
      </w:r>
      <w:r w:rsidR="009A7E1D">
        <w:rPr>
          <w:rFonts w:cs="Arial"/>
        </w:rPr>
        <w:t xml:space="preserve"> las áreas misionales: Primera Infancia, Niñez y Adolescencia, Familias y Comunidades, Nutrición, Protección y el Sistema Nacional de Bienestar; las cual</w:t>
      </w:r>
      <w:r w:rsidR="002F29F6">
        <w:rPr>
          <w:rFonts w:cs="Arial"/>
        </w:rPr>
        <w:t>es realizan una referencia a los avances en materia de política pública y normatividad que enmarca el desarrollo de sus acciones. Conservando la misma estructura de 2015, realizan una breve descripción de sus programas</w:t>
      </w:r>
      <w:r w:rsidR="00585DDF">
        <w:rPr>
          <w:rFonts w:cs="Arial"/>
        </w:rPr>
        <w:t xml:space="preserve"> y avances en 2016</w:t>
      </w:r>
      <w:r w:rsidR="002F29F6">
        <w:rPr>
          <w:rFonts w:cs="Arial"/>
        </w:rPr>
        <w:t xml:space="preserve"> (incluyendo</w:t>
      </w:r>
      <w:r w:rsidR="0067597D">
        <w:rPr>
          <w:rFonts w:cs="Arial"/>
        </w:rPr>
        <w:t xml:space="preserve"> los nuevos programas</w:t>
      </w:r>
      <w:r w:rsidR="002F29F6">
        <w:rPr>
          <w:rFonts w:cs="Arial"/>
        </w:rPr>
        <w:t xml:space="preserve">), </w:t>
      </w:r>
      <w:r w:rsidR="009A7E1D">
        <w:rPr>
          <w:rFonts w:cs="Arial"/>
        </w:rPr>
        <w:t>finalmente destacan los principal</w:t>
      </w:r>
      <w:r w:rsidR="0067597D">
        <w:rPr>
          <w:rFonts w:cs="Arial"/>
        </w:rPr>
        <w:t>es logros y retos de su gestión de cara a 2017. Se adiciona una parte correspondiente a Asuntos Transversales, en la cual se resaltan los logros del Instituto en temas tales como</w:t>
      </w:r>
      <w:r w:rsidR="005329BC">
        <w:rPr>
          <w:rFonts w:cs="Arial"/>
        </w:rPr>
        <w:t xml:space="preserve"> Gestión del ICBF en la Guajira; Modelo de enfoque diferencial de derechos. </w:t>
      </w:r>
      <w:r w:rsidR="0067597D">
        <w:rPr>
          <w:rFonts w:cs="Arial"/>
        </w:rPr>
        <w:t xml:space="preserve"> </w:t>
      </w:r>
    </w:p>
    <w:p w:rsidR="009A7E1D" w:rsidRDefault="009A7E1D" w:rsidP="009A7E1D">
      <w:pPr>
        <w:spacing w:after="0" w:line="240" w:lineRule="auto"/>
        <w:jc w:val="both"/>
        <w:rPr>
          <w:rFonts w:cs="Arial"/>
        </w:rPr>
      </w:pPr>
    </w:p>
    <w:p w:rsidR="009A7E1D" w:rsidRDefault="009A7E1D" w:rsidP="009A7E1D">
      <w:pPr>
        <w:spacing w:after="0" w:line="240" w:lineRule="auto"/>
        <w:jc w:val="both"/>
        <w:rPr>
          <w:rFonts w:cs="Arial"/>
        </w:rPr>
      </w:pPr>
      <w:r>
        <w:rPr>
          <w:rFonts w:cs="Arial"/>
        </w:rPr>
        <w:t xml:space="preserve">Los capítulos subsiguientes están dedicados a reseñar la labor del Instituto en </w:t>
      </w:r>
      <w:r w:rsidR="0067597D">
        <w:rPr>
          <w:rFonts w:cs="Arial"/>
        </w:rPr>
        <w:t xml:space="preserve">las áreas no misionales, incluyendo temas </w:t>
      </w:r>
      <w:r w:rsidR="00672A25">
        <w:rPr>
          <w:rFonts w:cs="Arial"/>
        </w:rPr>
        <w:t xml:space="preserve">en </w:t>
      </w:r>
      <w:r>
        <w:rPr>
          <w:rFonts w:cs="Arial"/>
        </w:rPr>
        <w:t>materia de transparencia,</w:t>
      </w:r>
      <w:r w:rsidR="0067597D">
        <w:rPr>
          <w:rFonts w:cs="Arial"/>
        </w:rPr>
        <w:t xml:space="preserve"> anticorrupción,</w:t>
      </w:r>
      <w:r>
        <w:rPr>
          <w:rFonts w:cs="Arial"/>
        </w:rPr>
        <w:t xml:space="preserve"> participación</w:t>
      </w:r>
      <w:r w:rsidR="0067597D">
        <w:rPr>
          <w:rFonts w:cs="Arial"/>
        </w:rPr>
        <w:t xml:space="preserve">, </w:t>
      </w:r>
      <w:r>
        <w:rPr>
          <w:rFonts w:cs="Arial"/>
        </w:rPr>
        <w:t xml:space="preserve">servicio al ciudadano, </w:t>
      </w:r>
      <w:r w:rsidR="00672A25">
        <w:rPr>
          <w:rFonts w:cs="Arial"/>
        </w:rPr>
        <w:t>g</w:t>
      </w:r>
      <w:r w:rsidR="0067597D">
        <w:rPr>
          <w:rFonts w:cs="Arial"/>
        </w:rPr>
        <w:t xml:space="preserve">estión </w:t>
      </w:r>
      <w:r w:rsidR="00672A25">
        <w:rPr>
          <w:rFonts w:cs="Arial"/>
        </w:rPr>
        <w:t>h</w:t>
      </w:r>
      <w:r w:rsidR="0067597D">
        <w:rPr>
          <w:rFonts w:cs="Arial"/>
        </w:rPr>
        <w:t xml:space="preserve">umana y </w:t>
      </w:r>
      <w:r w:rsidR="00672A25">
        <w:rPr>
          <w:rFonts w:cs="Arial"/>
        </w:rPr>
        <w:t>a</w:t>
      </w:r>
      <w:r w:rsidR="0067597D">
        <w:rPr>
          <w:rFonts w:cs="Arial"/>
        </w:rPr>
        <w:t xml:space="preserve">dministrativa, </w:t>
      </w:r>
      <w:r w:rsidR="00672A25">
        <w:rPr>
          <w:rFonts w:cs="Arial"/>
        </w:rPr>
        <w:t>g</w:t>
      </w:r>
      <w:r w:rsidR="0067597D">
        <w:rPr>
          <w:rFonts w:cs="Arial"/>
        </w:rPr>
        <w:t xml:space="preserve">estión en </w:t>
      </w:r>
      <w:r w:rsidR="00672A25">
        <w:rPr>
          <w:rFonts w:cs="Arial"/>
        </w:rPr>
        <w:t>c</w:t>
      </w:r>
      <w:r w:rsidR="0067597D">
        <w:rPr>
          <w:rFonts w:cs="Arial"/>
        </w:rPr>
        <w:t xml:space="preserve">omunicaciones, </w:t>
      </w:r>
      <w:r w:rsidR="00672A25">
        <w:rPr>
          <w:rFonts w:cs="Arial"/>
        </w:rPr>
        <w:t>c</w:t>
      </w:r>
      <w:r w:rsidR="0067597D">
        <w:rPr>
          <w:rFonts w:cs="Arial"/>
        </w:rPr>
        <w:t xml:space="preserve">ooperación y </w:t>
      </w:r>
      <w:r w:rsidR="00672A25">
        <w:rPr>
          <w:rFonts w:cs="Arial"/>
        </w:rPr>
        <w:t>c</w:t>
      </w:r>
      <w:r w:rsidR="0067597D">
        <w:rPr>
          <w:rFonts w:cs="Arial"/>
        </w:rPr>
        <w:t xml:space="preserve">onvenios. </w:t>
      </w:r>
    </w:p>
    <w:p w:rsidR="00C2364D" w:rsidRDefault="00C2364D" w:rsidP="001B5587">
      <w:pPr>
        <w:rPr>
          <w:rFonts w:cs="Arial"/>
        </w:rPr>
      </w:pPr>
    </w:p>
    <w:p w:rsidR="009A7E1D" w:rsidRPr="001B5587" w:rsidRDefault="001B5587" w:rsidP="001B5587">
      <w:pPr>
        <w:rPr>
          <w:rFonts w:ascii="Calibri" w:hAnsi="Calibri"/>
          <w:iCs/>
          <w:lang w:val="es-CO"/>
        </w:rPr>
      </w:pPr>
      <w:r>
        <w:rPr>
          <w:rFonts w:cs="Arial"/>
        </w:rPr>
        <w:t xml:space="preserve">La información consignada en cuento a  metas sociales y financieras es preliminar y está sujeta </w:t>
      </w:r>
      <w:r w:rsidR="00C2364D">
        <w:rPr>
          <w:rFonts w:cs="Arial"/>
        </w:rPr>
        <w:t>al cierre oficial de las mismas</w:t>
      </w:r>
      <w:r>
        <w:rPr>
          <w:rFonts w:cs="Arial"/>
        </w:rPr>
        <w:t>. S</w:t>
      </w:r>
      <w:r w:rsidR="009A7E1D">
        <w:rPr>
          <w:rFonts w:cs="Arial"/>
        </w:rPr>
        <w:t>e espera que el informe ofrezca la información suficiente que los ciudadanos requieren para el control social sobre lo público, lograr un mejor ejercicio de las funciones y una mayor participación.</w:t>
      </w:r>
    </w:p>
    <w:p w:rsidR="00125AFB" w:rsidRPr="009A460E" w:rsidRDefault="00125AFB" w:rsidP="006D7CA6">
      <w:pPr>
        <w:spacing w:after="0" w:line="240" w:lineRule="auto"/>
        <w:jc w:val="both"/>
        <w:rPr>
          <w:rFonts w:cs="Arial"/>
          <w:sz w:val="24"/>
          <w:szCs w:val="24"/>
        </w:rPr>
      </w:pPr>
    </w:p>
    <w:p w:rsidR="002E4CFF" w:rsidRPr="009A460E" w:rsidRDefault="002E4CFF" w:rsidP="006D7CA6">
      <w:pPr>
        <w:pStyle w:val="Ttulo1"/>
        <w:numPr>
          <w:ilvl w:val="0"/>
          <w:numId w:val="3"/>
        </w:numPr>
        <w:rPr>
          <w:rFonts w:cs="Arial"/>
          <w:sz w:val="24"/>
          <w:szCs w:val="24"/>
        </w:rPr>
      </w:pPr>
      <w:bookmarkStart w:id="3" w:name="_Toc473581387"/>
      <w:r w:rsidRPr="000E70C6">
        <w:rPr>
          <w:rFonts w:eastAsia="Calibri" w:cs="Arial"/>
          <w:bCs w:val="0"/>
          <w:kern w:val="0"/>
          <w:szCs w:val="22"/>
        </w:rPr>
        <w:t>CONTEXTO NACIONAL</w:t>
      </w:r>
      <w:bookmarkEnd w:id="3"/>
      <w:r w:rsidRPr="009A460E">
        <w:rPr>
          <w:rFonts w:cs="Arial"/>
          <w:sz w:val="24"/>
          <w:szCs w:val="24"/>
        </w:rPr>
        <w:t xml:space="preserve"> </w:t>
      </w:r>
    </w:p>
    <w:p w:rsidR="00125AFB" w:rsidRPr="009A460E" w:rsidRDefault="00125AFB" w:rsidP="006D7CA6">
      <w:pPr>
        <w:pStyle w:val="Prrafodelista"/>
        <w:spacing w:after="0" w:line="240" w:lineRule="auto"/>
        <w:ind w:left="720"/>
        <w:jc w:val="both"/>
        <w:rPr>
          <w:rFonts w:cs="Arial"/>
          <w:sz w:val="24"/>
          <w:szCs w:val="24"/>
        </w:rPr>
      </w:pPr>
    </w:p>
    <w:p w:rsidR="002E4CFF" w:rsidRPr="009A460E" w:rsidRDefault="002E4CFF" w:rsidP="00D712DC">
      <w:pPr>
        <w:pStyle w:val="Ttulo2"/>
        <w:numPr>
          <w:ilvl w:val="1"/>
          <w:numId w:val="11"/>
        </w:numPr>
        <w:spacing w:line="240" w:lineRule="auto"/>
        <w:rPr>
          <w:rFonts w:cs="Arial"/>
          <w:b/>
          <w:sz w:val="24"/>
          <w:szCs w:val="24"/>
        </w:rPr>
      </w:pPr>
      <w:bookmarkStart w:id="4" w:name="_Toc473581388"/>
      <w:r w:rsidRPr="009A460E">
        <w:rPr>
          <w:rFonts w:cs="Arial"/>
          <w:b/>
          <w:sz w:val="24"/>
          <w:szCs w:val="24"/>
        </w:rPr>
        <w:t>Plan Nacional de Desarrollo 2014 -2018 “Todos por un nuevo país”</w:t>
      </w:r>
      <w:bookmarkEnd w:id="4"/>
    </w:p>
    <w:p w:rsidR="005329BC" w:rsidRDefault="005329BC" w:rsidP="006D7CA6">
      <w:pPr>
        <w:spacing w:after="0" w:line="240" w:lineRule="auto"/>
        <w:jc w:val="both"/>
        <w:rPr>
          <w:rFonts w:cs="Arial"/>
          <w:lang w:val="es-CO"/>
        </w:rPr>
      </w:pPr>
    </w:p>
    <w:p w:rsidR="000F1DFE" w:rsidRPr="009A460E" w:rsidRDefault="005329BC" w:rsidP="006D7CA6">
      <w:pPr>
        <w:spacing w:after="0" w:line="240" w:lineRule="auto"/>
        <w:jc w:val="both"/>
        <w:rPr>
          <w:rFonts w:cs="Arial"/>
          <w:lang w:val="es-CO"/>
        </w:rPr>
      </w:pPr>
      <w:r>
        <w:rPr>
          <w:rFonts w:cs="Arial"/>
          <w:lang w:val="es-CO"/>
        </w:rPr>
        <w:t>E</w:t>
      </w:r>
      <w:r w:rsidR="000F1DFE" w:rsidRPr="009A460E">
        <w:rPr>
          <w:rFonts w:cs="Arial"/>
          <w:lang w:val="es-CO"/>
        </w:rPr>
        <w:t xml:space="preserve">l Plan Nacional de Desarrollo (PND) 2014-2018 “Todos por un nuevo país”, </w:t>
      </w:r>
      <w:r w:rsidR="00585DDF">
        <w:rPr>
          <w:rFonts w:cs="Arial"/>
          <w:lang w:val="es-CO"/>
        </w:rPr>
        <w:t>adoptado mediante L</w:t>
      </w:r>
      <w:r w:rsidR="00974553">
        <w:rPr>
          <w:rFonts w:cs="Arial"/>
          <w:lang w:val="es-CO"/>
        </w:rPr>
        <w:t xml:space="preserve">ey 1753 de 2015, </w:t>
      </w:r>
      <w:r w:rsidR="000F1DFE" w:rsidRPr="009A460E">
        <w:rPr>
          <w:rFonts w:cs="Arial"/>
          <w:lang w:val="es-CO"/>
        </w:rPr>
        <w:t xml:space="preserve">se desarrolla a través de seis estrategias transversales de política: competitividad e </w:t>
      </w:r>
      <w:r w:rsidR="00125AFB" w:rsidRPr="009A460E">
        <w:rPr>
          <w:rFonts w:cs="Arial"/>
          <w:lang w:val="es-CO"/>
        </w:rPr>
        <w:t>infraestructuras estratégicas</w:t>
      </w:r>
      <w:r w:rsidR="00585DDF">
        <w:rPr>
          <w:rFonts w:cs="Arial"/>
          <w:lang w:val="es-CO"/>
        </w:rPr>
        <w:t>; movilidad social; transformación del campo; seguridad;</w:t>
      </w:r>
      <w:r w:rsidR="000F1DFE" w:rsidRPr="009A460E">
        <w:rPr>
          <w:rFonts w:cs="Arial"/>
          <w:lang w:val="es-CO"/>
        </w:rPr>
        <w:t xml:space="preserve"> justicia y democracia para la construcción de paz; buen gobierno, y crecimiento verde.</w:t>
      </w:r>
    </w:p>
    <w:p w:rsidR="00772DDA" w:rsidRDefault="00772DDA" w:rsidP="006D7CA6">
      <w:pPr>
        <w:spacing w:after="0" w:line="240" w:lineRule="auto"/>
        <w:jc w:val="both"/>
        <w:rPr>
          <w:rFonts w:cs="Arial"/>
          <w:lang w:val="es-CO"/>
        </w:rPr>
      </w:pPr>
    </w:p>
    <w:p w:rsidR="00772DDA" w:rsidRPr="009A460E" w:rsidRDefault="004861B4" w:rsidP="00772DDA">
      <w:pPr>
        <w:spacing w:after="0" w:line="240" w:lineRule="auto"/>
        <w:jc w:val="both"/>
        <w:rPr>
          <w:rFonts w:cs="Arial"/>
          <w:lang w:val="es-CO"/>
        </w:rPr>
      </w:pPr>
      <w:r w:rsidRPr="004861B4">
        <w:rPr>
          <w:rFonts w:cs="Arial"/>
          <w:lang w:val="es-CO"/>
        </w:rPr>
        <w:t xml:space="preserve">El </w:t>
      </w:r>
      <w:r w:rsidR="00772DDA" w:rsidRPr="004861B4">
        <w:rPr>
          <w:rFonts w:cs="Arial"/>
          <w:lang w:val="es-CO"/>
        </w:rPr>
        <w:t xml:space="preserve">ICBF realizó una labor activa ante el Departamento Nacional de Planeación, Ministerio de Hacienda y el Congreso, en respaldo de las apuestas sectoriales, de lo cual, el Gobierno Nacional y el Congreso de la República apoyaron la inclusión en la Ley 1753 del 9 de junio de 2015: Por </w:t>
      </w:r>
      <w:r w:rsidR="00772DDA" w:rsidRPr="004861B4">
        <w:rPr>
          <w:rFonts w:cs="Arial"/>
          <w:lang w:val="es-CO"/>
        </w:rPr>
        <w:lastRenderedPageBreak/>
        <w:t>la cual se expide el Plan Nacional de Desarrollo 2014-2018 “Todos Por un nuevo país”</w:t>
      </w:r>
      <w:r w:rsidR="00772DDA" w:rsidRPr="004861B4">
        <w:rPr>
          <w:rFonts w:cs="Arial"/>
          <w:vertAlign w:val="superscript"/>
        </w:rPr>
        <w:footnoteReference w:id="1"/>
      </w:r>
      <w:r w:rsidR="00772DDA" w:rsidRPr="004861B4">
        <w:rPr>
          <w:rFonts w:cs="Arial"/>
          <w:lang w:val="es-CO"/>
        </w:rPr>
        <w:t>, de artículos relacionados con las siguientes iniciativas a favor de las niñas, niños y adolescentes en Colombia:</w:t>
      </w:r>
    </w:p>
    <w:p w:rsidR="00772DDA" w:rsidRPr="009A460E" w:rsidRDefault="00772DDA" w:rsidP="00772DDA">
      <w:pPr>
        <w:spacing w:after="0" w:line="240" w:lineRule="auto"/>
        <w:jc w:val="both"/>
        <w:rPr>
          <w:rFonts w:cs="Arial"/>
          <w:lang w:val="es-CO"/>
        </w:rPr>
      </w:pP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Reglamentación de la educación inicial y tránsito al sistema educativo.</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Política nacional de atención integral a la primera infancia, la infancia y la adolescencia.</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Fortalecimiento a modalidades comunitarias para la atención a la primera Infancia.</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Saneamiento de predios para la educación y la primera infancia.</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Prevención del embarazo en la adolescencia.</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eastAsia="Times New Roman" w:cs="Arial"/>
          <w:iCs/>
          <w:color w:val="000000"/>
          <w:spacing w:val="-1"/>
          <w:lang w:val="es-ES_tradnl" w:eastAsia="es-CO"/>
        </w:rPr>
        <w:t>Búsqueda de parientes para la ubicación en medio familiar y tiempo máximo para mantener a la niña, niño o adolescente en situación de declaratoria de vulneración.</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Tarifas de servicios públicos para hogares comunitarios y sustitutos.</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Facilidades pensionales para madres comunitarias, sustitutas y FAMI.</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Financiación del Sistema de Responsabilidad Penal Adolescente.</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Prevención del reclutamiento ilícito, utilización y violencia sexual contra niñas, niños y adolescentes.</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Política pública para la protección de derechos de las familias, mujeres, niñas, niños, jóvenes y mayores indígenas.</w:t>
      </w:r>
    </w:p>
    <w:p w:rsidR="00772DDA" w:rsidRPr="009A460E" w:rsidRDefault="00772DDA" w:rsidP="002E4FDF">
      <w:pPr>
        <w:pStyle w:val="Prrafodelista"/>
        <w:numPr>
          <w:ilvl w:val="0"/>
          <w:numId w:val="255"/>
        </w:numPr>
        <w:spacing w:after="0" w:line="240" w:lineRule="auto"/>
        <w:jc w:val="both"/>
        <w:rPr>
          <w:rFonts w:cs="Arial"/>
          <w:lang w:val="es-CO"/>
        </w:rPr>
      </w:pPr>
      <w:r w:rsidRPr="009A460E">
        <w:rPr>
          <w:rFonts w:cs="Arial"/>
          <w:lang w:val="es-CO"/>
        </w:rPr>
        <w:t>Reducción de la mortalidad materna.</w:t>
      </w:r>
    </w:p>
    <w:p w:rsidR="00772DDA" w:rsidRPr="00772DDA" w:rsidRDefault="00772DDA" w:rsidP="002E4FDF">
      <w:pPr>
        <w:pStyle w:val="Prrafodelista"/>
        <w:numPr>
          <w:ilvl w:val="0"/>
          <w:numId w:val="255"/>
        </w:numPr>
        <w:spacing w:after="0" w:line="240" w:lineRule="auto"/>
        <w:jc w:val="both"/>
        <w:rPr>
          <w:rFonts w:cs="Arial"/>
          <w:lang w:val="es-CO"/>
        </w:rPr>
      </w:pPr>
      <w:r w:rsidRPr="009A460E">
        <w:rPr>
          <w:rFonts w:cs="Arial"/>
          <w:lang w:val="es-CO"/>
        </w:rPr>
        <w:t>Ayuda humanitaria de alimentación a víctimas.</w:t>
      </w:r>
    </w:p>
    <w:p w:rsidR="000F1DFE" w:rsidRPr="009A460E" w:rsidRDefault="000F1DFE" w:rsidP="006D7CA6">
      <w:pPr>
        <w:spacing w:after="0" w:line="240" w:lineRule="auto"/>
        <w:jc w:val="both"/>
        <w:rPr>
          <w:rFonts w:cs="Arial"/>
          <w:lang w:val="es-CO"/>
        </w:rPr>
      </w:pPr>
    </w:p>
    <w:p w:rsidR="00A005AB" w:rsidRPr="009A460E" w:rsidRDefault="00A005AB" w:rsidP="00356FC3">
      <w:pPr>
        <w:pStyle w:val="Ttulo2"/>
        <w:numPr>
          <w:ilvl w:val="1"/>
          <w:numId w:val="11"/>
        </w:numPr>
        <w:spacing w:line="240" w:lineRule="auto"/>
        <w:jc w:val="both"/>
        <w:rPr>
          <w:rFonts w:cs="Arial"/>
          <w:b/>
          <w:sz w:val="24"/>
          <w:szCs w:val="24"/>
        </w:rPr>
      </w:pPr>
      <w:bookmarkStart w:id="5" w:name="_Toc473581389"/>
      <w:r w:rsidRPr="009A460E">
        <w:rPr>
          <w:rFonts w:cs="Arial"/>
          <w:b/>
          <w:sz w:val="24"/>
          <w:szCs w:val="24"/>
        </w:rPr>
        <w:t>Plan Indicativo Sector de la Inclusión Social y la Reconciliación “Construimos grandes historias de inclusión social y reconciliación para Colombia</w:t>
      </w:r>
      <w:r w:rsidR="003C162C">
        <w:rPr>
          <w:rFonts w:cs="Arial"/>
          <w:b/>
          <w:sz w:val="24"/>
          <w:szCs w:val="24"/>
        </w:rPr>
        <w:t>”</w:t>
      </w:r>
      <w:bookmarkEnd w:id="5"/>
    </w:p>
    <w:p w:rsidR="00A005AB" w:rsidRPr="009A460E" w:rsidRDefault="00A005AB"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En articulación con el PND, el Sector de la Inclusión Social y la Reconciliación, al cual está adscrito el Instituto Colombiano de Bienestar Familiar (ICBF), formuló el Plan Sectorial “Construimos grandes historias de inclusión social y reconciliación para Colombia”, con el cual se apuesta por una alineación transversal con estrategias y metas para la superación de la pobreza, la reparación integral a las víctimas, la atención integral a la primera infancia, la niñez y la adolescencia, el afianzamiento de territorios marginados y la recolección y reconstrucción de la memoria de los hechos asociados al conflicto armado.</w:t>
      </w:r>
    </w:p>
    <w:p w:rsidR="000F1DFE" w:rsidRPr="009A460E" w:rsidRDefault="000F1DFE" w:rsidP="006D7CA6">
      <w:pPr>
        <w:spacing w:after="0" w:line="240" w:lineRule="auto"/>
        <w:jc w:val="both"/>
        <w:rPr>
          <w:rFonts w:cs="Arial"/>
          <w:lang w:val="es-CO"/>
        </w:rPr>
      </w:pPr>
    </w:p>
    <w:p w:rsidR="000F1DFE" w:rsidRPr="009A460E" w:rsidRDefault="000F1DFE" w:rsidP="006D7CA6">
      <w:pPr>
        <w:spacing w:after="0" w:line="240" w:lineRule="auto"/>
        <w:jc w:val="both"/>
        <w:rPr>
          <w:rFonts w:cs="Arial"/>
          <w:lang w:val="es-CO"/>
        </w:rPr>
      </w:pPr>
      <w:r w:rsidRPr="009A460E">
        <w:rPr>
          <w:rFonts w:cs="Arial"/>
          <w:lang w:val="es-CO"/>
        </w:rPr>
        <w:t>Las apuestas planteadas en este instrumento sectorial contribuyen fundamentalmente al logro de tres de las estrategias transversales del Plan Nacional de Desarrollo “Todos por un nuevo país”:</w:t>
      </w:r>
    </w:p>
    <w:p w:rsidR="000F1DFE" w:rsidRPr="009A460E" w:rsidRDefault="000F1DFE" w:rsidP="006D7CA6">
      <w:pPr>
        <w:spacing w:after="0" w:line="240" w:lineRule="auto"/>
        <w:jc w:val="both"/>
        <w:rPr>
          <w:rFonts w:cs="Arial"/>
          <w:lang w:val="es-CO"/>
        </w:rPr>
      </w:pPr>
    </w:p>
    <w:p w:rsidR="000F1DF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Movilidad social, dirigida a garantizar la igualdad de oportunidades para todos y todas, a través de la preservación y la formación de capital humano y social, para el mejoramiento de la calidad de vida de las personas.</w:t>
      </w:r>
    </w:p>
    <w:p w:rsidR="002E4FDF" w:rsidRPr="009A460E" w:rsidRDefault="002E4FDF" w:rsidP="002E4FDF">
      <w:pPr>
        <w:pStyle w:val="Prrafodelista"/>
        <w:spacing w:after="0" w:line="240" w:lineRule="auto"/>
        <w:ind w:left="709"/>
        <w:jc w:val="both"/>
        <w:rPr>
          <w:rFonts w:cs="Arial"/>
          <w:lang w:val="es-CO"/>
        </w:rPr>
      </w:pPr>
    </w:p>
    <w:p w:rsidR="000F1DF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 xml:space="preserve">Transformación del campo, que establece que la construcción de paz, la disminución de las brechas territoriales y poblacionales en las condiciones de vida y el logro de una </w:t>
      </w:r>
      <w:r w:rsidRPr="009A460E">
        <w:rPr>
          <w:rFonts w:cs="Arial"/>
          <w:lang w:val="es-CO"/>
        </w:rPr>
        <w:lastRenderedPageBreak/>
        <w:t>población rural más educada, pasa necesariamente por la transformación integral del campo colombiano.</w:t>
      </w:r>
    </w:p>
    <w:p w:rsidR="002E4FDF" w:rsidRPr="002E4FDF" w:rsidRDefault="002E4FDF" w:rsidP="002E4FDF">
      <w:pPr>
        <w:spacing w:after="0" w:line="240" w:lineRule="auto"/>
        <w:jc w:val="both"/>
        <w:rPr>
          <w:rFonts w:cs="Arial"/>
          <w:lang w:val="es-CO"/>
        </w:rPr>
      </w:pPr>
    </w:p>
    <w:p w:rsidR="000F1DFE" w:rsidRPr="009A460E" w:rsidRDefault="000F1DFE" w:rsidP="006D7CA6">
      <w:pPr>
        <w:pStyle w:val="Prrafodelista"/>
        <w:numPr>
          <w:ilvl w:val="0"/>
          <w:numId w:val="1"/>
        </w:numPr>
        <w:spacing w:after="0" w:line="240" w:lineRule="auto"/>
        <w:ind w:left="709" w:hanging="352"/>
        <w:jc w:val="both"/>
        <w:rPr>
          <w:rFonts w:cs="Arial"/>
          <w:lang w:val="es-CO"/>
        </w:rPr>
      </w:pPr>
      <w:r w:rsidRPr="009A460E">
        <w:rPr>
          <w:rFonts w:cs="Arial"/>
          <w:lang w:val="es-CO"/>
        </w:rPr>
        <w:t>Seguridad, justicia y democracia para la construcción de paz, que busca superar las brechas generadas por el conflicto armado y reconstruir los modos de relación entre ciudadanos en torno a un proyecto de Nación incluyente, pluralista y basado en la promoción, protección y respeto de los derechos individuales y colectivos en todos los rincones del país.</w:t>
      </w:r>
    </w:p>
    <w:p w:rsidR="000F1DFE" w:rsidRPr="009A460E" w:rsidRDefault="000F1DFE" w:rsidP="006D7CA6">
      <w:pPr>
        <w:pStyle w:val="Default"/>
        <w:jc w:val="both"/>
        <w:rPr>
          <w:rFonts w:ascii="Arial" w:hAnsi="Arial" w:cs="Arial"/>
          <w:sz w:val="22"/>
          <w:szCs w:val="22"/>
        </w:rPr>
      </w:pPr>
    </w:p>
    <w:p w:rsidR="000F1DFE" w:rsidRPr="008C1EE7" w:rsidRDefault="000F1DFE" w:rsidP="006D7CA6">
      <w:pPr>
        <w:pStyle w:val="Default"/>
        <w:jc w:val="both"/>
        <w:rPr>
          <w:rFonts w:ascii="Arial" w:hAnsi="Arial" w:cs="Arial"/>
          <w:sz w:val="22"/>
          <w:szCs w:val="22"/>
        </w:rPr>
      </w:pPr>
      <w:r w:rsidRPr="008C1EE7">
        <w:rPr>
          <w:rFonts w:ascii="Arial" w:hAnsi="Arial" w:cs="Arial"/>
          <w:sz w:val="22"/>
          <w:szCs w:val="22"/>
        </w:rPr>
        <w:t>Adicionalmente, el sector y el ICBF enmarcan sus acciones para el cuatrienio, en la estrategia transversal de Buen Gobierno, atendiendo a los lineamientos de lucha contra la corrupción, transparencia, rendición de cuentas, gestión óptima de la información y de los recursos públicos, eficiencia y eficacia administrativa y articulación nación-territorio.</w:t>
      </w:r>
    </w:p>
    <w:p w:rsidR="00E523AD" w:rsidRPr="008C1EE7" w:rsidRDefault="00E523AD" w:rsidP="006D7CA6">
      <w:pPr>
        <w:pStyle w:val="Default"/>
        <w:jc w:val="both"/>
        <w:rPr>
          <w:rFonts w:ascii="Arial" w:hAnsi="Arial" w:cs="Arial"/>
          <w:sz w:val="22"/>
          <w:szCs w:val="22"/>
        </w:rPr>
      </w:pPr>
    </w:p>
    <w:p w:rsidR="00E523AD" w:rsidRPr="008C1EE7" w:rsidRDefault="00E523AD" w:rsidP="00E523AD">
      <w:pPr>
        <w:spacing w:after="0" w:line="240" w:lineRule="auto"/>
        <w:jc w:val="both"/>
        <w:rPr>
          <w:rFonts w:cs="Arial"/>
          <w:lang w:val="es-CO"/>
        </w:rPr>
      </w:pPr>
      <w:r w:rsidRPr="008C1EE7">
        <w:rPr>
          <w:rFonts w:cs="Arial"/>
          <w:lang w:val="es-CO"/>
        </w:rPr>
        <w:t>En relación con las estrategias asociadas al primer objetivo sectorial, el Instituto asume la responsabilidad de acompañar proyectos de Gobierno como el de vivienda gratuita, mediante programas para el fortalecimiento de vínculos familiares y de las comunidades; así mismo, se compromete con el restablecimiento de los derechos vulnerados de las niñas, los niños y los adolescentes, y con el fortalecimiento del Sistema de Responsabilidad Penal Adolescente, entre otras acciones planteadas para la generación de condiciones en la población y territorios que permitan la reconciliación y la no repetición.</w:t>
      </w:r>
    </w:p>
    <w:p w:rsidR="00E523AD" w:rsidRPr="00146092" w:rsidRDefault="00E523AD" w:rsidP="00E523AD">
      <w:pPr>
        <w:spacing w:after="0" w:line="240" w:lineRule="auto"/>
        <w:jc w:val="both"/>
        <w:rPr>
          <w:rFonts w:cs="Arial"/>
          <w:highlight w:val="yellow"/>
          <w:lang w:val="es-CO"/>
        </w:rPr>
      </w:pPr>
    </w:p>
    <w:p w:rsidR="00E523AD" w:rsidRPr="008C1EE7" w:rsidRDefault="00E523AD" w:rsidP="00E523AD">
      <w:pPr>
        <w:spacing w:after="0" w:line="240" w:lineRule="auto"/>
        <w:jc w:val="both"/>
        <w:rPr>
          <w:rFonts w:cs="Arial"/>
          <w:lang w:val="es-CO"/>
        </w:rPr>
      </w:pPr>
      <w:r w:rsidRPr="008C1EE7">
        <w:rPr>
          <w:rFonts w:cs="Arial"/>
          <w:lang w:val="es-CO"/>
        </w:rPr>
        <w:t>Frente al objetivo sectorial de Reducción de Brechas para la inclusión social, el ICBF contribuirá de manera decidida con la reducción en el país del embarazo en la adolescencia y la promoción y consolidación de la seguridad alimentaria. Igualmente, se propone movilizar y articular mediante el Sistema Nacional de Bienestar Familiar, todas las instancias nacionales y territoriales que participan en la formulación de políticas públicas diferenciales a favor de las niñas, los niños y los adolescentes.</w:t>
      </w:r>
    </w:p>
    <w:p w:rsidR="00E523AD" w:rsidRPr="00146092" w:rsidRDefault="00E523AD" w:rsidP="00E523AD">
      <w:pPr>
        <w:spacing w:after="0" w:line="240" w:lineRule="auto"/>
        <w:jc w:val="both"/>
        <w:rPr>
          <w:rFonts w:cs="Arial"/>
          <w:highlight w:val="yellow"/>
          <w:lang w:val="es-CO"/>
        </w:rPr>
      </w:pPr>
    </w:p>
    <w:p w:rsidR="00772DDA" w:rsidRDefault="00E523AD" w:rsidP="008C1EE7">
      <w:pPr>
        <w:spacing w:after="0" w:line="240" w:lineRule="auto"/>
        <w:jc w:val="both"/>
        <w:rPr>
          <w:rFonts w:cs="Arial"/>
          <w:lang w:val="es-CO"/>
        </w:rPr>
      </w:pPr>
      <w:r w:rsidRPr="008C1EE7">
        <w:rPr>
          <w:rFonts w:cs="Arial"/>
          <w:lang w:val="es-CO"/>
        </w:rPr>
        <w:t>Por último, con relación al tercer objetivo sectorial, acceso y permanencia de educación para la población vulnerable, el cual impacta directamente los dos objetivos anteriores y los pilares de Paz y Equidad del PND, el Instituto se ha comprometido con mejorar la calidad y ampliar la cobertura de la atención integral a la primera infancia, promoviendo su tránsito al sistema educativo al cumplir la edad reglamentaria; y para la población entre 6 y 17 años, apoyar mediante programas de promoción y prevención, la formación de capital humano y capital social, brindándole a las niñas, niños, adolescentes y sus familias las herramientas para definir sus proyectos de vida.</w:t>
      </w:r>
    </w:p>
    <w:p w:rsidR="00E523AD" w:rsidRDefault="00E523AD" w:rsidP="006D7CA6">
      <w:pPr>
        <w:spacing w:after="0" w:line="240" w:lineRule="auto"/>
        <w:jc w:val="center"/>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2E4FDF" w:rsidRDefault="002E4FDF" w:rsidP="00E523AD">
      <w:pPr>
        <w:spacing w:after="0" w:line="240" w:lineRule="auto"/>
        <w:jc w:val="both"/>
        <w:rPr>
          <w:rFonts w:cs="Arial"/>
          <w:lang w:val="es-CO"/>
        </w:rPr>
      </w:pPr>
    </w:p>
    <w:p w:rsidR="00E523AD" w:rsidRPr="00E523AD" w:rsidRDefault="00E523AD" w:rsidP="002E4FDF">
      <w:pPr>
        <w:spacing w:after="0" w:line="240" w:lineRule="auto"/>
        <w:jc w:val="center"/>
        <w:rPr>
          <w:rFonts w:cs="Arial"/>
          <w:lang w:val="es-CO"/>
        </w:rPr>
      </w:pPr>
      <w:r w:rsidRPr="002E4FDF">
        <w:rPr>
          <w:rFonts w:cs="Arial"/>
          <w:b/>
          <w:lang w:val="es-CO"/>
        </w:rPr>
        <w:lastRenderedPageBreak/>
        <w:t>Figura 1.</w:t>
      </w:r>
      <w:r w:rsidRPr="00E523AD">
        <w:rPr>
          <w:rFonts w:cs="Arial"/>
          <w:lang w:val="es-CO"/>
        </w:rPr>
        <w:t xml:space="preserve"> Propósito, objetivos sectoriales y estrategias del Plan del Sector Integración Social 2015-2018</w:t>
      </w:r>
    </w:p>
    <w:p w:rsidR="00E523AD" w:rsidRDefault="00E523AD" w:rsidP="006D7CA6">
      <w:pPr>
        <w:spacing w:after="0" w:line="240" w:lineRule="auto"/>
        <w:jc w:val="center"/>
        <w:rPr>
          <w:rFonts w:cs="Arial"/>
          <w:lang w:val="es-CO"/>
        </w:rPr>
      </w:pPr>
    </w:p>
    <w:p w:rsidR="000F1DFE" w:rsidRPr="009A460E" w:rsidRDefault="000F1DFE" w:rsidP="006D7CA6">
      <w:pPr>
        <w:spacing w:after="0" w:line="240" w:lineRule="auto"/>
        <w:jc w:val="center"/>
        <w:rPr>
          <w:rFonts w:cs="Arial"/>
          <w:lang w:val="es-CO"/>
        </w:rPr>
      </w:pPr>
      <w:r w:rsidRPr="009A460E">
        <w:rPr>
          <w:rFonts w:cs="Arial"/>
          <w:noProof/>
          <w:lang w:val="es-CO" w:eastAsia="es-CO"/>
        </w:rPr>
        <w:drawing>
          <wp:inline distT="0" distB="0" distL="0" distR="0" wp14:anchorId="3141563F" wp14:editId="32968940">
            <wp:extent cx="3179258" cy="4557369"/>
            <wp:effectExtent l="0" t="0" r="254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4844" cy="4579711"/>
                    </a:xfrm>
                    <a:prstGeom prst="rect">
                      <a:avLst/>
                    </a:prstGeom>
                    <a:noFill/>
                  </pic:spPr>
                </pic:pic>
              </a:graphicData>
            </a:graphic>
          </wp:inline>
        </w:drawing>
      </w:r>
    </w:p>
    <w:p w:rsidR="000F1DFE" w:rsidRPr="006110F9" w:rsidRDefault="000F1DFE" w:rsidP="006D7CA6">
      <w:pPr>
        <w:spacing w:after="0" w:line="240" w:lineRule="auto"/>
        <w:jc w:val="center"/>
        <w:rPr>
          <w:rFonts w:cs="Arial"/>
          <w:sz w:val="14"/>
          <w:lang w:val="es-CO"/>
        </w:rPr>
      </w:pPr>
      <w:r w:rsidRPr="006110F9">
        <w:rPr>
          <w:rFonts w:cs="Arial"/>
          <w:sz w:val="14"/>
          <w:lang w:val="es-CO"/>
        </w:rPr>
        <w:t>Fuente: Plan Sectorial de Inclusión Social y Reconciliación 2015-2018. DPS.</w:t>
      </w:r>
    </w:p>
    <w:p w:rsidR="000F1DFE" w:rsidRPr="009A460E" w:rsidRDefault="000F1DFE" w:rsidP="006D7CA6">
      <w:pPr>
        <w:spacing w:after="0" w:line="240" w:lineRule="auto"/>
        <w:jc w:val="both"/>
        <w:rPr>
          <w:rFonts w:cs="Arial"/>
          <w:lang w:val="es-CO"/>
        </w:rPr>
      </w:pPr>
    </w:p>
    <w:p w:rsidR="00A005AB" w:rsidRPr="009A460E" w:rsidRDefault="00A005AB" w:rsidP="00D712DC">
      <w:pPr>
        <w:pStyle w:val="Ttulo2"/>
        <w:numPr>
          <w:ilvl w:val="1"/>
          <w:numId w:val="11"/>
        </w:numPr>
        <w:spacing w:line="240" w:lineRule="auto"/>
        <w:rPr>
          <w:rFonts w:cs="Arial"/>
          <w:b/>
          <w:sz w:val="24"/>
        </w:rPr>
      </w:pPr>
      <w:bookmarkStart w:id="6" w:name="_Toc473581390"/>
      <w:r w:rsidRPr="009A460E">
        <w:rPr>
          <w:rFonts w:cs="Arial"/>
          <w:b/>
          <w:sz w:val="24"/>
        </w:rPr>
        <w:t>Plan Indicativo Institucional 2015 – 2018 “Estamos cambiando el mundo”</w:t>
      </w:r>
      <w:bookmarkEnd w:id="6"/>
    </w:p>
    <w:p w:rsidR="00A005AB" w:rsidRPr="009A460E" w:rsidRDefault="00A005AB" w:rsidP="006D7CA6">
      <w:pPr>
        <w:spacing w:after="0" w:line="240" w:lineRule="auto"/>
        <w:jc w:val="both"/>
        <w:rPr>
          <w:rFonts w:cs="Arial"/>
          <w:lang w:val="es-CO"/>
        </w:rPr>
      </w:pPr>
    </w:p>
    <w:p w:rsidR="000F1DFE" w:rsidRPr="009A460E" w:rsidRDefault="0077664A" w:rsidP="00974553">
      <w:pPr>
        <w:spacing w:after="0" w:line="240" w:lineRule="auto"/>
        <w:jc w:val="both"/>
        <w:rPr>
          <w:rFonts w:cs="Arial"/>
          <w:lang w:val="es-CO"/>
        </w:rPr>
      </w:pPr>
      <w:r>
        <w:rPr>
          <w:rFonts w:cs="Arial"/>
          <w:lang w:val="es-CO"/>
        </w:rPr>
        <w:t>El ICBF construyó su</w:t>
      </w:r>
      <w:r w:rsidR="000F1DFE" w:rsidRPr="0077664A">
        <w:rPr>
          <w:rFonts w:cs="Arial"/>
          <w:lang w:val="es-CO"/>
        </w:rPr>
        <w:t xml:space="preserve"> Plan Indicativo 2015-2018</w:t>
      </w:r>
      <w:r w:rsidR="000F1DFE" w:rsidRPr="009A460E">
        <w:rPr>
          <w:rFonts w:cs="Arial"/>
          <w:lang w:val="es-CO"/>
        </w:rPr>
        <w:t>, contribuyendo a la ejecución integral de los objetivos de Gobierno, con programas y estrategias de atención a la primera infancia, la niñez, la adolescencia y las familias colombianas.</w:t>
      </w:r>
    </w:p>
    <w:p w:rsidR="000F1DFE" w:rsidRPr="009A460E" w:rsidRDefault="000F1DFE" w:rsidP="006D7CA6">
      <w:pPr>
        <w:spacing w:after="0" w:line="240" w:lineRule="auto"/>
        <w:jc w:val="both"/>
        <w:rPr>
          <w:rFonts w:cs="Arial"/>
          <w:lang w:val="es-CO"/>
        </w:rPr>
      </w:pPr>
    </w:p>
    <w:p w:rsidR="00E534B0" w:rsidRPr="00772DDA" w:rsidRDefault="00E534B0" w:rsidP="006D7CA6">
      <w:pPr>
        <w:spacing w:after="0" w:line="240" w:lineRule="auto"/>
        <w:jc w:val="both"/>
        <w:rPr>
          <w:rFonts w:cs="Arial"/>
          <w:lang w:val="es-CO"/>
        </w:rPr>
      </w:pPr>
      <w:r w:rsidRPr="00A87B8C">
        <w:rPr>
          <w:rFonts w:cs="Arial"/>
        </w:rPr>
        <w:t>Las metas de gobierno, en las cuales tiene incidencia directa el ICBF, se encuentran orientadas al cumplimiento de grandes retos tal y como se puede evidenciar con la Estrategia de Atención</w:t>
      </w:r>
      <w:r w:rsidRPr="009A460E">
        <w:rPr>
          <w:rFonts w:cs="Arial"/>
        </w:rPr>
        <w:t xml:space="preserve"> Integral a la Primera Infancia “De Cero a Siempre”, que reúne las políticas, programas, proyectos, acciones y servicios dirigidos a las madres en periodo de gestación, y a los niños y niñas desde los 0 a los 5 años 11 meses</w:t>
      </w:r>
      <w:r w:rsidR="006110F9">
        <w:rPr>
          <w:rFonts w:cs="Arial"/>
        </w:rPr>
        <w:t xml:space="preserve"> de edad</w:t>
      </w:r>
      <w:r w:rsidRPr="009A460E">
        <w:rPr>
          <w:rFonts w:cs="Arial"/>
        </w:rPr>
        <w:t>.</w:t>
      </w:r>
    </w:p>
    <w:p w:rsidR="00E534B0" w:rsidRPr="009A460E" w:rsidRDefault="00E534B0" w:rsidP="006D7CA6">
      <w:pPr>
        <w:spacing w:after="0" w:line="240" w:lineRule="auto"/>
        <w:jc w:val="both"/>
        <w:rPr>
          <w:rFonts w:cs="Arial"/>
        </w:rPr>
      </w:pPr>
    </w:p>
    <w:p w:rsidR="00E534B0" w:rsidRPr="009A460E" w:rsidRDefault="00E534B0" w:rsidP="006D7CA6">
      <w:pPr>
        <w:spacing w:after="0" w:line="240" w:lineRule="auto"/>
        <w:jc w:val="both"/>
        <w:rPr>
          <w:rFonts w:cs="Arial"/>
        </w:rPr>
      </w:pPr>
      <w:r w:rsidRPr="00A87B8C">
        <w:rPr>
          <w:rFonts w:cs="Arial"/>
        </w:rPr>
        <w:lastRenderedPageBreak/>
        <w:t>A través de esta estrategia se han beneficiado</w:t>
      </w:r>
      <w:r w:rsidR="00A87B8C" w:rsidRPr="00A87B8C">
        <w:rPr>
          <w:rFonts w:cs="Arial"/>
        </w:rPr>
        <w:t xml:space="preserve"> </w:t>
      </w:r>
      <w:r w:rsidR="009975C8">
        <w:rPr>
          <w:rFonts w:cs="Arial"/>
        </w:rPr>
        <w:t xml:space="preserve">con corte a diciembre </w:t>
      </w:r>
      <w:r w:rsidR="00A87B8C" w:rsidRPr="00A87B8C">
        <w:rPr>
          <w:rFonts w:cs="Arial"/>
        </w:rPr>
        <w:t>1.</w:t>
      </w:r>
      <w:r w:rsidR="009975C8">
        <w:rPr>
          <w:rFonts w:cs="Arial"/>
        </w:rPr>
        <w:t>178</w:t>
      </w:r>
      <w:r w:rsidR="00C74727">
        <w:rPr>
          <w:rFonts w:cs="Arial"/>
        </w:rPr>
        <w:t>.</w:t>
      </w:r>
      <w:r w:rsidR="009975C8">
        <w:rPr>
          <w:rFonts w:cs="Arial"/>
        </w:rPr>
        <w:t>278</w:t>
      </w:r>
      <w:r w:rsidR="00A87B8C" w:rsidRPr="00A87B8C">
        <w:rPr>
          <w:rFonts w:cs="Arial"/>
        </w:rPr>
        <w:t xml:space="preserve"> niñas y niños menores de 5 años</w:t>
      </w:r>
      <w:r w:rsidR="009975C8">
        <w:rPr>
          <w:rFonts w:cs="Arial"/>
        </w:rPr>
        <w:t>, a</w:t>
      </w:r>
      <w:r w:rsidRPr="00A87B8C">
        <w:rPr>
          <w:rFonts w:cs="Arial"/>
        </w:rPr>
        <w:t>sí como madres en periodo de gestación y lactancia, atendidos</w:t>
      </w:r>
      <w:r w:rsidRPr="00856ED7">
        <w:rPr>
          <w:rFonts w:cs="Arial"/>
        </w:rPr>
        <w:t xml:space="preserve"> </w:t>
      </w:r>
      <w:r w:rsidRPr="00FB2439">
        <w:rPr>
          <w:rFonts w:cs="Arial"/>
        </w:rPr>
        <w:t xml:space="preserve">directamente por el ICBF. </w:t>
      </w:r>
      <w:r w:rsidR="00C74727" w:rsidRPr="00A87B8C">
        <w:rPr>
          <w:rStyle w:val="Refdenotaalpie"/>
          <w:rFonts w:cs="Arial"/>
        </w:rPr>
        <w:footnoteReference w:id="2"/>
      </w:r>
      <w:r w:rsidR="00C74727" w:rsidRPr="00A87B8C">
        <w:rPr>
          <w:rFonts w:cs="Arial"/>
        </w:rPr>
        <w:t>.</w:t>
      </w:r>
      <w:r w:rsidR="00C74727">
        <w:rPr>
          <w:rFonts w:cs="Arial"/>
        </w:rPr>
        <w:t xml:space="preserve"> </w:t>
      </w:r>
      <w:r w:rsidRPr="00FB2439">
        <w:rPr>
          <w:rFonts w:cs="Arial"/>
        </w:rPr>
        <w:t xml:space="preserve">Por otro lado, la </w:t>
      </w:r>
      <w:r w:rsidR="00C74727">
        <w:rPr>
          <w:rFonts w:cs="Arial"/>
        </w:rPr>
        <w:t xml:space="preserve">entidad </w:t>
      </w:r>
      <w:r w:rsidR="00FB2439" w:rsidRPr="00FB2439">
        <w:rPr>
          <w:rFonts w:cs="Arial"/>
        </w:rPr>
        <w:t xml:space="preserve">atendió </w:t>
      </w:r>
      <w:r w:rsidR="009975C8">
        <w:rPr>
          <w:rFonts w:cs="Arial"/>
        </w:rPr>
        <w:t xml:space="preserve">más de </w:t>
      </w:r>
      <w:r w:rsidR="00FB2439" w:rsidRPr="00FB2439">
        <w:rPr>
          <w:rFonts w:cs="Arial"/>
        </w:rPr>
        <w:t>75</w:t>
      </w:r>
      <w:r w:rsidR="009975C8">
        <w:rPr>
          <w:rFonts w:cs="Arial"/>
        </w:rPr>
        <w:t>0</w:t>
      </w:r>
      <w:r w:rsidR="00FB2439" w:rsidRPr="00FB2439">
        <w:rPr>
          <w:rFonts w:cs="Arial"/>
        </w:rPr>
        <w:t>.</w:t>
      </w:r>
      <w:r w:rsidR="009975C8">
        <w:rPr>
          <w:rFonts w:cs="Arial"/>
        </w:rPr>
        <w:t>000</w:t>
      </w:r>
      <w:r w:rsidR="00FB2439" w:rsidRPr="00FB2439">
        <w:rPr>
          <w:rFonts w:cs="Arial"/>
        </w:rPr>
        <w:t xml:space="preserve"> niñas y niños de la Primera</w:t>
      </w:r>
      <w:r w:rsidRPr="00FB2439">
        <w:rPr>
          <w:rFonts w:cs="Arial"/>
        </w:rPr>
        <w:t xml:space="preserve"> </w:t>
      </w:r>
      <w:r w:rsidR="00FB2439" w:rsidRPr="00FB2439">
        <w:rPr>
          <w:rFonts w:cs="Arial"/>
        </w:rPr>
        <w:t>I</w:t>
      </w:r>
      <w:r w:rsidRPr="00FB2439">
        <w:rPr>
          <w:rFonts w:cs="Arial"/>
        </w:rPr>
        <w:t>nfancia a través de modalidades tradicionales de Hogares ICBF que brindan los componentes de cuidado y nutrición, sin el componente de educación inicial.</w:t>
      </w:r>
      <w:r w:rsidRPr="009A460E">
        <w:rPr>
          <w:rFonts w:cs="Arial"/>
        </w:rPr>
        <w:t xml:space="preserve"> </w:t>
      </w:r>
    </w:p>
    <w:p w:rsidR="00E534B0" w:rsidRPr="009A460E" w:rsidRDefault="00E534B0" w:rsidP="006D7CA6">
      <w:pPr>
        <w:spacing w:after="0" w:line="240" w:lineRule="auto"/>
        <w:jc w:val="both"/>
        <w:rPr>
          <w:rFonts w:cs="Arial"/>
        </w:rPr>
      </w:pPr>
    </w:p>
    <w:p w:rsidR="00FB2439" w:rsidRPr="00FB2439" w:rsidRDefault="00FB2439" w:rsidP="00FB2439">
      <w:pPr>
        <w:spacing w:after="0" w:line="240" w:lineRule="auto"/>
        <w:jc w:val="both"/>
        <w:rPr>
          <w:rFonts w:cs="Arial"/>
        </w:rPr>
      </w:pPr>
      <w:r w:rsidRPr="00FB2439">
        <w:rPr>
          <w:rFonts w:cs="Arial"/>
        </w:rPr>
        <w:t>Con la finalidad de apoyar la adecuada implementación de la Estrategia “De Cero a Siempre”, el Instituto ha entregado 77  nuevos Centros de Desarrollo Infantil  para operación de la modalidades de Atención Integral a la Primera Infancia durante el 2016,   alcanzando un cumplimiento del 96% respecto a la meta de gobierno para este año. Finalmente, se han vinculado nuevos agentes educativos en los procesos de formación bajo el modelo de atención integral a la primera infancia lo cual muestra un avance del 91% de la meta establecida para el periodo.</w:t>
      </w:r>
    </w:p>
    <w:p w:rsidR="00E534B0" w:rsidRPr="00CC6F70" w:rsidRDefault="00E534B0" w:rsidP="006D7CA6">
      <w:pPr>
        <w:spacing w:after="0" w:line="240" w:lineRule="auto"/>
        <w:jc w:val="both"/>
        <w:rPr>
          <w:rFonts w:cs="Arial"/>
          <w:highlight w:val="yellow"/>
        </w:rPr>
      </w:pPr>
    </w:p>
    <w:p w:rsidR="009975C8" w:rsidRPr="00FF1D46" w:rsidRDefault="009975C8" w:rsidP="009975C8">
      <w:pPr>
        <w:spacing w:after="0" w:line="240" w:lineRule="auto"/>
        <w:jc w:val="both"/>
        <w:rPr>
          <w:rFonts w:cs="Arial"/>
        </w:rPr>
      </w:pPr>
      <w:r>
        <w:t>El Instituto a través de la Dirección de Niñez y Adolescencia, le otorga especial énfasis a las estrategias y acciones que posibilitan la garantía de los derechos de los niños, niñas y adolescentes en los ámbitos de existencia, desarrollo, ciudadanía y protección. Así las cosas, la DNA en su indicador “</w:t>
      </w:r>
      <w:r w:rsidRPr="008F07C0">
        <w:t>Número de niños, niñas y adolescentes participantes en estrategias de prevención</w:t>
      </w:r>
      <w:r>
        <w:t xml:space="preserve">” </w:t>
      </w:r>
      <w:r w:rsidR="002E4FDF">
        <w:t>incluyen</w:t>
      </w:r>
      <w:r>
        <w:t xml:space="preserve"> todas las estrategias de prevención de la Dirección. El avance de este indicador para el </w:t>
      </w:r>
      <w:r w:rsidRPr="00FF1D46">
        <w:t xml:space="preserve">mes de </w:t>
      </w:r>
      <w:r>
        <w:t xml:space="preserve">diciembre </w:t>
      </w:r>
      <w:r w:rsidRPr="00FF1D46">
        <w:t xml:space="preserve"> fue de </w:t>
      </w:r>
      <w:r>
        <w:t>151.665</w:t>
      </w:r>
      <w:r w:rsidRPr="00FF1D46">
        <w:t xml:space="preserve"> Niños, Niñas y Adolescentes, con una meta establecida para la vigencia de 153.075 Niños, Niñas y Adolescentes. Con un avance a de </w:t>
      </w:r>
      <w:r>
        <w:t>99</w:t>
      </w:r>
      <w:r w:rsidRPr="00FF1D46">
        <w:t xml:space="preserve">%. De igual forma la Dirección de Niñez y Adolescencia cuenta con </w:t>
      </w:r>
      <w:r w:rsidRPr="00FF1D46">
        <w:rPr>
          <w:rFonts w:cs="Arial"/>
        </w:rPr>
        <w:t xml:space="preserve">el programa de “Generaciones con Bienestar” con el cual se alcanzó un cumplimiento del </w:t>
      </w:r>
      <w:r>
        <w:rPr>
          <w:rFonts w:cs="Arial"/>
        </w:rPr>
        <w:t>104</w:t>
      </w:r>
      <w:r w:rsidRPr="00FF1D46">
        <w:rPr>
          <w:rFonts w:cs="Arial"/>
        </w:rPr>
        <w:t xml:space="preserve">% de la meta 2016, atendiendo a </w:t>
      </w:r>
      <w:r>
        <w:rPr>
          <w:rFonts w:cs="Arial"/>
        </w:rPr>
        <w:t>117.214</w:t>
      </w:r>
      <w:r w:rsidRPr="00FF1D46">
        <w:rPr>
          <w:rFonts w:cs="Arial"/>
        </w:rPr>
        <w:t xml:space="preserve"> niños, niñas y adolescentes entre los 6 y 17 años y previniendo diversas formas de vulneración de derechos. </w:t>
      </w:r>
    </w:p>
    <w:p w:rsidR="009975C8" w:rsidRPr="00FF1D46" w:rsidRDefault="009975C8" w:rsidP="009975C8">
      <w:pPr>
        <w:spacing w:after="0" w:line="240" w:lineRule="auto"/>
        <w:jc w:val="both"/>
        <w:rPr>
          <w:rFonts w:cs="Arial"/>
        </w:rPr>
      </w:pPr>
    </w:p>
    <w:p w:rsidR="009975C8" w:rsidRPr="009A460E" w:rsidRDefault="009975C8" w:rsidP="009975C8">
      <w:pPr>
        <w:spacing w:after="0" w:line="240" w:lineRule="auto"/>
        <w:jc w:val="both"/>
        <w:rPr>
          <w:rFonts w:cs="Arial"/>
        </w:rPr>
      </w:pPr>
      <w:r w:rsidRPr="00FF1D46">
        <w:rPr>
          <w:rFonts w:cs="Arial"/>
        </w:rPr>
        <w:t>Pensando en las familias colombianas, el ICBF también cuenta con el programa “Familias para la paz” a través del cual se alcanzó el cumplimiento del 100% de la meta prevista para 2016, beneficiando a 159.</w:t>
      </w:r>
      <w:r>
        <w:rPr>
          <w:rFonts w:cs="Arial"/>
        </w:rPr>
        <w:t>776</w:t>
      </w:r>
      <w:r w:rsidRPr="00FF1D46">
        <w:rPr>
          <w:rFonts w:cs="Arial"/>
        </w:rPr>
        <w:t xml:space="preserve"> familias.</w:t>
      </w:r>
    </w:p>
    <w:p w:rsidR="00CF422A" w:rsidRPr="00CC6F70" w:rsidRDefault="00CF422A" w:rsidP="006D7CA6">
      <w:pPr>
        <w:spacing w:after="0" w:line="240" w:lineRule="auto"/>
        <w:jc w:val="both"/>
        <w:rPr>
          <w:rFonts w:cs="Arial"/>
          <w:highlight w:val="yellow"/>
        </w:rPr>
      </w:pPr>
    </w:p>
    <w:p w:rsidR="00CF422A" w:rsidRPr="009A460E" w:rsidRDefault="00CF422A" w:rsidP="00CF422A">
      <w:pPr>
        <w:spacing w:after="0" w:line="240" w:lineRule="auto"/>
        <w:jc w:val="both"/>
        <w:rPr>
          <w:rFonts w:cs="Arial"/>
        </w:rPr>
      </w:pPr>
      <w:r w:rsidRPr="00CF422A">
        <w:rPr>
          <w:rFonts w:cs="Arial"/>
        </w:rPr>
        <w:t>En cuanto al restablecimiento de derechos de los niños, niñas y adolescentes colombianos, el ICBF, avanzó en el restablecimiento del derecho a tener una familia a través del mecanismo de adopción al 100% de los niños, niñas y adolescentes sin características especiales declarados en adoptabilidad y al 76% de los niños, niñas y adolescentes con características o necesidades especiales, porcentajes que en el año 2011 eran de 70% y 34% respectivamente.</w:t>
      </w:r>
    </w:p>
    <w:p w:rsidR="00E534B0" w:rsidRPr="009A460E" w:rsidRDefault="00E534B0" w:rsidP="006D7CA6">
      <w:pPr>
        <w:spacing w:after="0" w:line="240" w:lineRule="auto"/>
        <w:jc w:val="both"/>
        <w:rPr>
          <w:rFonts w:cs="Arial"/>
        </w:rPr>
      </w:pPr>
    </w:p>
    <w:p w:rsidR="00DE4B4A" w:rsidRDefault="00C403F6" w:rsidP="006D7CA6">
      <w:pPr>
        <w:spacing w:after="0" w:line="240" w:lineRule="auto"/>
        <w:jc w:val="both"/>
        <w:rPr>
          <w:rFonts w:cs="Arial"/>
        </w:rPr>
      </w:pPr>
      <w:r w:rsidRPr="00CF422A">
        <w:rPr>
          <w:rFonts w:cs="Arial"/>
        </w:rPr>
        <w:t xml:space="preserve">Finalmente, en el cuadro siguiente se puede observar el avance sobre las metas propuestas para </w:t>
      </w:r>
      <w:r w:rsidR="00D30F9B" w:rsidRPr="00CF422A">
        <w:rPr>
          <w:rFonts w:cs="Arial"/>
        </w:rPr>
        <w:t>el cuatrienio y la vigencia 2016</w:t>
      </w:r>
      <w:r w:rsidRPr="00CF422A">
        <w:rPr>
          <w:rFonts w:cs="Arial"/>
        </w:rPr>
        <w:t>:</w:t>
      </w:r>
    </w:p>
    <w:p w:rsidR="002E4FDF" w:rsidRPr="009A460E" w:rsidRDefault="002E4FDF" w:rsidP="006D7CA6">
      <w:pPr>
        <w:spacing w:after="0" w:line="240" w:lineRule="auto"/>
        <w:jc w:val="both"/>
        <w:rPr>
          <w:rFonts w:cs="Arial"/>
        </w:rPr>
      </w:pPr>
    </w:p>
    <w:tbl>
      <w:tblPr>
        <w:tblW w:w="933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600" w:firstRow="0" w:lastRow="0" w:firstColumn="0" w:lastColumn="0" w:noHBand="1" w:noVBand="1"/>
      </w:tblPr>
      <w:tblGrid>
        <w:gridCol w:w="3203"/>
        <w:gridCol w:w="960"/>
        <w:gridCol w:w="1168"/>
        <w:gridCol w:w="1035"/>
        <w:gridCol w:w="1123"/>
        <w:gridCol w:w="988"/>
        <w:gridCol w:w="861"/>
      </w:tblGrid>
      <w:tr w:rsidR="00302DE4" w:rsidRPr="00F85636" w:rsidTr="003F79A8">
        <w:trPr>
          <w:trHeight w:val="232"/>
          <w:jc w:val="center"/>
        </w:trPr>
        <w:tc>
          <w:tcPr>
            <w:tcW w:w="9338" w:type="dxa"/>
            <w:gridSpan w:val="7"/>
            <w:shd w:val="clear" w:color="auto" w:fill="76923C" w:themeFill="accent3" w:themeFillShade="BF"/>
            <w:tcMar>
              <w:top w:w="15" w:type="dxa"/>
              <w:left w:w="15" w:type="dxa"/>
              <w:bottom w:w="0" w:type="dxa"/>
              <w:right w:w="15" w:type="dxa"/>
            </w:tcMar>
            <w:vAlign w:val="center"/>
            <w:hideMark/>
          </w:tcPr>
          <w:p w:rsidR="00302DE4" w:rsidRPr="00634B70" w:rsidRDefault="00302DE4">
            <w:pPr>
              <w:spacing w:after="0" w:line="240" w:lineRule="auto"/>
              <w:ind w:left="57" w:right="57"/>
              <w:jc w:val="center"/>
              <w:rPr>
                <w:rFonts w:cs="Arial"/>
                <w:b/>
                <w:color w:val="FFFFFF" w:themeColor="background1"/>
                <w:sz w:val="18"/>
                <w:szCs w:val="18"/>
                <w:lang w:val="es-CO"/>
              </w:rPr>
            </w:pPr>
            <w:r w:rsidRPr="00634B70">
              <w:rPr>
                <w:rFonts w:cs="Arial"/>
                <w:b/>
                <w:color w:val="FFFFFF" w:themeColor="background1"/>
                <w:sz w:val="18"/>
                <w:szCs w:val="18"/>
                <w:lang w:val="es-CO"/>
              </w:rPr>
              <w:t>Indicadores SINERGIA</w:t>
            </w:r>
          </w:p>
        </w:tc>
      </w:tr>
      <w:tr w:rsidR="005C00C5" w:rsidRPr="00F85636" w:rsidTr="003F79A8">
        <w:trPr>
          <w:trHeight w:val="218"/>
          <w:jc w:val="center"/>
        </w:trPr>
        <w:tc>
          <w:tcPr>
            <w:tcW w:w="3203" w:type="dxa"/>
            <w:shd w:val="clear" w:color="auto" w:fill="E2EFDA"/>
            <w:tcMar>
              <w:top w:w="15" w:type="dxa"/>
              <w:left w:w="15" w:type="dxa"/>
              <w:bottom w:w="0" w:type="dxa"/>
              <w:right w:w="15" w:type="dxa"/>
            </w:tcMar>
            <w:vAlign w:val="center"/>
            <w:hideMark/>
          </w:tcPr>
          <w:p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Indica</w:t>
            </w:r>
            <w:r w:rsidR="00634B70">
              <w:rPr>
                <w:rFonts w:cs="Arial"/>
                <w:b/>
                <w:sz w:val="18"/>
                <w:szCs w:val="18"/>
                <w:lang w:val="es-CO"/>
              </w:rPr>
              <w:t>dor T</w:t>
            </w:r>
            <w:r w:rsidRPr="00634B70">
              <w:rPr>
                <w:rFonts w:cs="Arial"/>
                <w:b/>
                <w:sz w:val="18"/>
                <w:szCs w:val="18"/>
                <w:lang w:val="es-CO"/>
              </w:rPr>
              <w:t>ablero</w:t>
            </w:r>
          </w:p>
        </w:tc>
        <w:tc>
          <w:tcPr>
            <w:tcW w:w="960" w:type="dxa"/>
            <w:shd w:val="clear" w:color="auto" w:fill="E2EFDA"/>
            <w:tcMar>
              <w:top w:w="15" w:type="dxa"/>
              <w:left w:w="15" w:type="dxa"/>
              <w:bottom w:w="0" w:type="dxa"/>
              <w:right w:w="15" w:type="dxa"/>
            </w:tcMar>
            <w:vAlign w:val="center"/>
            <w:hideMark/>
          </w:tcPr>
          <w:p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Línea Base</w:t>
            </w:r>
          </w:p>
        </w:tc>
        <w:tc>
          <w:tcPr>
            <w:tcW w:w="1168" w:type="dxa"/>
            <w:shd w:val="clear" w:color="auto" w:fill="E2EFDA"/>
            <w:tcMar>
              <w:top w:w="15" w:type="dxa"/>
              <w:left w:w="15" w:type="dxa"/>
              <w:bottom w:w="0" w:type="dxa"/>
              <w:right w:w="15" w:type="dxa"/>
            </w:tcMar>
            <w:vAlign w:val="center"/>
            <w:hideMark/>
          </w:tcPr>
          <w:p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Meta Cuatrienio</w:t>
            </w:r>
          </w:p>
        </w:tc>
        <w:tc>
          <w:tcPr>
            <w:tcW w:w="1035" w:type="dxa"/>
            <w:shd w:val="clear" w:color="auto" w:fill="E2EFDA"/>
            <w:tcMar>
              <w:top w:w="15" w:type="dxa"/>
              <w:left w:w="15" w:type="dxa"/>
              <w:bottom w:w="0" w:type="dxa"/>
              <w:right w:w="15" w:type="dxa"/>
            </w:tcMar>
            <w:vAlign w:val="center"/>
            <w:hideMark/>
          </w:tcPr>
          <w:p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Avance Cuatrienio</w:t>
            </w:r>
          </w:p>
        </w:tc>
        <w:tc>
          <w:tcPr>
            <w:tcW w:w="1123" w:type="dxa"/>
            <w:shd w:val="clear" w:color="auto" w:fill="E2EFDA"/>
            <w:tcMar>
              <w:top w:w="15" w:type="dxa"/>
              <w:left w:w="15" w:type="dxa"/>
              <w:bottom w:w="0" w:type="dxa"/>
              <w:right w:w="15" w:type="dxa"/>
            </w:tcMar>
            <w:vAlign w:val="center"/>
            <w:hideMark/>
          </w:tcPr>
          <w:p w:rsidR="005C00C5" w:rsidRPr="00634B70" w:rsidRDefault="00D30F9B">
            <w:pPr>
              <w:spacing w:after="0" w:line="240" w:lineRule="auto"/>
              <w:ind w:left="57" w:right="57"/>
              <w:jc w:val="center"/>
              <w:rPr>
                <w:rFonts w:cs="Arial"/>
                <w:b/>
                <w:sz w:val="18"/>
                <w:szCs w:val="18"/>
                <w:lang w:val="es-CO"/>
              </w:rPr>
            </w:pPr>
            <w:r w:rsidRPr="00634B70">
              <w:rPr>
                <w:rFonts w:cs="Arial"/>
                <w:b/>
                <w:sz w:val="18"/>
                <w:szCs w:val="18"/>
                <w:lang w:val="es-CO"/>
              </w:rPr>
              <w:t>Meta 2016</w:t>
            </w:r>
          </w:p>
        </w:tc>
        <w:tc>
          <w:tcPr>
            <w:tcW w:w="988" w:type="dxa"/>
            <w:shd w:val="clear" w:color="auto" w:fill="E2EFDA"/>
            <w:tcMar>
              <w:top w:w="15" w:type="dxa"/>
              <w:left w:w="15" w:type="dxa"/>
              <w:bottom w:w="0" w:type="dxa"/>
              <w:right w:w="15" w:type="dxa"/>
            </w:tcMar>
            <w:vAlign w:val="center"/>
            <w:hideMark/>
          </w:tcPr>
          <w:p w:rsidR="005C00C5" w:rsidRPr="00634B70" w:rsidRDefault="00D30F9B">
            <w:pPr>
              <w:spacing w:after="0" w:line="240" w:lineRule="auto"/>
              <w:ind w:left="57" w:right="57"/>
              <w:jc w:val="center"/>
              <w:rPr>
                <w:rFonts w:cs="Arial"/>
                <w:b/>
                <w:sz w:val="18"/>
                <w:szCs w:val="18"/>
                <w:lang w:val="es-CO"/>
              </w:rPr>
            </w:pPr>
            <w:r w:rsidRPr="00634B70">
              <w:rPr>
                <w:rFonts w:cs="Arial"/>
                <w:b/>
                <w:sz w:val="18"/>
                <w:szCs w:val="18"/>
                <w:lang w:val="es-CO"/>
              </w:rPr>
              <w:t>Avance 2016</w:t>
            </w:r>
          </w:p>
        </w:tc>
        <w:tc>
          <w:tcPr>
            <w:tcW w:w="861" w:type="dxa"/>
            <w:shd w:val="clear" w:color="auto" w:fill="E2EFDA"/>
            <w:vAlign w:val="center"/>
            <w:hideMark/>
          </w:tcPr>
          <w:p w:rsidR="005C00C5" w:rsidRPr="00634B70" w:rsidRDefault="005C00C5">
            <w:pPr>
              <w:spacing w:after="0" w:line="240" w:lineRule="auto"/>
              <w:ind w:left="57" w:right="57"/>
              <w:jc w:val="center"/>
              <w:rPr>
                <w:rFonts w:cs="Arial"/>
                <w:b/>
                <w:sz w:val="18"/>
                <w:szCs w:val="18"/>
                <w:lang w:val="es-CO"/>
              </w:rPr>
            </w:pPr>
            <w:r w:rsidRPr="00634B70">
              <w:rPr>
                <w:rFonts w:cs="Arial"/>
                <w:b/>
                <w:sz w:val="18"/>
                <w:szCs w:val="18"/>
                <w:lang w:val="es-CO"/>
              </w:rPr>
              <w:t>%</w:t>
            </w:r>
          </w:p>
        </w:tc>
      </w:tr>
      <w:tr w:rsidR="005C00C5" w:rsidRPr="00F85636" w:rsidTr="003F79A8">
        <w:trPr>
          <w:trHeight w:val="455"/>
          <w:jc w:val="center"/>
        </w:trPr>
        <w:tc>
          <w:tcPr>
            <w:tcW w:w="3203" w:type="dxa"/>
            <w:tcMar>
              <w:top w:w="15" w:type="dxa"/>
              <w:left w:w="57" w:type="dxa"/>
              <w:bottom w:w="0" w:type="dxa"/>
              <w:right w:w="57" w:type="dxa"/>
            </w:tcMar>
            <w:vAlign w:val="center"/>
            <w:hideMark/>
          </w:tcPr>
          <w:p w:rsidR="005C00C5" w:rsidRPr="00634B70" w:rsidRDefault="007A6E95" w:rsidP="00DD0B9C">
            <w:pPr>
              <w:rPr>
                <w:sz w:val="18"/>
                <w:szCs w:val="18"/>
              </w:rPr>
            </w:pPr>
            <w:r w:rsidRPr="00634B70">
              <w:rPr>
                <w:sz w:val="18"/>
                <w:szCs w:val="18"/>
              </w:rPr>
              <w:t>Niños y niñas con educación inicial en el marco de la atención integral</w:t>
            </w:r>
          </w:p>
        </w:tc>
        <w:tc>
          <w:tcPr>
            <w:tcW w:w="960" w:type="dxa"/>
            <w:tcMar>
              <w:top w:w="15" w:type="dxa"/>
              <w:left w:w="15" w:type="dxa"/>
              <w:bottom w:w="0" w:type="dxa"/>
              <w:right w:w="15" w:type="dxa"/>
            </w:tcMar>
            <w:vAlign w:val="center"/>
            <w:hideMark/>
          </w:tcPr>
          <w:p w:rsidR="005C00C5" w:rsidRPr="00634B70" w:rsidRDefault="005C00C5">
            <w:pPr>
              <w:spacing w:after="0" w:line="240" w:lineRule="auto"/>
              <w:jc w:val="center"/>
              <w:rPr>
                <w:rFonts w:cs="Arial"/>
                <w:color w:val="000000"/>
                <w:sz w:val="18"/>
                <w:szCs w:val="18"/>
                <w:lang w:val="es-CO" w:eastAsia="es-CO"/>
              </w:rPr>
            </w:pPr>
            <w:r w:rsidRPr="00634B70">
              <w:rPr>
                <w:rFonts w:cs="Arial"/>
                <w:color w:val="000000"/>
                <w:sz w:val="18"/>
                <w:szCs w:val="18"/>
              </w:rPr>
              <w:t>1.054.857</w:t>
            </w:r>
          </w:p>
        </w:tc>
        <w:tc>
          <w:tcPr>
            <w:tcW w:w="1168" w:type="dxa"/>
            <w:tcMar>
              <w:top w:w="15" w:type="dxa"/>
              <w:left w:w="15" w:type="dxa"/>
              <w:bottom w:w="0" w:type="dxa"/>
              <w:right w:w="15" w:type="dxa"/>
            </w:tcMar>
            <w:vAlign w:val="center"/>
            <w:hideMark/>
          </w:tcPr>
          <w:p w:rsidR="005C00C5" w:rsidRPr="00634B70" w:rsidRDefault="005C00C5">
            <w:pPr>
              <w:spacing w:after="0"/>
              <w:jc w:val="center"/>
              <w:rPr>
                <w:rFonts w:cs="Arial"/>
                <w:color w:val="000000"/>
                <w:sz w:val="18"/>
                <w:szCs w:val="18"/>
              </w:rPr>
            </w:pPr>
            <w:r w:rsidRPr="00634B70">
              <w:rPr>
                <w:rFonts w:cs="Arial"/>
                <w:color w:val="000000"/>
                <w:sz w:val="18"/>
                <w:szCs w:val="18"/>
              </w:rPr>
              <w:t>1.500.000</w:t>
            </w:r>
          </w:p>
        </w:tc>
        <w:tc>
          <w:tcPr>
            <w:tcW w:w="1035"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1.053.491</w:t>
            </w:r>
          </w:p>
        </w:tc>
        <w:tc>
          <w:tcPr>
            <w:tcW w:w="1123"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1.150.000</w:t>
            </w:r>
          </w:p>
        </w:tc>
        <w:tc>
          <w:tcPr>
            <w:tcW w:w="988"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1.053.491</w:t>
            </w:r>
          </w:p>
        </w:tc>
        <w:tc>
          <w:tcPr>
            <w:tcW w:w="861" w:type="dxa"/>
            <w:vAlign w:val="center"/>
            <w:hideMark/>
          </w:tcPr>
          <w:p w:rsidR="005C00C5" w:rsidRPr="00634B70" w:rsidRDefault="007A6E95">
            <w:pPr>
              <w:spacing w:after="0" w:line="240" w:lineRule="auto"/>
              <w:jc w:val="center"/>
              <w:rPr>
                <w:rFonts w:cs="Arial"/>
                <w:color w:val="000000"/>
                <w:sz w:val="18"/>
                <w:szCs w:val="18"/>
                <w:lang w:val="es-CO" w:eastAsia="es-CO"/>
              </w:rPr>
            </w:pPr>
            <w:r w:rsidRPr="00634B70">
              <w:rPr>
                <w:rFonts w:cs="Arial"/>
                <w:color w:val="000000"/>
                <w:sz w:val="18"/>
                <w:szCs w:val="18"/>
              </w:rPr>
              <w:t>91.61</w:t>
            </w:r>
            <w:r w:rsidR="005C00C5" w:rsidRPr="00634B70">
              <w:rPr>
                <w:rFonts w:cs="Arial"/>
                <w:color w:val="000000"/>
                <w:sz w:val="18"/>
                <w:szCs w:val="18"/>
              </w:rPr>
              <w:t>%</w:t>
            </w:r>
          </w:p>
        </w:tc>
      </w:tr>
      <w:tr w:rsidR="005C00C5" w:rsidRPr="00F85636" w:rsidTr="003F79A8">
        <w:trPr>
          <w:trHeight w:val="445"/>
          <w:jc w:val="center"/>
        </w:trPr>
        <w:tc>
          <w:tcPr>
            <w:tcW w:w="3203" w:type="dxa"/>
            <w:tcMar>
              <w:top w:w="15" w:type="dxa"/>
              <w:left w:w="57" w:type="dxa"/>
              <w:bottom w:w="0" w:type="dxa"/>
              <w:right w:w="57" w:type="dxa"/>
            </w:tcMar>
            <w:vAlign w:val="center"/>
            <w:hideMark/>
          </w:tcPr>
          <w:p w:rsidR="005C00C5" w:rsidRPr="00634B70" w:rsidRDefault="007A6E95" w:rsidP="00DD0B9C">
            <w:pPr>
              <w:rPr>
                <w:sz w:val="18"/>
                <w:szCs w:val="18"/>
              </w:rPr>
            </w:pPr>
            <w:r w:rsidRPr="00634B70">
              <w:rPr>
                <w:sz w:val="18"/>
                <w:szCs w:val="18"/>
              </w:rPr>
              <w:lastRenderedPageBreak/>
              <w:t>Porcentaje de Hogares comunitarios que cumplen los estándares de calidad de la estrategia de atención integral a la primera infancia De Cero a Siempre</w:t>
            </w:r>
          </w:p>
        </w:tc>
        <w:tc>
          <w:tcPr>
            <w:tcW w:w="960" w:type="dxa"/>
            <w:tcMar>
              <w:top w:w="15" w:type="dxa"/>
              <w:left w:w="15" w:type="dxa"/>
              <w:bottom w:w="0" w:type="dxa"/>
              <w:right w:w="15" w:type="dxa"/>
            </w:tcMar>
            <w:vAlign w:val="center"/>
            <w:hideMark/>
          </w:tcPr>
          <w:p w:rsidR="005C00C5" w:rsidRPr="00634B70" w:rsidRDefault="005C00C5">
            <w:pPr>
              <w:spacing w:after="0"/>
              <w:jc w:val="center"/>
              <w:rPr>
                <w:rFonts w:cs="Arial"/>
                <w:color w:val="000000"/>
                <w:sz w:val="18"/>
                <w:szCs w:val="18"/>
              </w:rPr>
            </w:pPr>
            <w:r w:rsidRPr="00634B70">
              <w:rPr>
                <w:rFonts w:cs="Arial"/>
                <w:color w:val="000000"/>
                <w:sz w:val="18"/>
                <w:szCs w:val="18"/>
              </w:rPr>
              <w:t>-</w:t>
            </w:r>
          </w:p>
        </w:tc>
        <w:tc>
          <w:tcPr>
            <w:tcW w:w="1168"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57.6</w:t>
            </w:r>
            <w:r w:rsidR="005C00C5" w:rsidRPr="00634B70">
              <w:rPr>
                <w:rFonts w:cs="Arial"/>
                <w:color w:val="000000"/>
                <w:sz w:val="18"/>
                <w:szCs w:val="18"/>
              </w:rPr>
              <w:t>%</w:t>
            </w:r>
          </w:p>
        </w:tc>
        <w:tc>
          <w:tcPr>
            <w:tcW w:w="1035"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30</w:t>
            </w:r>
            <w:r w:rsidR="005C00C5" w:rsidRPr="00634B70">
              <w:rPr>
                <w:rFonts w:cs="Arial"/>
                <w:color w:val="000000"/>
                <w:sz w:val="18"/>
                <w:szCs w:val="18"/>
              </w:rPr>
              <w:t>%</w:t>
            </w:r>
          </w:p>
        </w:tc>
        <w:tc>
          <w:tcPr>
            <w:tcW w:w="1123" w:type="dxa"/>
            <w:tcMar>
              <w:top w:w="15" w:type="dxa"/>
              <w:left w:w="15" w:type="dxa"/>
              <w:bottom w:w="0" w:type="dxa"/>
              <w:right w:w="15" w:type="dxa"/>
            </w:tcMar>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28.8</w:t>
            </w:r>
            <w:r w:rsidR="005C00C5" w:rsidRPr="00634B70">
              <w:rPr>
                <w:rFonts w:cs="Arial"/>
                <w:color w:val="000000"/>
                <w:sz w:val="18"/>
                <w:szCs w:val="18"/>
              </w:rPr>
              <w:t>%</w:t>
            </w:r>
          </w:p>
        </w:tc>
        <w:tc>
          <w:tcPr>
            <w:tcW w:w="988" w:type="dxa"/>
            <w:tcMar>
              <w:top w:w="15" w:type="dxa"/>
              <w:left w:w="15" w:type="dxa"/>
              <w:bottom w:w="0" w:type="dxa"/>
              <w:right w:w="15" w:type="dxa"/>
            </w:tcMar>
            <w:vAlign w:val="center"/>
            <w:hideMark/>
          </w:tcPr>
          <w:p w:rsidR="005C00C5" w:rsidRPr="00634B70" w:rsidRDefault="005C00C5">
            <w:pPr>
              <w:spacing w:after="0"/>
              <w:jc w:val="center"/>
              <w:rPr>
                <w:rFonts w:cs="Arial"/>
                <w:color w:val="000000"/>
                <w:sz w:val="18"/>
                <w:szCs w:val="18"/>
              </w:rPr>
            </w:pPr>
            <w:r w:rsidRPr="00634B70">
              <w:rPr>
                <w:rFonts w:cs="Arial"/>
                <w:color w:val="000000"/>
                <w:sz w:val="18"/>
                <w:szCs w:val="18"/>
              </w:rPr>
              <w:t>29%</w:t>
            </w:r>
          </w:p>
        </w:tc>
        <w:tc>
          <w:tcPr>
            <w:tcW w:w="861" w:type="dxa"/>
            <w:vAlign w:val="center"/>
            <w:hideMark/>
          </w:tcPr>
          <w:p w:rsidR="005C00C5" w:rsidRPr="00634B70" w:rsidRDefault="007A6E95">
            <w:pPr>
              <w:spacing w:after="0"/>
              <w:jc w:val="center"/>
              <w:rPr>
                <w:rFonts w:cs="Arial"/>
                <w:color w:val="000000"/>
                <w:sz w:val="18"/>
                <w:szCs w:val="18"/>
              </w:rPr>
            </w:pPr>
            <w:r w:rsidRPr="00634B70">
              <w:rPr>
                <w:rFonts w:cs="Arial"/>
                <w:color w:val="000000"/>
                <w:sz w:val="18"/>
                <w:szCs w:val="18"/>
              </w:rPr>
              <w:t>96</w:t>
            </w:r>
            <w:r w:rsidR="005C00C5" w:rsidRPr="00634B70">
              <w:rPr>
                <w:rFonts w:cs="Arial"/>
                <w:color w:val="000000"/>
                <w:sz w:val="18"/>
                <w:szCs w:val="18"/>
              </w:rPr>
              <w:t>%</w:t>
            </w:r>
          </w:p>
        </w:tc>
      </w:tr>
      <w:tr w:rsidR="001A47F7" w:rsidRPr="00F85636" w:rsidTr="003F79A8">
        <w:trPr>
          <w:trHeight w:val="232"/>
          <w:jc w:val="center"/>
        </w:trPr>
        <w:tc>
          <w:tcPr>
            <w:tcW w:w="9338" w:type="dxa"/>
            <w:gridSpan w:val="7"/>
            <w:shd w:val="clear" w:color="auto" w:fill="76923C" w:themeFill="accent3" w:themeFillShade="BF"/>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color w:val="FFFFFF" w:themeColor="background1"/>
                <w:sz w:val="18"/>
                <w:szCs w:val="18"/>
                <w:lang w:val="es-CO"/>
              </w:rPr>
            </w:pPr>
            <w:r w:rsidRPr="00FD5CC3">
              <w:rPr>
                <w:rFonts w:cs="Arial"/>
                <w:b/>
                <w:color w:val="FFFFFF" w:themeColor="background1"/>
                <w:sz w:val="18"/>
                <w:szCs w:val="18"/>
                <w:lang w:val="es-CO"/>
              </w:rPr>
              <w:t>Indicadores SINERGIA</w:t>
            </w:r>
          </w:p>
        </w:tc>
      </w:tr>
      <w:tr w:rsidR="002A4BFA" w:rsidRPr="00F85636" w:rsidTr="003F79A8">
        <w:trPr>
          <w:trHeight w:val="218"/>
          <w:jc w:val="center"/>
        </w:trPr>
        <w:tc>
          <w:tcPr>
            <w:tcW w:w="3203" w:type="dxa"/>
            <w:shd w:val="clear" w:color="auto" w:fill="E2EFDA"/>
            <w:tcMar>
              <w:top w:w="15" w:type="dxa"/>
              <w:left w:w="15" w:type="dxa"/>
              <w:bottom w:w="0" w:type="dxa"/>
              <w:right w:w="15" w:type="dxa"/>
            </w:tcMar>
            <w:vAlign w:val="center"/>
            <w:hideMark/>
          </w:tcPr>
          <w:p w:rsidR="001A47F7" w:rsidRPr="00FD5CC3" w:rsidRDefault="002E4FDF" w:rsidP="001A47F7">
            <w:pPr>
              <w:spacing w:after="0" w:line="240" w:lineRule="auto"/>
              <w:ind w:left="57" w:right="57"/>
              <w:jc w:val="center"/>
              <w:rPr>
                <w:rFonts w:cs="Arial"/>
                <w:b/>
                <w:sz w:val="18"/>
                <w:szCs w:val="18"/>
                <w:lang w:val="es-CO"/>
              </w:rPr>
            </w:pPr>
            <w:r>
              <w:rPr>
                <w:rFonts w:cs="Arial"/>
                <w:b/>
                <w:sz w:val="18"/>
                <w:szCs w:val="18"/>
                <w:lang w:val="es-CO"/>
              </w:rPr>
              <w:t>Indicador T</w:t>
            </w:r>
            <w:r w:rsidR="001A47F7" w:rsidRPr="00FD5CC3">
              <w:rPr>
                <w:rFonts w:cs="Arial"/>
                <w:b/>
                <w:sz w:val="18"/>
                <w:szCs w:val="18"/>
                <w:lang w:val="es-CO"/>
              </w:rPr>
              <w:t>ablero</w:t>
            </w:r>
          </w:p>
        </w:tc>
        <w:tc>
          <w:tcPr>
            <w:tcW w:w="960" w:type="dxa"/>
            <w:shd w:val="clear" w:color="auto" w:fill="E2EFDA"/>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Línea Base</w:t>
            </w:r>
          </w:p>
        </w:tc>
        <w:tc>
          <w:tcPr>
            <w:tcW w:w="1168" w:type="dxa"/>
            <w:shd w:val="clear" w:color="auto" w:fill="E2EFDA"/>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Meta Cuatrienio</w:t>
            </w:r>
          </w:p>
        </w:tc>
        <w:tc>
          <w:tcPr>
            <w:tcW w:w="1035" w:type="dxa"/>
            <w:shd w:val="clear" w:color="auto" w:fill="E2EFDA"/>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Avance Cuatrienio</w:t>
            </w:r>
          </w:p>
        </w:tc>
        <w:tc>
          <w:tcPr>
            <w:tcW w:w="1123" w:type="dxa"/>
            <w:shd w:val="clear" w:color="auto" w:fill="E2EFDA"/>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Meta 2016</w:t>
            </w:r>
          </w:p>
        </w:tc>
        <w:tc>
          <w:tcPr>
            <w:tcW w:w="988" w:type="dxa"/>
            <w:shd w:val="clear" w:color="auto" w:fill="E2EFDA"/>
            <w:tcMar>
              <w:top w:w="15" w:type="dxa"/>
              <w:left w:w="15" w:type="dxa"/>
              <w:bottom w:w="0" w:type="dxa"/>
              <w:right w:w="15" w:type="dxa"/>
            </w:tcMar>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Avance 2016</w:t>
            </w:r>
          </w:p>
        </w:tc>
        <w:tc>
          <w:tcPr>
            <w:tcW w:w="861" w:type="dxa"/>
            <w:shd w:val="clear" w:color="auto" w:fill="E2EFDA"/>
            <w:vAlign w:val="center"/>
            <w:hideMark/>
          </w:tcPr>
          <w:p w:rsidR="001A47F7" w:rsidRPr="00FD5CC3" w:rsidRDefault="001A47F7" w:rsidP="001A47F7">
            <w:pPr>
              <w:spacing w:after="0" w:line="240" w:lineRule="auto"/>
              <w:ind w:left="57" w:right="57"/>
              <w:jc w:val="center"/>
              <w:rPr>
                <w:rFonts w:cs="Arial"/>
                <w:b/>
                <w:sz w:val="18"/>
                <w:szCs w:val="18"/>
                <w:lang w:val="es-CO"/>
              </w:rPr>
            </w:pPr>
            <w:r w:rsidRPr="00FD5CC3">
              <w:rPr>
                <w:rFonts w:cs="Arial"/>
                <w:b/>
                <w:sz w:val="18"/>
                <w:szCs w:val="18"/>
                <w:lang w:val="es-CO"/>
              </w:rPr>
              <w:t>%</w:t>
            </w:r>
          </w:p>
        </w:tc>
      </w:tr>
      <w:tr w:rsidR="00DD0B9C" w:rsidRPr="00F85636" w:rsidTr="003F79A8">
        <w:trPr>
          <w:trHeight w:val="445"/>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Talento humano cualificado para la atención integral a la primera infancia (ICBF)</w:t>
            </w:r>
            <w:r w:rsidRPr="00FD5CC3" w:rsidDel="009E098B">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49.672</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60.000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21.253,</w:t>
            </w:r>
            <w:r w:rsidRPr="00FD5CC3">
              <w:rPr>
                <w:rFonts w:cs="Arial"/>
                <w:color w:val="222222"/>
                <w:sz w:val="18"/>
                <w:szCs w:val="18"/>
                <w:shd w:val="clear" w:color="auto" w:fill="F7F7F7"/>
              </w:rPr>
              <w:t>00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10.000,00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5.248,00</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52,48%</w:t>
            </w:r>
          </w:p>
        </w:tc>
      </w:tr>
      <w:tr w:rsidR="00DD0B9C" w:rsidRPr="00F85636" w:rsidTr="003F79A8">
        <w:trPr>
          <w:trHeight w:val="445"/>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Salas de Lectura o Círculos de Palabra que fortalecen la oferta de Atención Integral (ICBF)</w:t>
            </w:r>
            <w:r w:rsidRPr="00FD5CC3" w:rsidDel="007C7D05">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28</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150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148</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40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78</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111%</w:t>
            </w:r>
          </w:p>
        </w:tc>
      </w:tr>
      <w:tr w:rsidR="00DD0B9C" w:rsidRPr="00F85636" w:rsidTr="003F79A8">
        <w:trPr>
          <w:trHeight w:val="608"/>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Porcentaje de Entidades Administradoras de Servicio Integral con esquemas de fortalecimiento implementados que generen capacidades para gestionar procesos de calidad</w:t>
            </w:r>
            <w:r w:rsidRPr="00FD5CC3" w:rsidDel="00122F81">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147.9%</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68.9%</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689%</w:t>
            </w:r>
          </w:p>
        </w:tc>
      </w:tr>
      <w:tr w:rsidR="00DD0B9C" w:rsidRPr="00F85636" w:rsidTr="003F79A8">
        <w:trPr>
          <w:trHeight w:val="666"/>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Entidades territoriales con acompañamiento para la implementación de la Ruta Integral de Atenciones de Primera Infancia</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150</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350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263</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220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263</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161.4%</w:t>
            </w:r>
          </w:p>
        </w:tc>
      </w:tr>
      <w:tr w:rsidR="00DD0B9C" w:rsidRPr="00F85636" w:rsidTr="003F79A8">
        <w:trPr>
          <w:trHeight w:val="581"/>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Municipios con la estrategia de prevención de embarazo en la adolescencia implementada </w:t>
            </w:r>
            <w:r w:rsidRPr="00FD5CC3" w:rsidDel="006A52FA">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0</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353</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190</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r w:rsidR="00DD0B9C" w:rsidRPr="00F85636" w:rsidTr="003F79A8">
        <w:trPr>
          <w:trHeight w:val="445"/>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Niños, niñas y adolescentes participantes en estrategias de prevención</w:t>
            </w:r>
            <w:r w:rsidRPr="00FD5CC3" w:rsidDel="003C2D31">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199.979,00</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199.979,00</w:t>
            </w:r>
            <w:r w:rsidRPr="00FD5CC3">
              <w:rPr>
                <w:rFonts w:cs="Arial"/>
                <w:color w:val="000000"/>
                <w:sz w:val="18"/>
                <w:szCs w:val="18"/>
              </w:rPr>
              <w:t xml:space="preserve"> </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332.700,00</w:t>
            </w:r>
            <w:r w:rsidRPr="00FD5CC3" w:rsidDel="00B414B8">
              <w:rPr>
                <w:rFonts w:cs="Arial"/>
                <w:color w:val="000000"/>
                <w:sz w:val="18"/>
                <w:szCs w:val="18"/>
              </w:rPr>
              <w:t xml:space="preserve"> </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153.075,00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126.640,00</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82.73%</w:t>
            </w:r>
          </w:p>
        </w:tc>
      </w:tr>
      <w:tr w:rsidR="00DD0B9C" w:rsidRPr="00F85636" w:rsidTr="003F79A8">
        <w:trPr>
          <w:trHeight w:val="435"/>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Familias en situación de vulnerabilidad afectadas en su estructura y dinámica relacional atendidas mediante la estrategia familias para la paz.</w:t>
            </w:r>
            <w:r w:rsidRPr="00FD5CC3" w:rsidDel="00ED66B0">
              <w:rPr>
                <w:rFonts w:cs="Arial"/>
                <w:sz w:val="18"/>
                <w:szCs w:val="18"/>
              </w:rPr>
              <w:t xml:space="preserve"> </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541.854</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560.000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159.428,00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264.320,00</w:t>
            </w:r>
            <w:r w:rsidRPr="00FD5CC3">
              <w:rPr>
                <w:rFonts w:cs="Arial"/>
                <w:color w:val="222222"/>
                <w:sz w:val="18"/>
                <w:szCs w:val="18"/>
                <w:shd w:val="clear" w:color="auto" w:fill="FFFFFF"/>
              </w:rPr>
              <w:t xml:space="preserve"> </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158.847,00</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99,63%</w:t>
            </w:r>
          </w:p>
        </w:tc>
      </w:tr>
      <w:tr w:rsidR="00DD0B9C" w:rsidRPr="00F85636" w:rsidTr="003F79A8">
        <w:trPr>
          <w:trHeight w:val="710"/>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Niñas y niños menores de 5 años y mujeres gestantes microfocalizados en el marco de la prestación del servicio del ICBF</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44.049</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376.528</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107.157,00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90.000,00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68.468,00</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76,08%</w:t>
            </w:r>
          </w:p>
        </w:tc>
      </w:tr>
      <w:tr w:rsidR="00DD0B9C" w:rsidRPr="00F85636" w:rsidTr="003F79A8">
        <w:trPr>
          <w:trHeight w:val="767"/>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lastRenderedPageBreak/>
              <w:t>Municipios con asistencia técnica para la implementación de las rutas de atención integral para el Restablecimiento de Derechos de la menor de 14 años embarazada.</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20</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700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279,</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250,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159,</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63,60%</w:t>
            </w:r>
          </w:p>
        </w:tc>
      </w:tr>
      <w:tr w:rsidR="00DD0B9C" w:rsidRPr="00F85636" w:rsidTr="003F79A8">
        <w:trPr>
          <w:trHeight w:val="639"/>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Porcentaje de niños, niñas y adolescentes CON características y necesidades especiales con familia asignada.</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70%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74,40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75,</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222222"/>
                <w:sz w:val="18"/>
                <w:szCs w:val="18"/>
                <w:shd w:val="clear" w:color="auto" w:fill="FFFFFF"/>
              </w:rPr>
              <w:t>115,38%</w:t>
            </w:r>
          </w:p>
        </w:tc>
      </w:tr>
      <w:tr w:rsidR="00DD0B9C" w:rsidRPr="00F85636" w:rsidTr="003F79A8">
        <w:trPr>
          <w:trHeight w:val="573"/>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Porcentaje de adolescentes con más de seis meses de permanencia en el programa de atención con la garantía de ejercicio de sus derechos (Identidad, salud y educación)</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2E4FDF">
              <w:rPr>
                <w:rFonts w:cs="Arial"/>
                <w:color w:val="000000"/>
                <w:sz w:val="18"/>
                <w:szCs w:val="18"/>
              </w:rPr>
              <w:t>35,90</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96%</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96%</w:t>
            </w:r>
          </w:p>
        </w:tc>
      </w:tr>
      <w:tr w:rsidR="00DD0B9C" w:rsidRPr="00F85636" w:rsidTr="003F79A8">
        <w:trPr>
          <w:trHeight w:val="630"/>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Porcentaje de adolescentes y jóvenes que egresan el último año del SRPA por cumplimiento de sanción privativa de la libertad, atendidos con estrategias post-egreso o inclusión social</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65%</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55%</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r w:rsidR="00DD0B9C" w:rsidRPr="00F85636" w:rsidTr="003F79A8">
        <w:trPr>
          <w:trHeight w:val="591"/>
          <w:jc w:val="center"/>
        </w:trPr>
        <w:tc>
          <w:tcPr>
            <w:tcW w:w="3203" w:type="dxa"/>
            <w:tcMar>
              <w:top w:w="15" w:type="dxa"/>
              <w:left w:w="57" w:type="dxa"/>
              <w:bottom w:w="0" w:type="dxa"/>
              <w:right w:w="57" w:type="dxa"/>
            </w:tcMar>
            <w:vAlign w:val="center"/>
            <w:hideMark/>
          </w:tcPr>
          <w:p w:rsidR="001A47F7" w:rsidRPr="00FD5CC3" w:rsidRDefault="001A47F7" w:rsidP="00DD0B9C">
            <w:pPr>
              <w:rPr>
                <w:rFonts w:cs="Arial"/>
                <w:sz w:val="18"/>
                <w:szCs w:val="18"/>
              </w:rPr>
            </w:pPr>
            <w:r w:rsidRPr="00FD5CC3">
              <w:rPr>
                <w:rFonts w:cs="Arial"/>
                <w:sz w:val="18"/>
                <w:szCs w:val="18"/>
              </w:rPr>
              <w:t>Porcentaje de unidades de Servicio de atención a adolescentes y jóvenes del SRPA con implementación de procesos de formación en prácticas restaurativas.</w:t>
            </w:r>
          </w:p>
        </w:tc>
        <w:tc>
          <w:tcPr>
            <w:tcW w:w="960"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30%</w:t>
            </w:r>
          </w:p>
        </w:tc>
        <w:tc>
          <w:tcPr>
            <w:tcW w:w="116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c>
          <w:tcPr>
            <w:tcW w:w="1035"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1123"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988" w:type="dxa"/>
            <w:tcMar>
              <w:top w:w="15" w:type="dxa"/>
              <w:left w:w="15" w:type="dxa"/>
              <w:bottom w:w="0" w:type="dxa"/>
              <w:right w:w="15" w:type="dxa"/>
            </w:tcMar>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67%</w:t>
            </w:r>
          </w:p>
        </w:tc>
        <w:tc>
          <w:tcPr>
            <w:tcW w:w="861" w:type="dxa"/>
            <w:vAlign w:val="center"/>
            <w:hideMark/>
          </w:tcPr>
          <w:p w:rsidR="001A47F7" w:rsidRPr="00FD5CC3" w:rsidRDefault="001A47F7" w:rsidP="001A47F7">
            <w:pPr>
              <w:spacing w:after="0"/>
              <w:jc w:val="center"/>
              <w:rPr>
                <w:rFonts w:cs="Arial"/>
                <w:color w:val="000000"/>
                <w:sz w:val="18"/>
                <w:szCs w:val="18"/>
              </w:rPr>
            </w:pPr>
            <w:r w:rsidRPr="00FD5CC3">
              <w:rPr>
                <w:rFonts w:cs="Arial"/>
                <w:color w:val="000000"/>
                <w:sz w:val="18"/>
                <w:szCs w:val="18"/>
              </w:rPr>
              <w:t>100%</w:t>
            </w:r>
          </w:p>
        </w:tc>
      </w:tr>
    </w:tbl>
    <w:p w:rsidR="000E70C6" w:rsidRDefault="000E70C6" w:rsidP="000E70C6">
      <w:pPr>
        <w:pStyle w:val="Prrafodelista"/>
        <w:spacing w:after="0" w:line="240" w:lineRule="auto"/>
        <w:ind w:left="390"/>
        <w:jc w:val="both"/>
        <w:outlineLvl w:val="0"/>
        <w:rPr>
          <w:rFonts w:cs="Arial"/>
          <w:b/>
        </w:rPr>
      </w:pPr>
    </w:p>
    <w:p w:rsidR="00BC521A" w:rsidRDefault="00BC521A" w:rsidP="00D712DC">
      <w:pPr>
        <w:pStyle w:val="Prrafodelista"/>
        <w:numPr>
          <w:ilvl w:val="0"/>
          <w:numId w:val="11"/>
        </w:numPr>
        <w:spacing w:after="0" w:line="240" w:lineRule="auto"/>
        <w:jc w:val="both"/>
        <w:outlineLvl w:val="0"/>
        <w:rPr>
          <w:rFonts w:cs="Arial"/>
          <w:b/>
        </w:rPr>
      </w:pPr>
      <w:bookmarkStart w:id="7" w:name="_Toc473581391"/>
      <w:r w:rsidRPr="00BC521A">
        <w:rPr>
          <w:rFonts w:cs="Arial"/>
          <w:b/>
        </w:rPr>
        <w:t>GESTIÓN FINANCIERA</w:t>
      </w:r>
      <w:r w:rsidR="00F85636">
        <w:rPr>
          <w:rStyle w:val="Refdenotaalpie"/>
          <w:rFonts w:cs="Arial"/>
          <w:b/>
        </w:rPr>
        <w:footnoteReference w:id="3"/>
      </w:r>
      <w:bookmarkEnd w:id="7"/>
      <w:r w:rsidRPr="00BC521A">
        <w:rPr>
          <w:rFonts w:cs="Arial"/>
          <w:b/>
        </w:rPr>
        <w:t xml:space="preserve"> </w:t>
      </w:r>
    </w:p>
    <w:p w:rsidR="00BC521A" w:rsidRPr="00782FD1" w:rsidRDefault="00BC521A" w:rsidP="00BC521A">
      <w:pPr>
        <w:spacing w:after="0" w:line="240" w:lineRule="auto"/>
        <w:jc w:val="both"/>
        <w:rPr>
          <w:rFonts w:cs="Arial"/>
        </w:rPr>
      </w:pPr>
    </w:p>
    <w:p w:rsidR="001626D1" w:rsidRPr="00BC521A" w:rsidRDefault="001626D1" w:rsidP="00D712DC">
      <w:pPr>
        <w:pStyle w:val="Ttulo2"/>
        <w:numPr>
          <w:ilvl w:val="1"/>
          <w:numId w:val="11"/>
        </w:numPr>
        <w:rPr>
          <w:rFonts w:cs="Arial"/>
          <w:b/>
        </w:rPr>
      </w:pPr>
      <w:bookmarkStart w:id="8" w:name="_Toc473581392"/>
      <w:r w:rsidRPr="00BC521A">
        <w:rPr>
          <w:rFonts w:cs="Arial"/>
          <w:b/>
        </w:rPr>
        <w:t>Apropiación presupuestal</w:t>
      </w:r>
      <w:bookmarkEnd w:id="8"/>
    </w:p>
    <w:p w:rsidR="001626D1" w:rsidRPr="00782FD1" w:rsidRDefault="001626D1" w:rsidP="001626D1">
      <w:pPr>
        <w:spacing w:after="0" w:line="240" w:lineRule="auto"/>
        <w:jc w:val="both"/>
        <w:rPr>
          <w:rFonts w:cs="Arial"/>
        </w:rPr>
      </w:pPr>
    </w:p>
    <w:p w:rsidR="001626D1" w:rsidRPr="00782FD1" w:rsidRDefault="001626D1" w:rsidP="00D712DC">
      <w:pPr>
        <w:pStyle w:val="Prrafodelista"/>
        <w:numPr>
          <w:ilvl w:val="0"/>
          <w:numId w:val="188"/>
        </w:numPr>
        <w:spacing w:after="0" w:line="240" w:lineRule="auto"/>
        <w:ind w:left="284" w:hanging="284"/>
        <w:contextualSpacing/>
        <w:jc w:val="both"/>
        <w:rPr>
          <w:rFonts w:cs="Arial"/>
        </w:rPr>
      </w:pPr>
      <w:r w:rsidRPr="00782FD1">
        <w:rPr>
          <w:rFonts w:cs="Arial"/>
        </w:rPr>
        <w:t>Composición del Gasto por Rubros</w:t>
      </w:r>
    </w:p>
    <w:p w:rsidR="001626D1" w:rsidRPr="00596978" w:rsidRDefault="001626D1" w:rsidP="001626D1">
      <w:pPr>
        <w:spacing w:after="0" w:line="240" w:lineRule="auto"/>
        <w:jc w:val="both"/>
        <w:rPr>
          <w:rFonts w:cs="Arial"/>
          <w:sz w:val="20"/>
          <w:szCs w:val="20"/>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596978">
        <w:rPr>
          <w:rFonts w:cs="Arial"/>
          <w:sz w:val="20"/>
          <w:szCs w:val="20"/>
        </w:rPr>
        <w:t xml:space="preserve">         En millones de $</w:t>
      </w:r>
    </w:p>
    <w:tbl>
      <w:tblPr>
        <w:tblW w:w="4977"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3"/>
        <w:gridCol w:w="2409"/>
        <w:gridCol w:w="2551"/>
        <w:gridCol w:w="2269"/>
      </w:tblGrid>
      <w:tr w:rsidR="001626D1" w:rsidRPr="00F85636" w:rsidTr="00634B70">
        <w:trPr>
          <w:trHeight w:val="480"/>
          <w:jc w:val="center"/>
        </w:trPr>
        <w:tc>
          <w:tcPr>
            <w:tcW w:w="1135" w:type="pct"/>
            <w:shd w:val="clear" w:color="auto" w:fill="76923C" w:themeFill="accent3" w:themeFillShade="BF"/>
            <w:vAlign w:val="center"/>
            <w:hideMark/>
          </w:tcPr>
          <w:p w:rsidR="001626D1" w:rsidRPr="002A4BFA" w:rsidRDefault="00DC54B9" w:rsidP="00536E30">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18"/>
                <w:lang w:val="es-CO" w:eastAsia="es-CO"/>
              </w:rPr>
              <w:t>Apr</w:t>
            </w:r>
            <w:r>
              <w:rPr>
                <w:rFonts w:eastAsia="Times New Roman" w:cs="Arial"/>
                <w:b/>
                <w:bCs/>
                <w:color w:val="FFFFFF" w:themeColor="background1"/>
                <w:sz w:val="18"/>
                <w:szCs w:val="18"/>
                <w:lang w:val="es-CO" w:eastAsia="es-CO"/>
              </w:rPr>
              <w:t xml:space="preserve">opiación </w:t>
            </w:r>
            <w:r w:rsidRPr="002A4BFA">
              <w:rPr>
                <w:rFonts w:eastAsia="Times New Roman" w:cs="Arial"/>
                <w:b/>
                <w:bCs/>
                <w:color w:val="FFFFFF" w:themeColor="background1"/>
                <w:sz w:val="18"/>
                <w:szCs w:val="18"/>
                <w:lang w:val="es-CO" w:eastAsia="es-CO"/>
              </w:rPr>
              <w:t>Inicial</w:t>
            </w:r>
          </w:p>
        </w:tc>
        <w:tc>
          <w:tcPr>
            <w:tcW w:w="1288" w:type="pct"/>
            <w:shd w:val="clear" w:color="auto" w:fill="76923C" w:themeFill="accent3" w:themeFillShade="BF"/>
            <w:vAlign w:val="center"/>
            <w:hideMark/>
          </w:tcPr>
          <w:p w:rsidR="001626D1" w:rsidRPr="002A4BFA" w:rsidRDefault="00DC54B9" w:rsidP="00536E30">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18"/>
                <w:lang w:val="es-CO" w:eastAsia="es-CO"/>
              </w:rPr>
              <w:t>Apr</w:t>
            </w:r>
            <w:r>
              <w:rPr>
                <w:rFonts w:eastAsia="Times New Roman" w:cs="Arial"/>
                <w:b/>
                <w:bCs/>
                <w:color w:val="FFFFFF" w:themeColor="background1"/>
                <w:sz w:val="18"/>
                <w:szCs w:val="18"/>
                <w:lang w:val="es-CO" w:eastAsia="es-CO"/>
              </w:rPr>
              <w:t xml:space="preserve">opiación </w:t>
            </w:r>
            <w:r w:rsidRPr="002A4BFA">
              <w:rPr>
                <w:rFonts w:eastAsia="Times New Roman" w:cs="Arial"/>
                <w:b/>
                <w:bCs/>
                <w:color w:val="FFFFFF" w:themeColor="background1"/>
                <w:sz w:val="18"/>
                <w:szCs w:val="18"/>
                <w:lang w:val="es-CO" w:eastAsia="es-CO"/>
              </w:rPr>
              <w:t>Vigente</w:t>
            </w:r>
          </w:p>
        </w:tc>
        <w:tc>
          <w:tcPr>
            <w:tcW w:w="1364" w:type="pct"/>
            <w:shd w:val="clear" w:color="auto" w:fill="76923C" w:themeFill="accent3" w:themeFillShade="BF"/>
            <w:vAlign w:val="center"/>
            <w:hideMark/>
          </w:tcPr>
          <w:p w:rsidR="001626D1" w:rsidRPr="002A4BFA" w:rsidRDefault="00DC54B9" w:rsidP="00DC54B9">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18"/>
                <w:lang w:val="es-CO" w:eastAsia="es-CO"/>
              </w:rPr>
              <w:t>Apr</w:t>
            </w:r>
            <w:r>
              <w:rPr>
                <w:rFonts w:eastAsia="Times New Roman" w:cs="Arial"/>
                <w:b/>
                <w:bCs/>
                <w:color w:val="FFFFFF" w:themeColor="background1"/>
                <w:sz w:val="18"/>
                <w:szCs w:val="18"/>
                <w:lang w:val="es-CO" w:eastAsia="es-CO"/>
              </w:rPr>
              <w:t>opiación</w:t>
            </w:r>
            <w:r w:rsidRPr="002A4BFA">
              <w:rPr>
                <w:rFonts w:eastAsia="Times New Roman" w:cs="Arial"/>
                <w:b/>
                <w:bCs/>
                <w:color w:val="FFFFFF" w:themeColor="background1"/>
                <w:sz w:val="18"/>
                <w:szCs w:val="18"/>
                <w:lang w:val="es-CO" w:eastAsia="es-CO"/>
              </w:rPr>
              <w:t xml:space="preserve"> Bloqueada</w:t>
            </w:r>
          </w:p>
        </w:tc>
        <w:tc>
          <w:tcPr>
            <w:tcW w:w="1213" w:type="pct"/>
            <w:shd w:val="clear" w:color="auto" w:fill="76923C" w:themeFill="accent3" w:themeFillShade="BF"/>
            <w:vAlign w:val="center"/>
            <w:hideMark/>
          </w:tcPr>
          <w:p w:rsidR="001626D1" w:rsidRPr="002A4BFA" w:rsidRDefault="00DC54B9" w:rsidP="00DC54B9">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18"/>
                <w:lang w:val="es-CO" w:eastAsia="es-CO"/>
              </w:rPr>
              <w:t>A</w:t>
            </w:r>
            <w:r>
              <w:rPr>
                <w:rFonts w:eastAsia="Times New Roman" w:cs="Arial"/>
                <w:b/>
                <w:bCs/>
                <w:color w:val="FFFFFF" w:themeColor="background1"/>
                <w:sz w:val="18"/>
                <w:szCs w:val="18"/>
                <w:lang w:val="es-CO" w:eastAsia="es-CO"/>
              </w:rPr>
              <w:t>propiación</w:t>
            </w:r>
            <w:r w:rsidRPr="002A4BFA">
              <w:rPr>
                <w:rFonts w:eastAsia="Times New Roman" w:cs="Arial"/>
                <w:b/>
                <w:bCs/>
                <w:color w:val="FFFFFF" w:themeColor="background1"/>
                <w:sz w:val="18"/>
                <w:szCs w:val="18"/>
                <w:lang w:val="es-CO" w:eastAsia="es-CO"/>
              </w:rPr>
              <w:t xml:space="preserve"> </w:t>
            </w:r>
            <w:r>
              <w:rPr>
                <w:rFonts w:eastAsia="Times New Roman" w:cs="Arial"/>
                <w:b/>
                <w:bCs/>
                <w:color w:val="FFFFFF" w:themeColor="background1"/>
                <w:sz w:val="18"/>
                <w:szCs w:val="18"/>
                <w:lang w:val="es-CO" w:eastAsia="es-CO"/>
              </w:rPr>
              <w:t>a</w:t>
            </w:r>
            <w:r w:rsidRPr="002A4BFA">
              <w:rPr>
                <w:rFonts w:eastAsia="Times New Roman" w:cs="Arial"/>
                <w:b/>
                <w:bCs/>
                <w:color w:val="FFFFFF" w:themeColor="background1"/>
                <w:sz w:val="18"/>
                <w:szCs w:val="18"/>
                <w:lang w:val="es-CO" w:eastAsia="es-CO"/>
              </w:rPr>
              <w:t xml:space="preserve"> Ejecutar</w:t>
            </w:r>
          </w:p>
        </w:tc>
      </w:tr>
      <w:tr w:rsidR="001626D1" w:rsidRPr="00F85636" w:rsidTr="00634B70">
        <w:trPr>
          <w:trHeight w:val="450"/>
          <w:jc w:val="center"/>
        </w:trPr>
        <w:tc>
          <w:tcPr>
            <w:tcW w:w="1135" w:type="pct"/>
            <w:vAlign w:val="center"/>
            <w:hideMark/>
          </w:tcPr>
          <w:p w:rsidR="00634B70" w:rsidRDefault="00634B70" w:rsidP="00536E30">
            <w:pPr>
              <w:spacing w:after="0" w:line="240" w:lineRule="auto"/>
              <w:jc w:val="center"/>
              <w:rPr>
                <w:rFonts w:cs="Arial"/>
                <w:sz w:val="18"/>
                <w:szCs w:val="20"/>
              </w:rPr>
            </w:pPr>
          </w:p>
          <w:p w:rsidR="001626D1" w:rsidRPr="00F85636" w:rsidRDefault="001626D1" w:rsidP="00536E30">
            <w:pPr>
              <w:spacing w:after="0" w:line="240" w:lineRule="auto"/>
              <w:jc w:val="center"/>
              <w:rPr>
                <w:rFonts w:cs="Arial"/>
                <w:sz w:val="18"/>
                <w:szCs w:val="20"/>
              </w:rPr>
            </w:pPr>
            <w:r w:rsidRPr="00F85636">
              <w:rPr>
                <w:rFonts w:cs="Arial"/>
                <w:sz w:val="18"/>
                <w:szCs w:val="20"/>
              </w:rPr>
              <w:t>$ 5.233.582</w:t>
            </w:r>
          </w:p>
          <w:p w:rsidR="001626D1" w:rsidRPr="00F85636" w:rsidRDefault="001626D1" w:rsidP="00536E30">
            <w:pPr>
              <w:spacing w:after="0" w:line="240" w:lineRule="auto"/>
              <w:jc w:val="center"/>
              <w:rPr>
                <w:rFonts w:cs="Arial"/>
                <w:sz w:val="18"/>
                <w:szCs w:val="20"/>
                <w:lang w:val="es-CO" w:eastAsia="es-CO"/>
              </w:rPr>
            </w:pPr>
          </w:p>
        </w:tc>
        <w:tc>
          <w:tcPr>
            <w:tcW w:w="1288" w:type="pct"/>
            <w:vAlign w:val="center"/>
            <w:hideMark/>
          </w:tcPr>
          <w:p w:rsidR="00634B70" w:rsidRDefault="00634B70" w:rsidP="00536E30">
            <w:pPr>
              <w:spacing w:after="0" w:line="240" w:lineRule="auto"/>
              <w:jc w:val="center"/>
              <w:rPr>
                <w:rFonts w:cs="Arial"/>
                <w:sz w:val="18"/>
                <w:szCs w:val="20"/>
              </w:rPr>
            </w:pPr>
          </w:p>
          <w:p w:rsidR="001626D1" w:rsidRPr="00F85636" w:rsidRDefault="001626D1" w:rsidP="00536E30">
            <w:pPr>
              <w:spacing w:after="0" w:line="240" w:lineRule="auto"/>
              <w:jc w:val="center"/>
              <w:rPr>
                <w:sz w:val="18"/>
                <w:lang w:val="es-CO" w:eastAsia="es-CO"/>
              </w:rPr>
            </w:pPr>
            <w:r w:rsidRPr="00F85636">
              <w:rPr>
                <w:rFonts w:cs="Arial"/>
                <w:sz w:val="18"/>
                <w:szCs w:val="20"/>
              </w:rPr>
              <w:t xml:space="preserve">$ </w:t>
            </w:r>
            <w:r w:rsidRPr="00F85636">
              <w:rPr>
                <w:sz w:val="18"/>
              </w:rPr>
              <w:t>5.457.134</w:t>
            </w:r>
          </w:p>
          <w:p w:rsidR="001626D1" w:rsidRPr="00F85636" w:rsidRDefault="001626D1" w:rsidP="00536E30">
            <w:pPr>
              <w:spacing w:after="0" w:line="240" w:lineRule="auto"/>
              <w:jc w:val="center"/>
              <w:rPr>
                <w:rFonts w:eastAsia="Times New Roman" w:cs="Arial"/>
                <w:sz w:val="18"/>
                <w:szCs w:val="20"/>
                <w:lang w:val="es-CO" w:eastAsia="es-CO"/>
              </w:rPr>
            </w:pPr>
          </w:p>
        </w:tc>
        <w:tc>
          <w:tcPr>
            <w:tcW w:w="1364" w:type="pct"/>
            <w:vAlign w:val="center"/>
            <w:hideMark/>
          </w:tcPr>
          <w:p w:rsidR="00634B70" w:rsidRDefault="00634B70" w:rsidP="00536E30">
            <w:pPr>
              <w:spacing w:after="0" w:line="240" w:lineRule="auto"/>
              <w:jc w:val="center"/>
              <w:rPr>
                <w:rFonts w:cs="Arial"/>
                <w:sz w:val="18"/>
                <w:szCs w:val="20"/>
              </w:rPr>
            </w:pPr>
          </w:p>
          <w:p w:rsidR="001626D1" w:rsidRPr="00F85636" w:rsidRDefault="001626D1" w:rsidP="00536E30">
            <w:pPr>
              <w:spacing w:after="0" w:line="240" w:lineRule="auto"/>
              <w:jc w:val="center"/>
              <w:rPr>
                <w:sz w:val="18"/>
                <w:lang w:val="es-CO" w:eastAsia="es-CO"/>
              </w:rPr>
            </w:pPr>
            <w:r w:rsidRPr="00F85636">
              <w:rPr>
                <w:rFonts w:cs="Arial"/>
                <w:sz w:val="18"/>
                <w:szCs w:val="20"/>
              </w:rPr>
              <w:t xml:space="preserve">$ </w:t>
            </w:r>
            <w:r w:rsidRPr="00F85636">
              <w:rPr>
                <w:sz w:val="18"/>
              </w:rPr>
              <w:t>452</w:t>
            </w:r>
          </w:p>
          <w:p w:rsidR="001626D1" w:rsidRPr="00F85636" w:rsidRDefault="001626D1" w:rsidP="00536E30">
            <w:pPr>
              <w:spacing w:after="0" w:line="240" w:lineRule="auto"/>
              <w:jc w:val="center"/>
              <w:rPr>
                <w:rFonts w:eastAsia="Times New Roman" w:cs="Arial"/>
                <w:sz w:val="18"/>
                <w:szCs w:val="20"/>
                <w:lang w:val="es-CO" w:eastAsia="es-CO"/>
              </w:rPr>
            </w:pPr>
          </w:p>
        </w:tc>
        <w:tc>
          <w:tcPr>
            <w:tcW w:w="1213" w:type="pct"/>
            <w:vAlign w:val="center"/>
            <w:hideMark/>
          </w:tcPr>
          <w:p w:rsidR="00634B70" w:rsidRDefault="00634B70" w:rsidP="00536E30">
            <w:pPr>
              <w:spacing w:after="0" w:line="240" w:lineRule="auto"/>
              <w:jc w:val="center"/>
              <w:rPr>
                <w:rFonts w:cs="Arial"/>
                <w:sz w:val="18"/>
                <w:szCs w:val="20"/>
              </w:rPr>
            </w:pPr>
          </w:p>
          <w:p w:rsidR="001626D1" w:rsidRPr="00F85636" w:rsidRDefault="001626D1" w:rsidP="00536E30">
            <w:pPr>
              <w:spacing w:after="0" w:line="240" w:lineRule="auto"/>
              <w:jc w:val="center"/>
              <w:rPr>
                <w:sz w:val="18"/>
                <w:lang w:val="es-CO" w:eastAsia="es-CO"/>
              </w:rPr>
            </w:pPr>
            <w:r w:rsidRPr="00F85636">
              <w:rPr>
                <w:rFonts w:cs="Arial"/>
                <w:sz w:val="18"/>
                <w:szCs w:val="20"/>
              </w:rPr>
              <w:t xml:space="preserve">$ </w:t>
            </w:r>
            <w:r w:rsidRPr="00F85636">
              <w:rPr>
                <w:sz w:val="18"/>
              </w:rPr>
              <w:t>5.456.682</w:t>
            </w:r>
          </w:p>
          <w:p w:rsidR="001626D1" w:rsidRPr="00F85636" w:rsidRDefault="001626D1" w:rsidP="00536E30">
            <w:pPr>
              <w:spacing w:after="0" w:line="240" w:lineRule="auto"/>
              <w:jc w:val="center"/>
              <w:rPr>
                <w:rFonts w:eastAsia="Times New Roman" w:cs="Arial"/>
                <w:sz w:val="18"/>
                <w:szCs w:val="20"/>
                <w:lang w:val="es-CO" w:eastAsia="es-CO"/>
              </w:rPr>
            </w:pPr>
          </w:p>
        </w:tc>
      </w:tr>
    </w:tbl>
    <w:p w:rsidR="001626D1" w:rsidRPr="00F85636" w:rsidRDefault="001626D1" w:rsidP="001626D1">
      <w:pPr>
        <w:spacing w:after="0" w:line="240" w:lineRule="auto"/>
        <w:jc w:val="both"/>
        <w:rPr>
          <w:rFonts w:cs="Arial"/>
          <w:sz w:val="18"/>
        </w:rPr>
      </w:pPr>
    </w:p>
    <w:p w:rsidR="001626D1" w:rsidRDefault="001626D1" w:rsidP="005174D0">
      <w:pPr>
        <w:jc w:val="both"/>
      </w:pPr>
      <w:r w:rsidRPr="00596978">
        <w:t xml:space="preserve">Para la vigencia 2016, al Instituto Colombiano de Bienestar Familiar le fueron asignados $5.233.582 millones, de los cuales el </w:t>
      </w:r>
      <w:r>
        <w:t>0,01</w:t>
      </w:r>
      <w:r w:rsidRPr="00596978">
        <w:t xml:space="preserve">% </w:t>
      </w:r>
      <w:r>
        <w:t xml:space="preserve">quedó como </w:t>
      </w:r>
      <w:r w:rsidRPr="00596978">
        <w:t>Apropiación Bloqueada y el 9</w:t>
      </w:r>
      <w:r>
        <w:t>9,99</w:t>
      </w:r>
      <w:r w:rsidRPr="00596978">
        <w:t>% corresponde a la Ap</w:t>
      </w:r>
      <w:r>
        <w:t xml:space="preserve">ropiación a Ejecutar. </w:t>
      </w:r>
    </w:p>
    <w:p w:rsidR="001626D1" w:rsidRDefault="001626D1" w:rsidP="001626D1">
      <w:pPr>
        <w:spacing w:after="0" w:line="240" w:lineRule="auto"/>
        <w:jc w:val="both"/>
        <w:rPr>
          <w:rFonts w:cs="Arial"/>
        </w:rPr>
      </w:pPr>
      <w:r>
        <w:rPr>
          <w:rFonts w:cs="Arial"/>
        </w:rPr>
        <w:lastRenderedPageBreak/>
        <w:t>Así mismo, l</w:t>
      </w:r>
      <w:r w:rsidRPr="00596978">
        <w:rPr>
          <w:rFonts w:cs="Arial"/>
        </w:rPr>
        <w:t xml:space="preserve">a Apropiación Bloqueada </w:t>
      </w:r>
      <w:r>
        <w:rPr>
          <w:rFonts w:cs="Arial"/>
        </w:rPr>
        <w:t>afectó los gastos de funcionamiento:</w:t>
      </w:r>
    </w:p>
    <w:p w:rsidR="001626D1" w:rsidRPr="00596978" w:rsidRDefault="001626D1" w:rsidP="001626D1">
      <w:pPr>
        <w:spacing w:after="0" w:line="240" w:lineRule="auto"/>
        <w:jc w:val="both"/>
        <w:rPr>
          <w:rFonts w:cs="Arial"/>
        </w:rPr>
      </w:pPr>
    </w:p>
    <w:p w:rsidR="001626D1" w:rsidRPr="00596978" w:rsidRDefault="001626D1" w:rsidP="001626D1">
      <w:pPr>
        <w:spacing w:after="0" w:line="240" w:lineRule="auto"/>
        <w:jc w:val="both"/>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5174D0">
        <w:rPr>
          <w:rFonts w:cs="Arial"/>
          <w:sz w:val="20"/>
          <w:szCs w:val="20"/>
        </w:rPr>
        <w:t xml:space="preserve">    </w:t>
      </w:r>
      <w:r w:rsidRPr="00F85636">
        <w:rPr>
          <w:rFonts w:cs="Arial"/>
          <w:sz w:val="18"/>
          <w:szCs w:val="20"/>
        </w:rPr>
        <w:t>En millones de $</w:t>
      </w:r>
    </w:p>
    <w:tbl>
      <w:tblPr>
        <w:tblW w:w="3770" w:type="pct"/>
        <w:tblInd w:w="1519"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4"/>
        <w:gridCol w:w="2410"/>
        <w:gridCol w:w="2550"/>
      </w:tblGrid>
      <w:tr w:rsidR="001626D1" w:rsidRPr="00596978" w:rsidTr="00634B70">
        <w:trPr>
          <w:trHeight w:val="480"/>
          <w:tblHeader/>
        </w:trPr>
        <w:tc>
          <w:tcPr>
            <w:tcW w:w="1499" w:type="pct"/>
            <w:shd w:val="clear" w:color="auto" w:fill="76923C" w:themeFill="accent3" w:themeFillShade="BF"/>
            <w:vAlign w:val="center"/>
            <w:hideMark/>
          </w:tcPr>
          <w:p w:rsidR="001626D1" w:rsidRPr="00D32028" w:rsidRDefault="00634B70" w:rsidP="00536E30">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Tipo d</w:t>
            </w:r>
            <w:r w:rsidRPr="00D32028">
              <w:rPr>
                <w:rFonts w:eastAsia="Times New Roman" w:cs="Arial"/>
                <w:b/>
                <w:bCs/>
                <w:color w:val="FFFFFF" w:themeColor="background1"/>
                <w:sz w:val="18"/>
                <w:szCs w:val="20"/>
                <w:lang w:val="es-CO" w:eastAsia="es-CO"/>
              </w:rPr>
              <w:t>e Gasto</w:t>
            </w:r>
          </w:p>
        </w:tc>
        <w:tc>
          <w:tcPr>
            <w:tcW w:w="1701" w:type="pct"/>
            <w:shd w:val="clear" w:color="auto" w:fill="76923C" w:themeFill="accent3" w:themeFillShade="BF"/>
            <w:vAlign w:val="center"/>
            <w:hideMark/>
          </w:tcPr>
          <w:p w:rsidR="001626D1" w:rsidRPr="00D32028" w:rsidRDefault="00634B70" w:rsidP="00634B70">
            <w:pPr>
              <w:spacing w:after="0" w:line="240" w:lineRule="auto"/>
              <w:jc w:val="center"/>
              <w:rPr>
                <w:rFonts w:eastAsia="Times New Roman" w:cs="Arial"/>
                <w:b/>
                <w:bCs/>
                <w:color w:val="FFFFFF" w:themeColor="background1"/>
                <w:sz w:val="18"/>
                <w:szCs w:val="20"/>
                <w:lang w:val="es-CO" w:eastAsia="es-CO"/>
              </w:rPr>
            </w:pPr>
            <w:r w:rsidRPr="00D32028">
              <w:rPr>
                <w:rFonts w:eastAsia="Times New Roman" w:cs="Arial"/>
                <w:b/>
                <w:bCs/>
                <w:color w:val="FFFFFF" w:themeColor="background1"/>
                <w:sz w:val="18"/>
                <w:szCs w:val="20"/>
                <w:lang w:val="es-CO" w:eastAsia="es-CO"/>
              </w:rPr>
              <w:t>Apr</w:t>
            </w:r>
            <w:r>
              <w:rPr>
                <w:rFonts w:eastAsia="Times New Roman" w:cs="Arial"/>
                <w:b/>
                <w:bCs/>
                <w:color w:val="FFFFFF" w:themeColor="background1"/>
                <w:sz w:val="18"/>
                <w:szCs w:val="20"/>
                <w:lang w:val="es-CO" w:eastAsia="es-CO"/>
              </w:rPr>
              <w:t>opiación</w:t>
            </w:r>
            <w:r w:rsidRPr="00D32028">
              <w:rPr>
                <w:rFonts w:eastAsia="Times New Roman" w:cs="Arial"/>
                <w:b/>
                <w:bCs/>
                <w:color w:val="FFFFFF" w:themeColor="background1"/>
                <w:sz w:val="18"/>
                <w:szCs w:val="20"/>
                <w:lang w:val="es-CO" w:eastAsia="es-CO"/>
              </w:rPr>
              <w:t xml:space="preserve"> Bloqueada</w:t>
            </w:r>
          </w:p>
        </w:tc>
        <w:tc>
          <w:tcPr>
            <w:tcW w:w="1800" w:type="pct"/>
            <w:shd w:val="clear" w:color="auto" w:fill="76923C" w:themeFill="accent3" w:themeFillShade="BF"/>
            <w:vAlign w:val="center"/>
            <w:hideMark/>
          </w:tcPr>
          <w:p w:rsidR="001626D1" w:rsidRPr="00D32028" w:rsidRDefault="00634B70" w:rsidP="00536E30">
            <w:pPr>
              <w:spacing w:after="0" w:line="240" w:lineRule="auto"/>
              <w:jc w:val="center"/>
              <w:rPr>
                <w:rFonts w:eastAsia="Times New Roman" w:cs="Arial"/>
                <w:b/>
                <w:bCs/>
                <w:color w:val="FFFFFF" w:themeColor="background1"/>
                <w:sz w:val="18"/>
                <w:szCs w:val="20"/>
                <w:lang w:val="es-CO" w:eastAsia="es-CO"/>
              </w:rPr>
            </w:pPr>
            <w:r w:rsidRPr="00D32028">
              <w:rPr>
                <w:rFonts w:eastAsia="Times New Roman" w:cs="Arial"/>
                <w:b/>
                <w:bCs/>
                <w:color w:val="FFFFFF" w:themeColor="background1"/>
                <w:sz w:val="18"/>
                <w:szCs w:val="20"/>
                <w:lang w:val="es-CO" w:eastAsia="es-CO"/>
              </w:rPr>
              <w:t>%</w:t>
            </w:r>
            <w:r>
              <w:rPr>
                <w:rFonts w:eastAsia="Times New Roman" w:cs="Arial"/>
                <w:b/>
                <w:bCs/>
                <w:color w:val="FFFFFF" w:themeColor="background1"/>
                <w:sz w:val="18"/>
                <w:szCs w:val="20"/>
                <w:lang w:val="es-CO" w:eastAsia="es-CO"/>
              </w:rPr>
              <w:t xml:space="preserve"> Participación en Apropiación </w:t>
            </w:r>
            <w:r w:rsidRPr="00D32028">
              <w:rPr>
                <w:rFonts w:eastAsia="Times New Roman" w:cs="Arial"/>
                <w:b/>
                <w:bCs/>
                <w:color w:val="FFFFFF" w:themeColor="background1"/>
                <w:sz w:val="18"/>
                <w:szCs w:val="20"/>
                <w:lang w:val="es-CO" w:eastAsia="es-CO"/>
              </w:rPr>
              <w:t>Bloqueada</w:t>
            </w:r>
          </w:p>
        </w:tc>
      </w:tr>
      <w:tr w:rsidR="001626D1" w:rsidRPr="00596978" w:rsidTr="00634B70">
        <w:trPr>
          <w:trHeight w:val="301"/>
        </w:trPr>
        <w:tc>
          <w:tcPr>
            <w:tcW w:w="1499" w:type="pct"/>
            <w:vAlign w:val="center"/>
            <w:hideMark/>
          </w:tcPr>
          <w:p w:rsidR="001626D1" w:rsidRPr="00F85636" w:rsidRDefault="001626D1" w:rsidP="00536E30">
            <w:pPr>
              <w:spacing w:after="0" w:line="240" w:lineRule="auto"/>
              <w:jc w:val="center"/>
              <w:rPr>
                <w:rFonts w:cs="Arial"/>
                <w:sz w:val="18"/>
                <w:szCs w:val="20"/>
                <w:lang w:val="es-CO" w:eastAsia="es-CO"/>
              </w:rPr>
            </w:pPr>
            <w:r w:rsidRPr="00F85636">
              <w:rPr>
                <w:rFonts w:cs="Arial"/>
                <w:sz w:val="18"/>
                <w:szCs w:val="20"/>
              </w:rPr>
              <w:t>Funcionamiento</w:t>
            </w:r>
          </w:p>
        </w:tc>
        <w:tc>
          <w:tcPr>
            <w:tcW w:w="1701" w:type="pct"/>
            <w:vAlign w:val="center"/>
            <w:hideMark/>
          </w:tcPr>
          <w:p w:rsidR="001626D1" w:rsidRPr="00F85636" w:rsidRDefault="001626D1" w:rsidP="00536E30">
            <w:pPr>
              <w:spacing w:after="0" w:line="240" w:lineRule="auto"/>
              <w:jc w:val="center"/>
              <w:rPr>
                <w:rFonts w:cs="Arial"/>
                <w:sz w:val="18"/>
                <w:szCs w:val="20"/>
                <w:lang w:val="es-CO" w:eastAsia="es-CO"/>
              </w:rPr>
            </w:pPr>
            <w:r w:rsidRPr="00F85636">
              <w:rPr>
                <w:rFonts w:cs="Arial"/>
                <w:sz w:val="18"/>
                <w:szCs w:val="20"/>
              </w:rPr>
              <w:t xml:space="preserve">  $ 452</w:t>
            </w:r>
          </w:p>
        </w:tc>
        <w:tc>
          <w:tcPr>
            <w:tcW w:w="1800" w:type="pct"/>
            <w:vAlign w:val="center"/>
            <w:hideMark/>
          </w:tcPr>
          <w:p w:rsidR="001626D1" w:rsidRPr="00F85636" w:rsidRDefault="001626D1" w:rsidP="00536E30">
            <w:pPr>
              <w:spacing w:after="0" w:line="240" w:lineRule="auto"/>
              <w:jc w:val="center"/>
              <w:rPr>
                <w:rFonts w:eastAsia="Times New Roman" w:cs="Arial"/>
                <w:sz w:val="18"/>
                <w:szCs w:val="20"/>
                <w:lang w:val="es-CO" w:eastAsia="es-CO"/>
              </w:rPr>
            </w:pPr>
            <w:r w:rsidRPr="00F85636">
              <w:rPr>
                <w:rFonts w:eastAsia="Times New Roman" w:cs="Arial"/>
                <w:sz w:val="18"/>
                <w:szCs w:val="20"/>
                <w:lang w:val="es-CO" w:eastAsia="es-CO"/>
              </w:rPr>
              <w:t>100%</w:t>
            </w:r>
          </w:p>
        </w:tc>
      </w:tr>
    </w:tbl>
    <w:p w:rsidR="001626D1" w:rsidRDefault="001626D1" w:rsidP="001626D1">
      <w:pPr>
        <w:spacing w:after="0" w:line="240" w:lineRule="auto"/>
        <w:jc w:val="both"/>
        <w:rPr>
          <w:rFonts w:cs="Arial"/>
        </w:rPr>
      </w:pPr>
    </w:p>
    <w:p w:rsidR="001626D1" w:rsidRDefault="001626D1" w:rsidP="001626D1">
      <w:pPr>
        <w:spacing w:after="0" w:line="240" w:lineRule="auto"/>
        <w:jc w:val="both"/>
        <w:rPr>
          <w:rFonts w:cs="Arial"/>
        </w:rPr>
      </w:pPr>
      <w:r>
        <w:rPr>
          <w:rFonts w:cs="Arial"/>
        </w:rPr>
        <w:t xml:space="preserve">Además </w:t>
      </w:r>
      <w:r w:rsidRPr="00596978">
        <w:rPr>
          <w:rFonts w:cs="Arial"/>
        </w:rPr>
        <w:t>los $</w:t>
      </w:r>
      <w:r>
        <w:rPr>
          <w:rFonts w:cs="Arial"/>
        </w:rPr>
        <w:t xml:space="preserve">452 </w:t>
      </w:r>
      <w:r w:rsidRPr="00596978">
        <w:rPr>
          <w:rFonts w:cs="Arial"/>
        </w:rPr>
        <w:t>millones bloqueados en Funcionamiento, corresponde</w:t>
      </w:r>
      <w:r>
        <w:rPr>
          <w:rFonts w:cs="Arial"/>
        </w:rPr>
        <w:t>n</w:t>
      </w:r>
      <w:r w:rsidRPr="00596978">
        <w:rPr>
          <w:rFonts w:cs="Arial"/>
        </w:rPr>
        <w:t xml:space="preserve"> a ga</w:t>
      </w:r>
      <w:r>
        <w:rPr>
          <w:rFonts w:cs="Arial"/>
        </w:rPr>
        <w:t>stos que para su ejecución requerían</w:t>
      </w:r>
      <w:r w:rsidRPr="00596978">
        <w:rPr>
          <w:rFonts w:cs="Arial"/>
        </w:rPr>
        <w:t xml:space="preserve"> previo concepto de la Dirección General del Presupuesto Público Nacional.</w:t>
      </w:r>
    </w:p>
    <w:p w:rsidR="001626D1" w:rsidRDefault="001626D1" w:rsidP="001626D1">
      <w:pPr>
        <w:spacing w:after="0" w:line="240" w:lineRule="auto"/>
        <w:jc w:val="both"/>
        <w:rPr>
          <w:rFonts w:cs="Arial"/>
        </w:rPr>
      </w:pPr>
    </w:p>
    <w:p w:rsidR="001626D1" w:rsidRDefault="001626D1" w:rsidP="001626D1">
      <w:pPr>
        <w:spacing w:after="0" w:line="240" w:lineRule="auto"/>
        <w:jc w:val="both"/>
        <w:rPr>
          <w:rFonts w:cs="Arial"/>
        </w:rPr>
      </w:pPr>
    </w:p>
    <w:p w:rsidR="001626D1" w:rsidRPr="005174D0" w:rsidRDefault="001626D1" w:rsidP="001626D1">
      <w:pPr>
        <w:spacing w:after="0" w:line="240" w:lineRule="auto"/>
        <w:jc w:val="both"/>
        <w:rPr>
          <w:rFonts w:cs="Arial"/>
          <w:b/>
          <w:sz w:val="18"/>
          <w:szCs w:val="18"/>
        </w:rPr>
      </w:pPr>
      <w:r w:rsidRPr="00596978">
        <w:rPr>
          <w:rFonts w:cs="Arial"/>
          <w:b/>
        </w:rPr>
        <w:t>Composición del gasto por fuente de financiación</w:t>
      </w:r>
    </w:p>
    <w:p w:rsidR="001626D1" w:rsidRPr="005174D0" w:rsidRDefault="001626D1" w:rsidP="001626D1">
      <w:pPr>
        <w:spacing w:after="0" w:line="240" w:lineRule="auto"/>
        <w:ind w:left="7080"/>
        <w:rPr>
          <w:rFonts w:cs="Arial"/>
          <w:sz w:val="18"/>
          <w:szCs w:val="18"/>
        </w:rPr>
      </w:pPr>
      <w:r w:rsidRPr="005174D0">
        <w:rPr>
          <w:rFonts w:cs="Arial"/>
          <w:sz w:val="18"/>
          <w:szCs w:val="18"/>
        </w:rPr>
        <w:t xml:space="preserve"> </w:t>
      </w:r>
      <w:r w:rsidRPr="005174D0">
        <w:rPr>
          <w:rFonts w:cs="Arial"/>
          <w:sz w:val="18"/>
          <w:szCs w:val="18"/>
        </w:rPr>
        <w:tab/>
        <w:t xml:space="preserve"> </w:t>
      </w:r>
      <w:r w:rsidR="005174D0">
        <w:rPr>
          <w:rFonts w:cs="Arial"/>
          <w:sz w:val="18"/>
          <w:szCs w:val="18"/>
        </w:rPr>
        <w:t xml:space="preserve">    </w:t>
      </w:r>
      <w:r w:rsidRPr="005174D0">
        <w:rPr>
          <w:rFonts w:cs="Arial"/>
          <w:sz w:val="18"/>
          <w:szCs w:val="18"/>
        </w:rPr>
        <w:t>En millones de $</w:t>
      </w: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555"/>
        <w:gridCol w:w="1558"/>
        <w:gridCol w:w="1702"/>
        <w:gridCol w:w="1558"/>
        <w:gridCol w:w="1560"/>
        <w:gridCol w:w="1462"/>
      </w:tblGrid>
      <w:tr w:rsidR="001626D1" w:rsidRPr="00596978" w:rsidTr="00BC2B28">
        <w:trPr>
          <w:trHeight w:val="315"/>
        </w:trPr>
        <w:tc>
          <w:tcPr>
            <w:tcW w:w="828" w:type="pct"/>
            <w:shd w:val="clear" w:color="auto" w:fill="76923C" w:themeFill="accent3" w:themeFillShade="BF"/>
            <w:vAlign w:val="center"/>
            <w:hideMark/>
          </w:tcPr>
          <w:p w:rsidR="001626D1" w:rsidRPr="002A4BFA" w:rsidRDefault="00FD5CC3" w:rsidP="00536E30">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Tipo d</w:t>
            </w:r>
            <w:r w:rsidRPr="002A4BFA">
              <w:rPr>
                <w:rFonts w:eastAsia="Times New Roman" w:cs="Arial"/>
                <w:b/>
                <w:bCs/>
                <w:color w:val="FFFFFF" w:themeColor="background1"/>
                <w:sz w:val="18"/>
                <w:szCs w:val="20"/>
                <w:lang w:val="es-CO" w:eastAsia="es-CO"/>
              </w:rPr>
              <w:t>e Gasto</w:t>
            </w:r>
          </w:p>
        </w:tc>
        <w:tc>
          <w:tcPr>
            <w:tcW w:w="829" w:type="pct"/>
            <w:shd w:val="clear" w:color="auto" w:fill="76923C" w:themeFill="accent3" w:themeFillShade="BF"/>
            <w:vAlign w:val="center"/>
            <w:hideMark/>
          </w:tcPr>
          <w:p w:rsidR="001626D1" w:rsidRPr="002A4BFA" w:rsidRDefault="00FD5CC3" w:rsidP="00536E30">
            <w:pPr>
              <w:spacing w:after="0" w:line="240" w:lineRule="auto"/>
              <w:jc w:val="center"/>
              <w:rPr>
                <w:rFonts w:eastAsia="Times New Roman" w:cs="Arial"/>
                <w:b/>
                <w:bCs/>
                <w:color w:val="FFFFFF" w:themeColor="background1"/>
                <w:sz w:val="18"/>
                <w:szCs w:val="20"/>
                <w:lang w:val="es-CO" w:eastAsia="es-CO"/>
              </w:rPr>
            </w:pPr>
            <w:r w:rsidRPr="002A4BFA">
              <w:rPr>
                <w:rFonts w:eastAsia="Times New Roman" w:cs="Arial"/>
                <w:b/>
                <w:bCs/>
                <w:color w:val="FFFFFF" w:themeColor="background1"/>
                <w:sz w:val="18"/>
                <w:szCs w:val="20"/>
                <w:lang w:val="es-CO" w:eastAsia="es-CO"/>
              </w:rPr>
              <w:t>Fuente</w:t>
            </w:r>
          </w:p>
        </w:tc>
        <w:tc>
          <w:tcPr>
            <w:tcW w:w="906" w:type="pct"/>
            <w:shd w:val="clear" w:color="auto" w:fill="76923C" w:themeFill="accent3" w:themeFillShade="BF"/>
            <w:vAlign w:val="center"/>
            <w:hideMark/>
          </w:tcPr>
          <w:p w:rsidR="001626D1" w:rsidRPr="002A4BFA" w:rsidRDefault="00FD5CC3" w:rsidP="00FD5CC3">
            <w:pPr>
              <w:spacing w:after="0" w:line="240" w:lineRule="auto"/>
              <w:jc w:val="center"/>
              <w:rPr>
                <w:rFonts w:eastAsia="Times New Roman" w:cs="Arial"/>
                <w:b/>
                <w:bCs/>
                <w:color w:val="FFFFFF" w:themeColor="background1"/>
                <w:sz w:val="18"/>
                <w:szCs w:val="20"/>
                <w:lang w:val="es-CO" w:eastAsia="es-CO"/>
              </w:rPr>
            </w:pPr>
            <w:r w:rsidRPr="002A4BFA">
              <w:rPr>
                <w:rFonts w:eastAsia="Times New Roman" w:cs="Arial"/>
                <w:b/>
                <w:bCs/>
                <w:color w:val="FFFFFF" w:themeColor="background1"/>
                <w:sz w:val="18"/>
                <w:szCs w:val="20"/>
                <w:lang w:val="es-CO" w:eastAsia="es-CO"/>
              </w:rPr>
              <w:t>Apr</w:t>
            </w:r>
            <w:r>
              <w:rPr>
                <w:rFonts w:eastAsia="Times New Roman" w:cs="Arial"/>
                <w:b/>
                <w:bCs/>
                <w:color w:val="FFFFFF" w:themeColor="background1"/>
                <w:sz w:val="18"/>
                <w:szCs w:val="20"/>
                <w:lang w:val="es-CO" w:eastAsia="es-CO"/>
              </w:rPr>
              <w:t>opiación</w:t>
            </w:r>
            <w:r w:rsidRPr="002A4BFA">
              <w:rPr>
                <w:rFonts w:eastAsia="Times New Roman" w:cs="Arial"/>
                <w:b/>
                <w:bCs/>
                <w:color w:val="FFFFFF" w:themeColor="background1"/>
                <w:sz w:val="18"/>
                <w:szCs w:val="20"/>
                <w:lang w:val="es-CO" w:eastAsia="es-CO"/>
              </w:rPr>
              <w:t xml:space="preserve"> Inicial</w:t>
            </w:r>
          </w:p>
        </w:tc>
        <w:tc>
          <w:tcPr>
            <w:tcW w:w="829" w:type="pct"/>
            <w:shd w:val="clear" w:color="auto" w:fill="76923C" w:themeFill="accent3" w:themeFillShade="BF"/>
            <w:vAlign w:val="center"/>
            <w:hideMark/>
          </w:tcPr>
          <w:p w:rsidR="001626D1" w:rsidRPr="002A4BFA" w:rsidRDefault="00FD5CC3" w:rsidP="00FD5CC3">
            <w:pPr>
              <w:spacing w:after="0" w:line="240" w:lineRule="auto"/>
              <w:jc w:val="center"/>
              <w:rPr>
                <w:rFonts w:eastAsia="Times New Roman" w:cs="Arial"/>
                <w:b/>
                <w:bCs/>
                <w:color w:val="FFFFFF" w:themeColor="background1"/>
                <w:sz w:val="18"/>
                <w:szCs w:val="20"/>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2A4BFA">
              <w:rPr>
                <w:rFonts w:eastAsia="Times New Roman" w:cs="Arial"/>
                <w:b/>
                <w:bCs/>
                <w:color w:val="FFFFFF" w:themeColor="background1"/>
                <w:sz w:val="18"/>
                <w:szCs w:val="20"/>
                <w:lang w:val="es-CO" w:eastAsia="es-CO"/>
              </w:rPr>
              <w:t xml:space="preserve"> Vigente</w:t>
            </w:r>
          </w:p>
        </w:tc>
        <w:tc>
          <w:tcPr>
            <w:tcW w:w="830" w:type="pct"/>
            <w:shd w:val="clear" w:color="auto" w:fill="76923C" w:themeFill="accent3" w:themeFillShade="BF"/>
            <w:vAlign w:val="center"/>
            <w:hideMark/>
          </w:tcPr>
          <w:p w:rsidR="001626D1" w:rsidRPr="002A4BFA" w:rsidRDefault="00FD5CC3" w:rsidP="00536E30">
            <w:pPr>
              <w:spacing w:after="0" w:line="240" w:lineRule="auto"/>
              <w:jc w:val="center"/>
              <w:rPr>
                <w:rFonts w:eastAsia="Times New Roman" w:cs="Arial"/>
                <w:b/>
                <w:bCs/>
                <w:color w:val="FFFFFF" w:themeColor="background1"/>
                <w:sz w:val="18"/>
                <w:szCs w:val="20"/>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2A4BFA">
              <w:rPr>
                <w:rFonts w:eastAsia="Times New Roman" w:cs="Arial"/>
                <w:b/>
                <w:bCs/>
                <w:color w:val="FFFFFF" w:themeColor="background1"/>
                <w:sz w:val="18"/>
                <w:szCs w:val="20"/>
                <w:lang w:val="es-CO" w:eastAsia="es-CO"/>
              </w:rPr>
              <w:t xml:space="preserve"> Bloqueada</w:t>
            </w:r>
          </w:p>
        </w:tc>
        <w:tc>
          <w:tcPr>
            <w:tcW w:w="778" w:type="pct"/>
            <w:shd w:val="clear" w:color="auto" w:fill="76923C" w:themeFill="accent3" w:themeFillShade="BF"/>
            <w:vAlign w:val="center"/>
            <w:hideMark/>
          </w:tcPr>
          <w:p w:rsidR="001626D1" w:rsidRPr="002A4BFA" w:rsidRDefault="00FD5CC3" w:rsidP="00FD5CC3">
            <w:pPr>
              <w:spacing w:after="0" w:line="240" w:lineRule="auto"/>
              <w:jc w:val="center"/>
              <w:rPr>
                <w:rFonts w:eastAsia="Times New Roman" w:cs="Arial"/>
                <w:b/>
                <w:bCs/>
                <w:color w:val="FFFFFF" w:themeColor="background1"/>
                <w:sz w:val="18"/>
                <w:szCs w:val="20"/>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2A4BFA">
              <w:rPr>
                <w:rFonts w:eastAsia="Times New Roman" w:cs="Arial"/>
                <w:b/>
                <w:bCs/>
                <w:color w:val="FFFFFF" w:themeColor="background1"/>
                <w:sz w:val="18"/>
                <w:szCs w:val="20"/>
                <w:lang w:val="es-CO" w:eastAsia="es-CO"/>
              </w:rPr>
              <w:t xml:space="preserve"> </w:t>
            </w:r>
            <w:r>
              <w:rPr>
                <w:rFonts w:eastAsia="Times New Roman" w:cs="Arial"/>
                <w:b/>
                <w:bCs/>
                <w:color w:val="FFFFFF" w:themeColor="background1"/>
                <w:sz w:val="18"/>
                <w:szCs w:val="20"/>
                <w:lang w:val="es-CO" w:eastAsia="es-CO"/>
              </w:rPr>
              <w:t>a</w:t>
            </w:r>
            <w:r w:rsidRPr="002A4BFA">
              <w:rPr>
                <w:rFonts w:eastAsia="Times New Roman" w:cs="Arial"/>
                <w:b/>
                <w:bCs/>
                <w:color w:val="FFFFFF" w:themeColor="background1"/>
                <w:sz w:val="18"/>
                <w:szCs w:val="20"/>
                <w:lang w:val="es-CO" w:eastAsia="es-CO"/>
              </w:rPr>
              <w:t xml:space="preserve"> Ejecutar</w:t>
            </w:r>
          </w:p>
        </w:tc>
      </w:tr>
      <w:tr w:rsidR="001626D1" w:rsidRPr="00596978" w:rsidTr="00BC2B28">
        <w:trPr>
          <w:trHeight w:val="89"/>
        </w:trPr>
        <w:tc>
          <w:tcPr>
            <w:tcW w:w="82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Funcionamiento</w:t>
            </w: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Recursos Propios</w:t>
            </w:r>
          </w:p>
        </w:tc>
        <w:tc>
          <w:tcPr>
            <w:tcW w:w="906"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$ 363.227</w:t>
            </w: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$ 360.815</w:t>
            </w:r>
          </w:p>
        </w:tc>
        <w:tc>
          <w:tcPr>
            <w:tcW w:w="830"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$ 452</w:t>
            </w:r>
          </w:p>
        </w:tc>
        <w:tc>
          <w:tcPr>
            <w:tcW w:w="77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$ 360.363</w:t>
            </w:r>
          </w:p>
        </w:tc>
      </w:tr>
      <w:tr w:rsidR="001626D1" w:rsidRPr="00596978" w:rsidTr="00BC2B28">
        <w:trPr>
          <w:trHeight w:val="315"/>
        </w:trPr>
        <w:tc>
          <w:tcPr>
            <w:tcW w:w="82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Inversión</w:t>
            </w: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Recursos Propios</w:t>
            </w:r>
          </w:p>
        </w:tc>
        <w:tc>
          <w:tcPr>
            <w:tcW w:w="906"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$ 2.300.810</w:t>
            </w: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$ 2.290.350</w:t>
            </w:r>
          </w:p>
        </w:tc>
        <w:tc>
          <w:tcPr>
            <w:tcW w:w="830"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$ 0</w:t>
            </w:r>
          </w:p>
        </w:tc>
        <w:tc>
          <w:tcPr>
            <w:tcW w:w="77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$ 2.290.350</w:t>
            </w:r>
          </w:p>
        </w:tc>
      </w:tr>
      <w:tr w:rsidR="001626D1" w:rsidRPr="00596978" w:rsidTr="00BC2B28">
        <w:trPr>
          <w:trHeight w:val="315"/>
        </w:trPr>
        <w:tc>
          <w:tcPr>
            <w:tcW w:w="82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Inversión</w:t>
            </w: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eastAsia="es-CO"/>
              </w:rPr>
              <w:t>Recursos Nación</w:t>
            </w:r>
          </w:p>
        </w:tc>
        <w:tc>
          <w:tcPr>
            <w:tcW w:w="906"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$ 2.569.544</w:t>
            </w:r>
          </w:p>
          <w:p w:rsidR="001626D1" w:rsidRPr="00F85636" w:rsidRDefault="001626D1" w:rsidP="00536E30">
            <w:pPr>
              <w:spacing w:after="0" w:line="240" w:lineRule="auto"/>
              <w:jc w:val="center"/>
              <w:rPr>
                <w:rFonts w:eastAsia="Times New Roman" w:cs="Arial"/>
                <w:color w:val="000000"/>
                <w:sz w:val="18"/>
                <w:szCs w:val="20"/>
                <w:lang w:val="es-CO" w:eastAsia="es-CO"/>
              </w:rPr>
            </w:pPr>
          </w:p>
        </w:tc>
        <w:tc>
          <w:tcPr>
            <w:tcW w:w="829"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$ 2.805.970</w:t>
            </w:r>
          </w:p>
          <w:p w:rsidR="001626D1" w:rsidRPr="00F85636" w:rsidRDefault="001626D1" w:rsidP="00536E30">
            <w:pPr>
              <w:spacing w:after="0" w:line="240" w:lineRule="auto"/>
              <w:jc w:val="center"/>
              <w:rPr>
                <w:rFonts w:eastAsia="Times New Roman" w:cs="Arial"/>
                <w:color w:val="000000"/>
                <w:sz w:val="18"/>
                <w:szCs w:val="20"/>
                <w:lang w:val="es-CO" w:eastAsia="es-CO"/>
              </w:rPr>
            </w:pPr>
          </w:p>
        </w:tc>
        <w:tc>
          <w:tcPr>
            <w:tcW w:w="830"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$ 0</w:t>
            </w:r>
          </w:p>
        </w:tc>
        <w:tc>
          <w:tcPr>
            <w:tcW w:w="778" w:type="pct"/>
            <w:shd w:val="clear" w:color="auto" w:fill="auto"/>
            <w:vAlign w:val="center"/>
            <w:hideMark/>
          </w:tcPr>
          <w:p w:rsidR="001626D1" w:rsidRPr="00F85636" w:rsidRDefault="001626D1" w:rsidP="00536E30">
            <w:pPr>
              <w:spacing w:after="0" w:line="240" w:lineRule="auto"/>
              <w:jc w:val="center"/>
              <w:rPr>
                <w:rFonts w:eastAsia="Times New Roman" w:cs="Arial"/>
                <w:color w:val="000000"/>
                <w:sz w:val="18"/>
                <w:szCs w:val="20"/>
                <w:lang w:val="es-CO" w:eastAsia="es-CO"/>
              </w:rPr>
            </w:pPr>
            <w:r w:rsidRPr="00F85636">
              <w:rPr>
                <w:rFonts w:eastAsia="Times New Roman" w:cs="Arial"/>
                <w:color w:val="000000"/>
                <w:sz w:val="18"/>
                <w:szCs w:val="20"/>
                <w:lang w:val="es-CO" w:eastAsia="es-CO"/>
              </w:rPr>
              <w:t>$ 2.805.970</w:t>
            </w:r>
          </w:p>
          <w:p w:rsidR="001626D1" w:rsidRPr="00F85636" w:rsidRDefault="001626D1" w:rsidP="00536E30">
            <w:pPr>
              <w:spacing w:after="0" w:line="240" w:lineRule="auto"/>
              <w:jc w:val="center"/>
              <w:rPr>
                <w:rFonts w:eastAsia="Times New Roman" w:cs="Arial"/>
                <w:color w:val="000000"/>
                <w:sz w:val="18"/>
                <w:szCs w:val="20"/>
                <w:lang w:val="es-CO" w:eastAsia="es-CO"/>
              </w:rPr>
            </w:pPr>
          </w:p>
        </w:tc>
      </w:tr>
      <w:tr w:rsidR="001626D1" w:rsidRPr="00596978" w:rsidTr="00BC2B28">
        <w:trPr>
          <w:trHeight w:val="315"/>
        </w:trPr>
        <w:tc>
          <w:tcPr>
            <w:tcW w:w="1657" w:type="pct"/>
            <w:gridSpan w:val="2"/>
            <w:shd w:val="clear" w:color="auto" w:fill="E2EFDA"/>
            <w:vAlign w:val="center"/>
            <w:hideMark/>
          </w:tcPr>
          <w:p w:rsidR="001626D1" w:rsidRPr="00F85636" w:rsidRDefault="00BC2B28" w:rsidP="00536E30">
            <w:pPr>
              <w:spacing w:after="0" w:line="240" w:lineRule="auto"/>
              <w:jc w:val="center"/>
              <w:rPr>
                <w:rFonts w:eastAsia="Times New Roman" w:cs="Arial"/>
                <w:b/>
                <w:bCs/>
                <w:color w:val="000000"/>
                <w:sz w:val="18"/>
                <w:szCs w:val="20"/>
                <w:lang w:val="es-CO" w:eastAsia="es-CO"/>
              </w:rPr>
            </w:pPr>
            <w:r w:rsidRPr="00F85636">
              <w:rPr>
                <w:rFonts w:eastAsia="Times New Roman" w:cs="Arial"/>
                <w:b/>
                <w:bCs/>
                <w:color w:val="000000"/>
                <w:sz w:val="18"/>
                <w:szCs w:val="20"/>
                <w:lang w:eastAsia="es-CO"/>
              </w:rPr>
              <w:t>Total Apropiación</w:t>
            </w:r>
          </w:p>
        </w:tc>
        <w:tc>
          <w:tcPr>
            <w:tcW w:w="906" w:type="pct"/>
            <w:shd w:val="clear" w:color="auto" w:fill="E2EFDA"/>
            <w:vAlign w:val="center"/>
            <w:hideMark/>
          </w:tcPr>
          <w:p w:rsidR="001626D1" w:rsidRPr="00F85636" w:rsidRDefault="001626D1" w:rsidP="00536E30">
            <w:pPr>
              <w:spacing w:after="0" w:line="240" w:lineRule="auto"/>
              <w:jc w:val="center"/>
              <w:rPr>
                <w:rFonts w:eastAsia="Times New Roman" w:cs="Arial"/>
                <w:b/>
                <w:bCs/>
                <w:color w:val="000000"/>
                <w:sz w:val="18"/>
                <w:szCs w:val="20"/>
                <w:lang w:eastAsia="es-CO"/>
              </w:rPr>
            </w:pPr>
            <w:r w:rsidRPr="00F85636">
              <w:rPr>
                <w:rFonts w:eastAsia="Times New Roman" w:cs="Arial"/>
                <w:b/>
                <w:bCs/>
                <w:color w:val="000000"/>
                <w:sz w:val="18"/>
                <w:szCs w:val="20"/>
                <w:lang w:eastAsia="es-CO"/>
              </w:rPr>
              <w:t>$ 5.233.582</w:t>
            </w:r>
          </w:p>
        </w:tc>
        <w:tc>
          <w:tcPr>
            <w:tcW w:w="829" w:type="pct"/>
            <w:shd w:val="clear" w:color="auto" w:fill="E2EFDA"/>
            <w:vAlign w:val="center"/>
            <w:hideMark/>
          </w:tcPr>
          <w:p w:rsidR="001626D1" w:rsidRPr="00F85636" w:rsidRDefault="001626D1" w:rsidP="00536E30">
            <w:pPr>
              <w:spacing w:after="0" w:line="240" w:lineRule="auto"/>
              <w:jc w:val="center"/>
              <w:rPr>
                <w:rFonts w:eastAsia="Times New Roman" w:cs="Arial"/>
                <w:b/>
                <w:bCs/>
                <w:color w:val="000000"/>
                <w:sz w:val="18"/>
                <w:szCs w:val="20"/>
                <w:lang w:eastAsia="es-CO"/>
              </w:rPr>
            </w:pPr>
            <w:r w:rsidRPr="00F85636">
              <w:rPr>
                <w:rFonts w:eastAsia="Times New Roman" w:cs="Arial"/>
                <w:b/>
                <w:bCs/>
                <w:color w:val="000000"/>
                <w:sz w:val="18"/>
                <w:szCs w:val="20"/>
                <w:lang w:eastAsia="es-CO"/>
              </w:rPr>
              <w:t>$ 5.457.134</w:t>
            </w:r>
          </w:p>
        </w:tc>
        <w:tc>
          <w:tcPr>
            <w:tcW w:w="830" w:type="pct"/>
            <w:shd w:val="clear" w:color="auto" w:fill="E2EFDA"/>
            <w:vAlign w:val="center"/>
            <w:hideMark/>
          </w:tcPr>
          <w:p w:rsidR="001626D1" w:rsidRPr="00F85636" w:rsidRDefault="001626D1" w:rsidP="00536E30">
            <w:pPr>
              <w:spacing w:after="0" w:line="240" w:lineRule="auto"/>
              <w:jc w:val="center"/>
              <w:rPr>
                <w:rFonts w:eastAsia="Times New Roman" w:cs="Arial"/>
                <w:b/>
                <w:bCs/>
                <w:color w:val="000000"/>
                <w:sz w:val="18"/>
                <w:szCs w:val="20"/>
                <w:lang w:eastAsia="es-CO"/>
              </w:rPr>
            </w:pPr>
            <w:r w:rsidRPr="00F85636">
              <w:rPr>
                <w:rFonts w:eastAsia="Times New Roman" w:cs="Arial"/>
                <w:b/>
                <w:bCs/>
                <w:color w:val="000000"/>
                <w:sz w:val="18"/>
                <w:szCs w:val="20"/>
                <w:lang w:eastAsia="es-CO"/>
              </w:rPr>
              <w:t>$ 452</w:t>
            </w:r>
          </w:p>
        </w:tc>
        <w:tc>
          <w:tcPr>
            <w:tcW w:w="778" w:type="pct"/>
            <w:shd w:val="clear" w:color="auto" w:fill="E2EFDA"/>
            <w:vAlign w:val="center"/>
            <w:hideMark/>
          </w:tcPr>
          <w:p w:rsidR="001626D1" w:rsidRPr="00F85636" w:rsidRDefault="001626D1" w:rsidP="00536E30">
            <w:pPr>
              <w:spacing w:after="0" w:line="240" w:lineRule="auto"/>
              <w:jc w:val="center"/>
              <w:rPr>
                <w:rFonts w:eastAsia="Times New Roman" w:cs="Arial"/>
                <w:b/>
                <w:bCs/>
                <w:color w:val="000000"/>
                <w:sz w:val="18"/>
                <w:szCs w:val="20"/>
                <w:lang w:eastAsia="es-CO"/>
              </w:rPr>
            </w:pPr>
            <w:r w:rsidRPr="00F85636">
              <w:rPr>
                <w:rFonts w:eastAsia="Times New Roman" w:cs="Arial"/>
                <w:b/>
                <w:bCs/>
                <w:color w:val="000000"/>
                <w:sz w:val="18"/>
                <w:szCs w:val="20"/>
                <w:lang w:eastAsia="es-CO"/>
              </w:rPr>
              <w:t>$ 5.456.682</w:t>
            </w:r>
          </w:p>
        </w:tc>
      </w:tr>
    </w:tbl>
    <w:p w:rsidR="001626D1" w:rsidRPr="00596978" w:rsidRDefault="001626D1" w:rsidP="001626D1">
      <w:pPr>
        <w:spacing w:after="0" w:line="240" w:lineRule="auto"/>
        <w:jc w:val="both"/>
        <w:rPr>
          <w:rFonts w:cs="Arial"/>
        </w:rPr>
      </w:pPr>
    </w:p>
    <w:p w:rsidR="001626D1" w:rsidRPr="00596978" w:rsidRDefault="001626D1" w:rsidP="001626D1">
      <w:pPr>
        <w:spacing w:after="0" w:line="240" w:lineRule="auto"/>
        <w:jc w:val="both"/>
        <w:rPr>
          <w:rFonts w:cs="Arial"/>
        </w:rPr>
      </w:pPr>
      <w:r w:rsidRPr="00596978">
        <w:rPr>
          <w:rFonts w:cs="Arial"/>
        </w:rPr>
        <w:t>El presupuesto asignado inicialmente al Instit</w:t>
      </w:r>
      <w:r>
        <w:rPr>
          <w:rFonts w:cs="Arial"/>
        </w:rPr>
        <w:t xml:space="preserve">uto para la vigencia 2016, </w:t>
      </w:r>
      <w:r w:rsidRPr="00C52061">
        <w:rPr>
          <w:rFonts w:cs="Arial"/>
        </w:rPr>
        <w:t>se  financió</w:t>
      </w:r>
      <w:r w:rsidRPr="00596978">
        <w:rPr>
          <w:rFonts w:cs="Arial"/>
        </w:rPr>
        <w:t xml:space="preserve"> en el 51% con recursos propios y 49% restante con recursos nación</w:t>
      </w:r>
      <w:r>
        <w:rPr>
          <w:rFonts w:cs="Arial"/>
        </w:rPr>
        <w:t>.</w:t>
      </w:r>
    </w:p>
    <w:p w:rsidR="001626D1" w:rsidRPr="00596978" w:rsidRDefault="001626D1" w:rsidP="001626D1">
      <w:pPr>
        <w:spacing w:after="0" w:line="240" w:lineRule="auto"/>
        <w:jc w:val="both"/>
        <w:rPr>
          <w:rFonts w:cs="Arial"/>
        </w:rPr>
      </w:pPr>
    </w:p>
    <w:p w:rsidR="001626D1" w:rsidRPr="005174D0" w:rsidRDefault="001626D1" w:rsidP="001626D1">
      <w:pPr>
        <w:spacing w:line="240" w:lineRule="auto"/>
        <w:jc w:val="both"/>
        <w:rPr>
          <w:rFonts w:cs="Arial"/>
          <w:b/>
          <w:sz w:val="18"/>
          <w:szCs w:val="18"/>
        </w:rPr>
      </w:pPr>
      <w:r w:rsidRPr="00596978">
        <w:rPr>
          <w:rFonts w:cs="Arial"/>
          <w:b/>
        </w:rPr>
        <w:t>Composición del gasto por responsable</w:t>
      </w:r>
    </w:p>
    <w:p w:rsidR="001626D1" w:rsidRPr="005174D0" w:rsidRDefault="00BC2B28" w:rsidP="005174D0">
      <w:pPr>
        <w:spacing w:after="0" w:line="240" w:lineRule="auto"/>
        <w:ind w:left="7788"/>
        <w:jc w:val="both"/>
        <w:rPr>
          <w:rFonts w:cs="Arial"/>
          <w:sz w:val="18"/>
          <w:szCs w:val="18"/>
        </w:rPr>
      </w:pPr>
      <w:r w:rsidRPr="005174D0">
        <w:rPr>
          <w:rFonts w:cs="Arial"/>
          <w:sz w:val="18"/>
          <w:szCs w:val="18"/>
        </w:rPr>
        <w:t xml:space="preserve">   </w:t>
      </w:r>
      <w:r w:rsidR="001626D1" w:rsidRPr="005174D0">
        <w:rPr>
          <w:rFonts w:cs="Arial"/>
          <w:sz w:val="18"/>
          <w:szCs w:val="18"/>
        </w:rPr>
        <w:t xml:space="preserve"> En millones de $</w:t>
      </w:r>
    </w:p>
    <w:tbl>
      <w:tblPr>
        <w:tblW w:w="9214"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028"/>
        <w:gridCol w:w="1242"/>
        <w:gridCol w:w="1242"/>
        <w:gridCol w:w="1291"/>
        <w:gridCol w:w="1411"/>
      </w:tblGrid>
      <w:tr w:rsidR="001626D1" w:rsidRPr="00551813" w:rsidTr="00C51ADD">
        <w:trPr>
          <w:trHeight w:val="20"/>
          <w:jc w:val="center"/>
        </w:trPr>
        <w:tc>
          <w:tcPr>
            <w:tcW w:w="4253" w:type="dxa"/>
            <w:shd w:val="clear" w:color="auto" w:fill="76923C" w:themeFill="accent3" w:themeFillShade="BF"/>
            <w:vAlign w:val="center"/>
            <w:hideMark/>
          </w:tcPr>
          <w:p w:rsidR="001626D1" w:rsidRPr="001F39BE" w:rsidRDefault="00BC2B28" w:rsidP="00536E30">
            <w:pPr>
              <w:spacing w:after="0" w:line="240" w:lineRule="auto"/>
              <w:jc w:val="center"/>
              <w:rPr>
                <w:rFonts w:eastAsia="Times New Roman" w:cs="Arial"/>
                <w:b/>
                <w:bCs/>
                <w:color w:val="FFFFFF" w:themeColor="background1"/>
                <w:sz w:val="18"/>
                <w:szCs w:val="18"/>
                <w:lang w:val="es-CO" w:eastAsia="es-CO"/>
              </w:rPr>
            </w:pPr>
            <w:r w:rsidRPr="001F39BE">
              <w:rPr>
                <w:rFonts w:eastAsia="Times New Roman" w:cs="Arial"/>
                <w:b/>
                <w:bCs/>
                <w:color w:val="FFFFFF" w:themeColor="background1"/>
                <w:sz w:val="18"/>
                <w:szCs w:val="18"/>
                <w:lang w:val="es-CO" w:eastAsia="es-CO"/>
              </w:rPr>
              <w:t>Responsable</w:t>
            </w:r>
          </w:p>
        </w:tc>
        <w:tc>
          <w:tcPr>
            <w:tcW w:w="1247" w:type="dxa"/>
            <w:shd w:val="clear" w:color="auto" w:fill="76923C" w:themeFill="accent3" w:themeFillShade="BF"/>
            <w:vAlign w:val="center"/>
            <w:hideMark/>
          </w:tcPr>
          <w:p w:rsidR="001626D1" w:rsidRPr="001F39BE" w:rsidRDefault="00BC2B28" w:rsidP="00536E30">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1F39BE">
              <w:rPr>
                <w:rFonts w:eastAsia="Times New Roman" w:cs="Arial"/>
                <w:b/>
                <w:bCs/>
                <w:color w:val="FFFFFF" w:themeColor="background1"/>
                <w:sz w:val="18"/>
                <w:szCs w:val="18"/>
                <w:lang w:val="es-CO" w:eastAsia="es-CO"/>
              </w:rPr>
              <w:t xml:space="preserve"> Inicial</w:t>
            </w:r>
          </w:p>
        </w:tc>
        <w:tc>
          <w:tcPr>
            <w:tcW w:w="1247" w:type="dxa"/>
            <w:shd w:val="clear" w:color="auto" w:fill="76923C" w:themeFill="accent3" w:themeFillShade="BF"/>
            <w:vAlign w:val="center"/>
            <w:hideMark/>
          </w:tcPr>
          <w:p w:rsidR="001626D1" w:rsidRPr="001F39BE" w:rsidRDefault="00BC2B28" w:rsidP="00536E30">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1F39BE">
              <w:rPr>
                <w:rFonts w:eastAsia="Times New Roman" w:cs="Arial"/>
                <w:b/>
                <w:bCs/>
                <w:color w:val="FFFFFF" w:themeColor="background1"/>
                <w:sz w:val="18"/>
                <w:szCs w:val="18"/>
                <w:lang w:val="es-CO" w:eastAsia="es-CO"/>
              </w:rPr>
              <w:t xml:space="preserve"> Vigente</w:t>
            </w:r>
          </w:p>
        </w:tc>
        <w:tc>
          <w:tcPr>
            <w:tcW w:w="1247" w:type="dxa"/>
            <w:shd w:val="clear" w:color="auto" w:fill="76923C" w:themeFill="accent3" w:themeFillShade="BF"/>
            <w:vAlign w:val="center"/>
            <w:hideMark/>
          </w:tcPr>
          <w:p w:rsidR="001626D1" w:rsidRPr="001F39BE" w:rsidRDefault="00BC2B28" w:rsidP="00536E30">
            <w:pPr>
              <w:spacing w:after="0" w:line="240" w:lineRule="auto"/>
              <w:jc w:val="center"/>
              <w:rPr>
                <w:rFonts w:eastAsia="Times New Roman" w:cs="Arial"/>
                <w:b/>
                <w:bCs/>
                <w:color w:val="FFFFFF" w:themeColor="background1"/>
                <w:sz w:val="18"/>
                <w:szCs w:val="18"/>
                <w:lang w:val="es-CO" w:eastAsia="es-CO"/>
              </w:rPr>
            </w:pPr>
            <w:r w:rsidRPr="002A4BFA">
              <w:rPr>
                <w:rFonts w:eastAsia="Times New Roman" w:cs="Arial"/>
                <w:b/>
                <w:bCs/>
                <w:color w:val="FFFFFF" w:themeColor="background1"/>
                <w:sz w:val="18"/>
                <w:szCs w:val="20"/>
                <w:lang w:val="es-CO" w:eastAsia="es-CO"/>
              </w:rPr>
              <w:t>A</w:t>
            </w:r>
            <w:r>
              <w:rPr>
                <w:rFonts w:eastAsia="Times New Roman" w:cs="Arial"/>
                <w:b/>
                <w:bCs/>
                <w:color w:val="FFFFFF" w:themeColor="background1"/>
                <w:sz w:val="18"/>
                <w:szCs w:val="20"/>
                <w:lang w:val="es-CO" w:eastAsia="es-CO"/>
              </w:rPr>
              <w:t>propiación</w:t>
            </w:r>
            <w:r w:rsidRPr="001F39BE">
              <w:rPr>
                <w:rFonts w:eastAsia="Times New Roman" w:cs="Arial"/>
                <w:b/>
                <w:bCs/>
                <w:color w:val="FFFFFF" w:themeColor="background1"/>
                <w:sz w:val="18"/>
                <w:szCs w:val="18"/>
                <w:lang w:val="es-CO" w:eastAsia="es-CO"/>
              </w:rPr>
              <w:t xml:space="preserve"> Bloqueada</w:t>
            </w:r>
          </w:p>
        </w:tc>
        <w:tc>
          <w:tcPr>
            <w:tcW w:w="1247" w:type="dxa"/>
            <w:shd w:val="clear" w:color="auto" w:fill="76923C" w:themeFill="accent3" w:themeFillShade="BF"/>
            <w:vAlign w:val="center"/>
            <w:hideMark/>
          </w:tcPr>
          <w:p w:rsidR="001626D1" w:rsidRPr="001F39BE" w:rsidRDefault="00BC2B28" w:rsidP="00BC2B28">
            <w:pPr>
              <w:spacing w:after="0" w:line="240" w:lineRule="auto"/>
              <w:jc w:val="center"/>
              <w:rPr>
                <w:rFonts w:eastAsia="Times New Roman" w:cs="Arial"/>
                <w:b/>
                <w:bCs/>
                <w:color w:val="FFFFFF" w:themeColor="background1"/>
                <w:sz w:val="18"/>
                <w:szCs w:val="18"/>
                <w:lang w:val="es-CO" w:eastAsia="es-CO"/>
              </w:rPr>
            </w:pPr>
            <w:r w:rsidRPr="001F39BE">
              <w:rPr>
                <w:rFonts w:eastAsia="Times New Roman" w:cs="Arial"/>
                <w:b/>
                <w:bCs/>
                <w:color w:val="FFFFFF" w:themeColor="background1"/>
                <w:sz w:val="18"/>
                <w:szCs w:val="18"/>
                <w:lang w:val="es-CO" w:eastAsia="es-CO"/>
              </w:rPr>
              <w:t xml:space="preserve">Apropiación </w:t>
            </w:r>
            <w:r>
              <w:rPr>
                <w:rFonts w:eastAsia="Times New Roman" w:cs="Arial"/>
                <w:b/>
                <w:bCs/>
                <w:color w:val="FFFFFF" w:themeColor="background1"/>
                <w:sz w:val="18"/>
                <w:szCs w:val="18"/>
                <w:lang w:val="es-CO" w:eastAsia="es-CO"/>
              </w:rPr>
              <w:t>a</w:t>
            </w:r>
            <w:r w:rsidRPr="001F39BE">
              <w:rPr>
                <w:rFonts w:eastAsia="Times New Roman" w:cs="Arial"/>
                <w:b/>
                <w:bCs/>
                <w:color w:val="FFFFFF" w:themeColor="background1"/>
                <w:sz w:val="18"/>
                <w:szCs w:val="18"/>
                <w:lang w:val="es-CO" w:eastAsia="es-CO"/>
              </w:rPr>
              <w:t xml:space="preserve"> Ejecutar</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Dirección Administrativa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$84.508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$91.626</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$91.626</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de Familias y</w:t>
            </w:r>
            <w:r w:rsidRPr="00E711F2">
              <w:rPr>
                <w:rFonts w:eastAsia="Times New Roman" w:cs="Arial"/>
                <w:color w:val="000000"/>
                <w:sz w:val="18"/>
                <w:szCs w:val="20"/>
                <w:lang w:val="es-CO" w:eastAsia="es-CO"/>
              </w:rPr>
              <w:t xml:space="preserve"> Comunidades</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$73.889</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$76.996</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$76.996</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w:t>
            </w:r>
            <w:r w:rsidRPr="00E711F2">
              <w:rPr>
                <w:rFonts w:eastAsia="Times New Roman" w:cs="Arial"/>
                <w:color w:val="000000"/>
                <w:sz w:val="18"/>
                <w:szCs w:val="20"/>
                <w:lang w:val="es-CO" w:eastAsia="es-CO"/>
              </w:rPr>
              <w:t>e Gestión Humana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$303.168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$287.338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$452</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$286.886</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w:t>
            </w:r>
            <w:r w:rsidRPr="00E711F2">
              <w:rPr>
                <w:rFonts w:eastAsia="Times New Roman" w:cs="Arial"/>
                <w:color w:val="000000"/>
                <w:sz w:val="18"/>
                <w:szCs w:val="20"/>
                <w:lang w:val="es-CO" w:eastAsia="es-CO"/>
              </w:rPr>
              <w:t>e Información</w:t>
            </w:r>
            <w:r>
              <w:rPr>
                <w:rFonts w:eastAsia="Times New Roman" w:cs="Arial"/>
                <w:color w:val="000000"/>
                <w:sz w:val="18"/>
                <w:szCs w:val="20"/>
                <w:lang w:val="es-CO" w:eastAsia="es-CO"/>
              </w:rPr>
              <w:t xml:space="preserve"> y</w:t>
            </w:r>
            <w:r w:rsidRPr="00E711F2">
              <w:rPr>
                <w:rFonts w:eastAsia="Times New Roman" w:cs="Arial"/>
                <w:color w:val="000000"/>
                <w:sz w:val="18"/>
                <w:szCs w:val="20"/>
                <w:lang w:val="es-CO" w:eastAsia="es-CO"/>
              </w:rPr>
              <w:t xml:space="preserve"> Tecnología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$51.412</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$51.363</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$51.363</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de Niñez y</w:t>
            </w:r>
            <w:r w:rsidRPr="00E711F2">
              <w:rPr>
                <w:rFonts w:eastAsia="Times New Roman" w:cs="Arial"/>
                <w:color w:val="000000"/>
                <w:sz w:val="18"/>
                <w:szCs w:val="20"/>
                <w:lang w:val="es-CO" w:eastAsia="es-CO"/>
              </w:rPr>
              <w:t xml:space="preserve"> Adolescencia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$79.528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$75.251</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$75.251</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de Nutrició</w:t>
            </w:r>
            <w:r w:rsidRPr="00E711F2">
              <w:rPr>
                <w:rFonts w:eastAsia="Times New Roman" w:cs="Arial"/>
                <w:color w:val="000000"/>
                <w:sz w:val="18"/>
                <w:szCs w:val="20"/>
                <w:lang w:val="es-CO" w:eastAsia="es-CO"/>
              </w:rPr>
              <w:t>n</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$185.837</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$175.276</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$175.276</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d</w:t>
            </w:r>
            <w:r w:rsidRPr="00E711F2">
              <w:rPr>
                <w:rFonts w:eastAsia="Times New Roman" w:cs="Arial"/>
                <w:color w:val="000000"/>
                <w:sz w:val="18"/>
                <w:szCs w:val="20"/>
                <w:lang w:val="es-CO" w:eastAsia="es-CO"/>
              </w:rPr>
              <w:t>e Primera Infancia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$3.229.303</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$3.561.105</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$3.561.105</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4F549C">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 xml:space="preserve">Dirección </w:t>
            </w:r>
            <w:r>
              <w:rPr>
                <w:rFonts w:eastAsia="Times New Roman" w:cs="Arial"/>
                <w:color w:val="000000"/>
                <w:sz w:val="18"/>
                <w:szCs w:val="20"/>
                <w:lang w:val="es-CO" w:eastAsia="es-CO"/>
              </w:rPr>
              <w:t>d</w:t>
            </w:r>
            <w:r w:rsidRPr="00E711F2">
              <w:rPr>
                <w:rFonts w:eastAsia="Times New Roman" w:cs="Arial"/>
                <w:color w:val="000000"/>
                <w:sz w:val="18"/>
                <w:szCs w:val="20"/>
                <w:lang w:val="es-CO" w:eastAsia="es-CO"/>
              </w:rPr>
              <w:t>e Protección</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$1.000.812</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$908.988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$908.988</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Dirección Financiera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$6.754</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$7.488</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$7.488</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Dirección Sistema Nacional d</w:t>
            </w:r>
            <w:r w:rsidRPr="00E711F2">
              <w:rPr>
                <w:rFonts w:eastAsia="Times New Roman" w:cs="Arial"/>
                <w:color w:val="000000"/>
                <w:sz w:val="18"/>
                <w:szCs w:val="20"/>
                <w:lang w:val="es-CO" w:eastAsia="es-CO"/>
              </w:rPr>
              <w:t>e Bienestar Familiar</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$9.500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$14.571</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$14.571</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Oficina De Comunicaciones</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$7.000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$6.892</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$6.892</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Oficina Jurídica</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$8.690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$12.250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$12.250</w:t>
            </w:r>
          </w:p>
        </w:tc>
      </w:tr>
      <w:tr w:rsidR="001626D1" w:rsidRPr="00551813" w:rsidTr="00C51ADD">
        <w:trPr>
          <w:trHeight w:val="20"/>
          <w:jc w:val="center"/>
        </w:trPr>
        <w:tc>
          <w:tcPr>
            <w:tcW w:w="4253" w:type="dxa"/>
            <w:shd w:val="clear" w:color="auto" w:fill="auto"/>
            <w:vAlign w:val="center"/>
            <w:hideMark/>
          </w:tcPr>
          <w:p w:rsidR="001626D1" w:rsidRPr="00E711F2" w:rsidRDefault="004F549C" w:rsidP="00536E30">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Secretaria General</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$186.181</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$180.990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247"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$180.990</w:t>
            </w:r>
          </w:p>
        </w:tc>
      </w:tr>
      <w:tr w:rsidR="001626D1" w:rsidRPr="00551813" w:rsidTr="00C51ADD">
        <w:trPr>
          <w:trHeight w:val="20"/>
          <w:jc w:val="center"/>
        </w:trPr>
        <w:tc>
          <w:tcPr>
            <w:tcW w:w="4253" w:type="dxa"/>
            <w:shd w:val="clear" w:color="auto" w:fill="auto"/>
            <w:vAlign w:val="center"/>
            <w:hideMark/>
          </w:tcPr>
          <w:p w:rsidR="001626D1" w:rsidRPr="00E711F2" w:rsidRDefault="001B5E11" w:rsidP="001B5E11">
            <w:pPr>
              <w:spacing w:after="0" w:line="240" w:lineRule="auto"/>
              <w:rPr>
                <w:rFonts w:eastAsia="Times New Roman" w:cs="Arial"/>
                <w:color w:val="000000"/>
                <w:sz w:val="18"/>
                <w:szCs w:val="20"/>
                <w:lang w:val="es-CO" w:eastAsia="es-CO"/>
              </w:rPr>
            </w:pPr>
            <w:r w:rsidRPr="00E711F2">
              <w:rPr>
                <w:rFonts w:eastAsia="Times New Roman" w:cs="Arial"/>
                <w:color w:val="000000"/>
                <w:sz w:val="18"/>
                <w:szCs w:val="20"/>
                <w:lang w:val="es-CO" w:eastAsia="es-CO"/>
              </w:rPr>
              <w:t>Subdirección</w:t>
            </w:r>
            <w:r>
              <w:rPr>
                <w:rFonts w:eastAsia="Times New Roman" w:cs="Arial"/>
                <w:color w:val="000000"/>
                <w:sz w:val="18"/>
                <w:szCs w:val="20"/>
                <w:lang w:val="es-CO" w:eastAsia="es-CO"/>
              </w:rPr>
              <w:t xml:space="preserve"> d</w:t>
            </w:r>
            <w:r w:rsidRPr="00E711F2">
              <w:rPr>
                <w:rFonts w:eastAsia="Times New Roman" w:cs="Arial"/>
                <w:color w:val="000000"/>
                <w:sz w:val="18"/>
                <w:szCs w:val="20"/>
                <w:lang w:val="es-CO" w:eastAsia="es-CO"/>
              </w:rPr>
              <w:t xml:space="preserve">e Monitoreo </w:t>
            </w:r>
            <w:r>
              <w:rPr>
                <w:rFonts w:eastAsia="Times New Roman" w:cs="Arial"/>
                <w:color w:val="000000"/>
                <w:sz w:val="18"/>
                <w:szCs w:val="20"/>
                <w:lang w:val="es-CO" w:eastAsia="es-CO"/>
              </w:rPr>
              <w:t>y</w:t>
            </w:r>
            <w:r w:rsidRPr="00E711F2">
              <w:rPr>
                <w:rFonts w:eastAsia="Times New Roman" w:cs="Arial"/>
                <w:color w:val="000000"/>
                <w:sz w:val="18"/>
                <w:szCs w:val="20"/>
                <w:lang w:val="es-CO" w:eastAsia="es-CO"/>
              </w:rPr>
              <w:t xml:space="preserve"> Evaluación</w:t>
            </w:r>
          </w:p>
        </w:tc>
        <w:tc>
          <w:tcPr>
            <w:tcW w:w="1134"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$7.000</w:t>
            </w:r>
          </w:p>
        </w:tc>
        <w:tc>
          <w:tcPr>
            <w:tcW w:w="1096"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$7.000</w:t>
            </w:r>
          </w:p>
        </w:tc>
        <w:tc>
          <w:tcPr>
            <w:tcW w:w="1300"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$0</w:t>
            </w:r>
          </w:p>
        </w:tc>
        <w:tc>
          <w:tcPr>
            <w:tcW w:w="1431" w:type="dxa"/>
            <w:shd w:val="clear" w:color="auto" w:fill="auto"/>
            <w:vAlign w:val="center"/>
            <w:hideMark/>
          </w:tcPr>
          <w:p w:rsidR="001626D1" w:rsidRPr="00E711F2" w:rsidRDefault="001626D1" w:rsidP="00536E30">
            <w:pPr>
              <w:spacing w:after="0" w:line="240" w:lineRule="auto"/>
              <w:jc w:val="right"/>
              <w:rPr>
                <w:rFonts w:eastAsia="Times New Roman" w:cs="Arial"/>
                <w:color w:val="000000"/>
                <w:sz w:val="18"/>
                <w:szCs w:val="20"/>
                <w:lang w:val="es-CO" w:eastAsia="es-CO"/>
              </w:rPr>
            </w:pPr>
            <w:r w:rsidRPr="00E711F2">
              <w:rPr>
                <w:rFonts w:eastAsia="Times New Roman" w:cs="Arial"/>
                <w:color w:val="000000"/>
                <w:sz w:val="18"/>
                <w:szCs w:val="20"/>
                <w:lang w:val="es-CO" w:eastAsia="es-CO"/>
              </w:rPr>
              <w:t>$7.000</w:t>
            </w:r>
          </w:p>
        </w:tc>
      </w:tr>
      <w:tr w:rsidR="001626D1" w:rsidRPr="00551813" w:rsidTr="00C51ADD">
        <w:trPr>
          <w:trHeight w:val="20"/>
          <w:jc w:val="center"/>
        </w:trPr>
        <w:tc>
          <w:tcPr>
            <w:tcW w:w="4253" w:type="dxa"/>
            <w:shd w:val="clear" w:color="auto" w:fill="E2EFDA"/>
            <w:vAlign w:val="center"/>
            <w:hideMark/>
          </w:tcPr>
          <w:p w:rsidR="001626D1" w:rsidRPr="00E711F2" w:rsidRDefault="001626D1" w:rsidP="00536E30">
            <w:pPr>
              <w:spacing w:after="0" w:line="240" w:lineRule="auto"/>
              <w:rPr>
                <w:rFonts w:eastAsia="Times New Roman" w:cs="Arial"/>
                <w:b/>
                <w:color w:val="000000"/>
                <w:sz w:val="18"/>
                <w:szCs w:val="18"/>
                <w:lang w:val="es-CO" w:eastAsia="es-CO"/>
              </w:rPr>
            </w:pPr>
            <w:r w:rsidRPr="00E711F2">
              <w:rPr>
                <w:rFonts w:eastAsia="Times New Roman" w:cs="Arial"/>
                <w:b/>
                <w:color w:val="000000"/>
                <w:sz w:val="18"/>
                <w:szCs w:val="18"/>
                <w:lang w:val="es-CO" w:eastAsia="es-CO"/>
              </w:rPr>
              <w:t>TOTAL</w:t>
            </w:r>
          </w:p>
        </w:tc>
        <w:tc>
          <w:tcPr>
            <w:tcW w:w="1134" w:type="dxa"/>
            <w:shd w:val="clear" w:color="auto" w:fill="E2EFDA"/>
            <w:vAlign w:val="center"/>
            <w:hideMark/>
          </w:tcPr>
          <w:p w:rsidR="001626D1" w:rsidRPr="00E711F2" w:rsidRDefault="001626D1" w:rsidP="00536E30">
            <w:pPr>
              <w:spacing w:after="0" w:line="240" w:lineRule="auto"/>
              <w:jc w:val="right"/>
              <w:rPr>
                <w:rFonts w:eastAsia="Times New Roman" w:cs="Arial"/>
                <w:b/>
                <w:color w:val="000000"/>
                <w:sz w:val="18"/>
                <w:szCs w:val="18"/>
                <w:lang w:val="es-CO" w:eastAsia="es-CO"/>
              </w:rPr>
            </w:pPr>
            <w:r w:rsidRPr="00E711F2">
              <w:rPr>
                <w:rFonts w:eastAsia="Times New Roman" w:cs="Arial"/>
                <w:b/>
                <w:color w:val="000000"/>
                <w:sz w:val="18"/>
                <w:szCs w:val="18"/>
                <w:lang w:val="es-CO" w:eastAsia="es-CO"/>
              </w:rPr>
              <w:t>$5.233.582</w:t>
            </w:r>
          </w:p>
        </w:tc>
        <w:tc>
          <w:tcPr>
            <w:tcW w:w="1096" w:type="dxa"/>
            <w:shd w:val="clear" w:color="auto" w:fill="E2EFDA"/>
            <w:vAlign w:val="center"/>
            <w:hideMark/>
          </w:tcPr>
          <w:p w:rsidR="001626D1" w:rsidRPr="00E711F2" w:rsidRDefault="001626D1" w:rsidP="00536E30">
            <w:pPr>
              <w:spacing w:after="0" w:line="240" w:lineRule="auto"/>
              <w:jc w:val="right"/>
              <w:rPr>
                <w:rFonts w:eastAsia="Times New Roman" w:cs="Arial"/>
                <w:b/>
                <w:color w:val="000000"/>
                <w:sz w:val="18"/>
                <w:szCs w:val="18"/>
                <w:lang w:val="es-CO" w:eastAsia="es-CO"/>
              </w:rPr>
            </w:pPr>
            <w:r w:rsidRPr="00E711F2">
              <w:rPr>
                <w:rFonts w:eastAsia="Times New Roman" w:cs="Arial"/>
                <w:b/>
                <w:color w:val="000000"/>
                <w:sz w:val="18"/>
                <w:szCs w:val="18"/>
                <w:lang w:val="es-CO" w:eastAsia="es-CO"/>
              </w:rPr>
              <w:t>$5.457.134</w:t>
            </w:r>
          </w:p>
        </w:tc>
        <w:tc>
          <w:tcPr>
            <w:tcW w:w="1300" w:type="dxa"/>
            <w:shd w:val="clear" w:color="auto" w:fill="E2EFDA"/>
            <w:vAlign w:val="center"/>
            <w:hideMark/>
          </w:tcPr>
          <w:p w:rsidR="001626D1" w:rsidRPr="00E711F2" w:rsidRDefault="001626D1" w:rsidP="00536E30">
            <w:pPr>
              <w:spacing w:after="0" w:line="240" w:lineRule="auto"/>
              <w:jc w:val="right"/>
              <w:rPr>
                <w:rFonts w:eastAsia="Times New Roman" w:cs="Arial"/>
                <w:b/>
                <w:color w:val="000000"/>
                <w:sz w:val="18"/>
                <w:szCs w:val="18"/>
                <w:lang w:val="es-CO" w:eastAsia="es-CO"/>
              </w:rPr>
            </w:pPr>
            <w:r w:rsidRPr="00E711F2">
              <w:rPr>
                <w:rFonts w:eastAsia="Times New Roman" w:cs="Arial"/>
                <w:b/>
                <w:color w:val="000000"/>
                <w:sz w:val="18"/>
                <w:szCs w:val="18"/>
                <w:lang w:val="es-CO" w:eastAsia="es-CO"/>
              </w:rPr>
              <w:t>$452</w:t>
            </w:r>
          </w:p>
        </w:tc>
        <w:tc>
          <w:tcPr>
            <w:tcW w:w="1431" w:type="dxa"/>
            <w:shd w:val="clear" w:color="auto" w:fill="E2EFDA"/>
            <w:vAlign w:val="center"/>
            <w:hideMark/>
          </w:tcPr>
          <w:p w:rsidR="001626D1" w:rsidRPr="00E711F2" w:rsidRDefault="001626D1" w:rsidP="00536E30">
            <w:pPr>
              <w:spacing w:after="0" w:line="240" w:lineRule="auto"/>
              <w:jc w:val="right"/>
              <w:rPr>
                <w:rFonts w:eastAsia="Times New Roman" w:cs="Arial"/>
                <w:b/>
                <w:color w:val="000000"/>
                <w:sz w:val="18"/>
                <w:szCs w:val="18"/>
                <w:lang w:val="es-CO" w:eastAsia="es-CO"/>
              </w:rPr>
            </w:pPr>
            <w:r w:rsidRPr="00E711F2">
              <w:rPr>
                <w:rFonts w:eastAsia="Times New Roman" w:cs="Arial"/>
                <w:b/>
                <w:color w:val="000000"/>
                <w:sz w:val="18"/>
                <w:szCs w:val="18"/>
                <w:lang w:val="es-CO" w:eastAsia="es-CO"/>
              </w:rPr>
              <w:t>$5.456.682</w:t>
            </w:r>
          </w:p>
        </w:tc>
      </w:tr>
    </w:tbl>
    <w:p w:rsidR="001626D1" w:rsidRPr="00596978" w:rsidRDefault="001626D1" w:rsidP="001626D1">
      <w:pPr>
        <w:spacing w:after="0" w:line="240" w:lineRule="auto"/>
        <w:ind w:left="7080" w:firstLine="708"/>
        <w:jc w:val="center"/>
        <w:rPr>
          <w:rFonts w:cs="Arial"/>
        </w:rPr>
      </w:pPr>
    </w:p>
    <w:p w:rsidR="001626D1" w:rsidRPr="00596978" w:rsidRDefault="001626D1" w:rsidP="001626D1">
      <w:pPr>
        <w:spacing w:after="0" w:line="240" w:lineRule="auto"/>
        <w:jc w:val="both"/>
        <w:rPr>
          <w:rFonts w:cs="Arial"/>
        </w:rPr>
      </w:pPr>
      <w:r>
        <w:rPr>
          <w:rFonts w:cs="Arial"/>
        </w:rPr>
        <w:t>Del</w:t>
      </w:r>
      <w:r w:rsidRPr="00596978">
        <w:rPr>
          <w:rFonts w:cs="Arial"/>
        </w:rPr>
        <w:t xml:space="preserve"> presupuesto asignado al ICBF para la vigencia 2016  corresponde un 6</w:t>
      </w:r>
      <w:r>
        <w:rPr>
          <w:rFonts w:cs="Arial"/>
        </w:rPr>
        <w:t>5</w:t>
      </w:r>
      <w:r w:rsidRPr="00596978">
        <w:rPr>
          <w:rFonts w:cs="Arial"/>
        </w:rPr>
        <w:t xml:space="preserve">% a la Dirección de Primera Infancia, </w:t>
      </w:r>
      <w:r>
        <w:rPr>
          <w:rFonts w:cs="Arial"/>
        </w:rPr>
        <w:t xml:space="preserve">el </w:t>
      </w:r>
      <w:r w:rsidRPr="00596978">
        <w:rPr>
          <w:rFonts w:cs="Arial"/>
        </w:rPr>
        <w:t>1</w:t>
      </w:r>
      <w:r>
        <w:rPr>
          <w:rFonts w:cs="Arial"/>
        </w:rPr>
        <w:t>7</w:t>
      </w:r>
      <w:r w:rsidRPr="00596978">
        <w:rPr>
          <w:rFonts w:cs="Arial"/>
        </w:rPr>
        <w:t xml:space="preserve">% a la Dirección de Protección y </w:t>
      </w:r>
      <w:r>
        <w:rPr>
          <w:rFonts w:cs="Arial"/>
        </w:rPr>
        <w:t>el 5</w:t>
      </w:r>
      <w:r w:rsidRPr="00596978">
        <w:rPr>
          <w:rFonts w:cs="Arial"/>
        </w:rPr>
        <w:t>% a la Dirección</w:t>
      </w:r>
      <w:r>
        <w:rPr>
          <w:rFonts w:cs="Arial"/>
        </w:rPr>
        <w:t xml:space="preserve"> de Gestión Humana, mientras que el 13% restante se </w:t>
      </w:r>
      <w:r w:rsidRPr="00C52061">
        <w:rPr>
          <w:rFonts w:cs="Arial"/>
        </w:rPr>
        <w:t>distribuyó entre los demás áreas de la</w:t>
      </w:r>
      <w:r>
        <w:rPr>
          <w:rFonts w:cs="Arial"/>
        </w:rPr>
        <w:t xml:space="preserve"> Direcció</w:t>
      </w:r>
      <w:r w:rsidRPr="00C52061">
        <w:rPr>
          <w:rFonts w:cs="Arial"/>
        </w:rPr>
        <w:t>n General</w:t>
      </w:r>
    </w:p>
    <w:p w:rsidR="001626D1" w:rsidRPr="00551813" w:rsidRDefault="001626D1" w:rsidP="00D712DC">
      <w:pPr>
        <w:pStyle w:val="Prrafodelista"/>
        <w:numPr>
          <w:ilvl w:val="1"/>
          <w:numId w:val="11"/>
        </w:numPr>
        <w:spacing w:after="0" w:line="240" w:lineRule="auto"/>
        <w:jc w:val="both"/>
        <w:outlineLvl w:val="1"/>
        <w:rPr>
          <w:rFonts w:cs="Arial"/>
          <w:b/>
        </w:rPr>
      </w:pPr>
      <w:bookmarkStart w:id="9" w:name="_Toc473581393"/>
      <w:r>
        <w:rPr>
          <w:rFonts w:cs="Arial"/>
          <w:b/>
        </w:rPr>
        <w:lastRenderedPageBreak/>
        <w:t>C</w:t>
      </w:r>
      <w:r w:rsidRPr="00551813">
        <w:rPr>
          <w:rFonts w:cs="Arial"/>
          <w:b/>
        </w:rPr>
        <w:t>omportamiento Proyectos de Inversión</w:t>
      </w:r>
      <w:bookmarkEnd w:id="9"/>
      <w:r w:rsidRPr="00551813">
        <w:rPr>
          <w:rFonts w:cs="Arial"/>
          <w:b/>
        </w:rPr>
        <w:t xml:space="preserve"> </w:t>
      </w:r>
    </w:p>
    <w:p w:rsidR="001626D1" w:rsidRPr="00551813" w:rsidRDefault="001626D1" w:rsidP="001626D1">
      <w:pPr>
        <w:pStyle w:val="Prrafodelista"/>
        <w:spacing w:after="0" w:line="240" w:lineRule="auto"/>
        <w:ind w:left="7163" w:firstLine="625"/>
        <w:rPr>
          <w:rFonts w:cs="Arial"/>
          <w:sz w:val="14"/>
          <w:szCs w:val="20"/>
        </w:rPr>
      </w:pPr>
      <w:r>
        <w:rPr>
          <w:rFonts w:cs="Arial"/>
          <w:sz w:val="14"/>
          <w:szCs w:val="20"/>
        </w:rPr>
        <w:t xml:space="preserve">              </w:t>
      </w:r>
      <w:r w:rsidRPr="00551813">
        <w:rPr>
          <w:rFonts w:cs="Arial"/>
          <w:sz w:val="14"/>
          <w:szCs w:val="20"/>
        </w:rPr>
        <w:t>En millones de $</w:t>
      </w:r>
    </w:p>
    <w:p w:rsidR="001626D1" w:rsidRPr="001F39BE" w:rsidRDefault="001626D1" w:rsidP="001626D1">
      <w:pPr>
        <w:pStyle w:val="Prrafodelista"/>
        <w:spacing w:after="0" w:line="240" w:lineRule="auto"/>
        <w:ind w:left="7163" w:firstLine="625"/>
        <w:rPr>
          <w:rFonts w:cs="Arial"/>
          <w:sz w:val="18"/>
          <w:szCs w:val="18"/>
        </w:rPr>
      </w:pPr>
    </w:p>
    <w:tbl>
      <w:tblPr>
        <w:tblW w:w="4977"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1272"/>
        <w:gridCol w:w="2271"/>
        <w:gridCol w:w="991"/>
        <w:gridCol w:w="991"/>
        <w:gridCol w:w="851"/>
        <w:gridCol w:w="995"/>
        <w:gridCol w:w="995"/>
        <w:gridCol w:w="986"/>
      </w:tblGrid>
      <w:tr w:rsidR="001F39BE" w:rsidRPr="005174D0" w:rsidTr="00E2490B">
        <w:trPr>
          <w:trHeight w:val="470"/>
          <w:tblHeader/>
          <w:jc w:val="center"/>
        </w:trPr>
        <w:tc>
          <w:tcPr>
            <w:tcW w:w="680"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Rubro</w:t>
            </w:r>
          </w:p>
        </w:tc>
        <w:tc>
          <w:tcPr>
            <w:tcW w:w="1214"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Descripción</w:t>
            </w:r>
          </w:p>
        </w:tc>
        <w:tc>
          <w:tcPr>
            <w:tcW w:w="530"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Apr. Vig</w:t>
            </w:r>
          </w:p>
        </w:tc>
        <w:tc>
          <w:tcPr>
            <w:tcW w:w="530" w:type="pct"/>
            <w:shd w:val="clear" w:color="auto" w:fill="76923C" w:themeFill="accent3" w:themeFillShade="BF"/>
            <w:vAlign w:val="center"/>
            <w:hideMark/>
          </w:tcPr>
          <w:p w:rsidR="001626D1" w:rsidRPr="005174D0" w:rsidRDefault="00C51ADD" w:rsidP="00C51ADD">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CDP</w:t>
            </w:r>
          </w:p>
        </w:tc>
        <w:tc>
          <w:tcPr>
            <w:tcW w:w="455"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Apr. Disp.</w:t>
            </w:r>
          </w:p>
        </w:tc>
        <w:tc>
          <w:tcPr>
            <w:tcW w:w="532"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Comp.</w:t>
            </w:r>
          </w:p>
        </w:tc>
        <w:tc>
          <w:tcPr>
            <w:tcW w:w="532"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Obli.</w:t>
            </w:r>
          </w:p>
        </w:tc>
        <w:tc>
          <w:tcPr>
            <w:tcW w:w="528" w:type="pct"/>
            <w:shd w:val="clear" w:color="auto" w:fill="76923C" w:themeFill="accent3" w:themeFillShade="BF"/>
            <w:vAlign w:val="center"/>
            <w:hideMark/>
          </w:tcPr>
          <w:p w:rsidR="001626D1" w:rsidRPr="005174D0" w:rsidRDefault="00C51ADD" w:rsidP="00536E30">
            <w:pPr>
              <w:spacing w:after="0" w:line="240" w:lineRule="auto"/>
              <w:jc w:val="center"/>
              <w:rPr>
                <w:rFonts w:eastAsia="Times New Roman" w:cs="Arial"/>
                <w:b/>
                <w:bCs/>
                <w:color w:val="FFFFFF" w:themeColor="background1"/>
                <w:sz w:val="16"/>
                <w:szCs w:val="16"/>
                <w:lang w:val="es-CO" w:eastAsia="es-CO"/>
              </w:rPr>
            </w:pPr>
            <w:r w:rsidRPr="005174D0">
              <w:rPr>
                <w:rFonts w:eastAsia="Times New Roman" w:cs="Arial"/>
                <w:b/>
                <w:bCs/>
                <w:color w:val="FFFFFF" w:themeColor="background1"/>
                <w:sz w:val="16"/>
                <w:szCs w:val="16"/>
                <w:lang w:val="es-CO" w:eastAsia="es-CO"/>
              </w:rPr>
              <w:t>Pagos</w:t>
            </w:r>
          </w:p>
        </w:tc>
      </w:tr>
      <w:tr w:rsidR="001F39BE" w:rsidRPr="005174D0" w:rsidTr="00C51ADD">
        <w:trPr>
          <w:trHeight w:val="537"/>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C-111-1500-1</w:t>
            </w:r>
          </w:p>
        </w:tc>
        <w:tc>
          <w:tcPr>
            <w:tcW w:w="1214" w:type="pct"/>
            <w:shd w:val="clear" w:color="auto" w:fill="auto"/>
            <w:vAlign w:val="center"/>
            <w:hideMark/>
          </w:tcPr>
          <w:p w:rsidR="001626D1" w:rsidRPr="005174D0" w:rsidRDefault="00C51ADD" w:rsidP="00C51ADD">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Construcción y adecuación de infraestructura para la operación del ICBF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$37.872</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$37.738</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$134</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$37.738</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$32.137</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$22.817</w:t>
            </w:r>
          </w:p>
        </w:tc>
      </w:tr>
      <w:tr w:rsidR="001F39BE" w:rsidRPr="005174D0" w:rsidTr="00C51ADD">
        <w:trPr>
          <w:trHeight w:val="853"/>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C-111-1500-2</w:t>
            </w:r>
          </w:p>
        </w:tc>
        <w:tc>
          <w:tcPr>
            <w:tcW w:w="1214" w:type="pct"/>
            <w:shd w:val="clear" w:color="auto" w:fill="auto"/>
            <w:vAlign w:val="center"/>
            <w:hideMark/>
          </w:tcPr>
          <w:p w:rsidR="001626D1" w:rsidRPr="005174D0" w:rsidRDefault="00C51ADD" w:rsidP="00C51ADD">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Construcción y adecuación de infraestructura para la operación del ICBF a nivel nacional - pagos pasivos exigibles vigencia expirada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$15</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$15</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$15</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r>
      <w:tr w:rsidR="001F39BE" w:rsidRPr="005174D0" w:rsidTr="00C51ADD">
        <w:trPr>
          <w:trHeight w:val="547"/>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C-223-300-1</w:t>
            </w:r>
          </w:p>
        </w:tc>
        <w:tc>
          <w:tcPr>
            <w:tcW w:w="1214" w:type="pct"/>
            <w:shd w:val="clear" w:color="auto" w:fill="auto"/>
            <w:vAlign w:val="center"/>
            <w:hideMark/>
          </w:tcPr>
          <w:p w:rsidR="001626D1" w:rsidRPr="005174D0" w:rsidRDefault="00C51ADD" w:rsidP="00C51ADD">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Implementación del plan estratégico de desarrollo informático y tecnológico del ICBF</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$51.363</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$51.059</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$304</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$51.059</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$45.535</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$42.292</w:t>
            </w:r>
          </w:p>
        </w:tc>
      </w:tr>
      <w:tr w:rsidR="001F39BE" w:rsidRPr="005174D0" w:rsidTr="00C51ADD">
        <w:trPr>
          <w:trHeight w:val="715"/>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Aplicación de la promoción y fomento para la construcción de una cultura de los derechos de la niñez y la familia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$6.892</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$6.885</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$6.885</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$6.786</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$5.420</w:t>
            </w:r>
          </w:p>
        </w:tc>
      </w:tr>
      <w:tr w:rsidR="001F39BE" w:rsidRPr="005174D0" w:rsidTr="00C51ADD">
        <w:trPr>
          <w:trHeight w:val="345"/>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C-320-1504-4</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Asistencia a la primera infancia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$3.561.105</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$3.545.918</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$15.188</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$3.545.913</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$3.497.206</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$3.443.135</w:t>
            </w:r>
          </w:p>
        </w:tc>
      </w:tr>
      <w:tr w:rsidR="001F39BE" w:rsidRPr="005174D0" w:rsidTr="00C51ADD">
        <w:trPr>
          <w:trHeight w:val="521"/>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C-320-1504-6</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Apoyo formativo a la familia para ser garante de derechos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$76.962</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$76.832</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$130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$76.832</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$74.829</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$73.551</w:t>
            </w:r>
          </w:p>
        </w:tc>
      </w:tr>
      <w:tr w:rsidR="001F39BE" w:rsidRPr="005174D0" w:rsidTr="00C51ADD">
        <w:trPr>
          <w:trHeight w:val="628"/>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C-320-1504-7</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Protección -acciones para preservar y restituir el ejercicio integral de los derechos de la niñez y la familia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$906.851</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$899.790</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$7.060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$899.790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$875.434</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$826.942</w:t>
            </w:r>
          </w:p>
        </w:tc>
      </w:tr>
      <w:tr w:rsidR="001F39BE" w:rsidRPr="005174D0" w:rsidTr="00C51ADD">
        <w:trPr>
          <w:trHeight w:val="552"/>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C-320-1504-11</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Prevención y promoción para la protección integral de los derechos de la niñez y adolescencia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$74.324</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$74.074</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$249</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$74.074</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$71.590</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$70.293</w:t>
            </w:r>
          </w:p>
        </w:tc>
      </w:tr>
      <w:tr w:rsidR="001F39BE" w:rsidRPr="005174D0" w:rsidTr="00C51ADD">
        <w:trPr>
          <w:trHeight w:val="623"/>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C-320-1504-13</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Desarrollar acciones de promoción y prevención en el marco de la política de seguridad alimentaria y nutricional en el territorio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$175.276</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$172.179</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$3.097</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$172.179</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$166.433</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$146.930</w:t>
            </w:r>
          </w:p>
        </w:tc>
      </w:tr>
      <w:tr w:rsidR="001F39BE" w:rsidRPr="005174D0" w:rsidTr="00C51ADD">
        <w:trPr>
          <w:trHeight w:val="755"/>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C-320-1504-15</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Apoyo nutricional a la niñez y adolescencia registrados en matricula oficial a nivel nacional - pagos pasivos exigibles vigencia expirada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$927</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$927</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$927</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$43</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r>
      <w:tr w:rsidR="001F39BE" w:rsidRPr="005174D0" w:rsidTr="00C51ADD">
        <w:trPr>
          <w:trHeight w:val="573"/>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C-320-1504-17</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Apoyo formativo a la familia para ser garante de derechos a nivel nacional - pagos pasivos exigibles vigencia expirada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$34</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$34</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$34</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$28</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r>
      <w:tr w:rsidR="001F39BE" w:rsidRPr="005174D0" w:rsidTr="00C51ADD">
        <w:trPr>
          <w:trHeight w:val="809"/>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C-320-1504-18</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Protección - acciones para preservar y restituir el ejercicio integral de los derechos de la niñez y la familia - pagos pasivos exigibles vigencia expirada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$2.137</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$2.137</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$2.137</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$2.137</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r>
      <w:tr w:rsidR="001F39BE" w:rsidRPr="005174D0" w:rsidTr="00C51ADD">
        <w:trPr>
          <w:trHeight w:val="282"/>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C-410-300-6</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 xml:space="preserve">Estudios sociales operativos y administrativos para </w:t>
            </w:r>
            <w:r w:rsidRPr="005174D0">
              <w:rPr>
                <w:rFonts w:eastAsia="Times New Roman" w:cs="Arial"/>
                <w:color w:val="000000"/>
                <w:sz w:val="16"/>
                <w:szCs w:val="16"/>
                <w:lang w:val="es-CO" w:eastAsia="es-CO"/>
              </w:rPr>
              <w:lastRenderedPageBreak/>
              <w:t>mejorar la gestión institucional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lastRenderedPageBreak/>
              <w:t>$7.000</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$7.000</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$7.000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$6.984</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$6.377</w:t>
            </w:r>
          </w:p>
        </w:tc>
      </w:tr>
      <w:tr w:rsidR="001F39BE" w:rsidRPr="005174D0" w:rsidTr="00C51ADD">
        <w:trPr>
          <w:trHeight w:val="433"/>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lastRenderedPageBreak/>
              <w:t>C-520-1500-1</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Asistencia al modelo de intervención social del ICBF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$180.990</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$179.804</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$1.186</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$179.804</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$174.707</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$172.697</w:t>
            </w:r>
          </w:p>
        </w:tc>
      </w:tr>
      <w:tr w:rsidR="001F39BE" w:rsidRPr="005174D0" w:rsidTr="00C51ADD">
        <w:trPr>
          <w:trHeight w:val="417"/>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C-520-1500-2</w:t>
            </w:r>
          </w:p>
        </w:tc>
        <w:tc>
          <w:tcPr>
            <w:tcW w:w="1214" w:type="pct"/>
            <w:shd w:val="clear" w:color="auto" w:fill="auto"/>
            <w:vAlign w:val="center"/>
            <w:hideMark/>
          </w:tcPr>
          <w:p w:rsidR="001626D1" w:rsidRPr="005174D0" w:rsidRDefault="00C51ADD"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Fortalecimiento del sistema nacional de bienestar familiar a nivel nacional</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$14.560</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$14.298</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$262</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$14.298</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$14.009</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$13.086</w:t>
            </w:r>
          </w:p>
        </w:tc>
      </w:tr>
      <w:tr w:rsidR="001F39BE" w:rsidRPr="005174D0" w:rsidTr="00C51ADD">
        <w:trPr>
          <w:trHeight w:val="715"/>
          <w:jc w:val="center"/>
        </w:trPr>
        <w:tc>
          <w:tcPr>
            <w:tcW w:w="680" w:type="pct"/>
            <w:shd w:val="clear" w:color="auto" w:fill="auto"/>
            <w:vAlign w:val="center"/>
            <w:hideMark/>
          </w:tcPr>
          <w:p w:rsidR="001626D1" w:rsidRPr="005174D0" w:rsidRDefault="001626D1" w:rsidP="00536E30">
            <w:pPr>
              <w:spacing w:after="0" w:line="240" w:lineRule="auto"/>
              <w:rPr>
                <w:rFonts w:eastAsia="Times New Roman" w:cs="Arial"/>
                <w:b/>
                <w:bCs/>
                <w:color w:val="000000"/>
                <w:sz w:val="16"/>
                <w:szCs w:val="16"/>
                <w:lang w:val="es-CO" w:eastAsia="es-CO"/>
              </w:rPr>
            </w:pPr>
            <w:r w:rsidRPr="005174D0">
              <w:rPr>
                <w:rFonts w:eastAsia="Times New Roman" w:cs="Arial"/>
                <w:b/>
                <w:bCs/>
                <w:color w:val="000000"/>
                <w:sz w:val="16"/>
                <w:szCs w:val="16"/>
                <w:lang w:val="es-CO" w:eastAsia="es-CO"/>
              </w:rPr>
              <w:t>C-520-1500-3</w:t>
            </w:r>
          </w:p>
        </w:tc>
        <w:tc>
          <w:tcPr>
            <w:tcW w:w="1214" w:type="pct"/>
            <w:shd w:val="clear" w:color="auto" w:fill="auto"/>
            <w:vAlign w:val="center"/>
            <w:hideMark/>
          </w:tcPr>
          <w:p w:rsidR="001626D1" w:rsidRPr="005174D0" w:rsidRDefault="001626D1" w:rsidP="00536E30">
            <w:pPr>
              <w:spacing w:after="0" w:line="240" w:lineRule="auto"/>
              <w:rPr>
                <w:rFonts w:eastAsia="Times New Roman" w:cs="Arial"/>
                <w:color w:val="000000"/>
                <w:sz w:val="16"/>
                <w:szCs w:val="16"/>
                <w:lang w:val="es-CO" w:eastAsia="es-CO"/>
              </w:rPr>
            </w:pPr>
            <w:r w:rsidRPr="005174D0">
              <w:rPr>
                <w:rFonts w:eastAsia="Times New Roman" w:cs="Arial"/>
                <w:color w:val="000000"/>
                <w:sz w:val="16"/>
                <w:szCs w:val="16"/>
                <w:lang w:val="es-CO" w:eastAsia="es-CO"/>
              </w:rPr>
              <w:t>A</w:t>
            </w:r>
            <w:r w:rsidR="00C51ADD" w:rsidRPr="005174D0">
              <w:rPr>
                <w:rFonts w:eastAsia="Times New Roman" w:cs="Arial"/>
                <w:color w:val="000000"/>
                <w:sz w:val="16"/>
                <w:szCs w:val="16"/>
                <w:lang w:val="es-CO" w:eastAsia="es-CO"/>
              </w:rPr>
              <w:t>sistencia al modelo de intervención social del ICBF a nivel nacional - pago pasivos exigibles vigencia expirada</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$11</w:t>
            </w:r>
          </w:p>
        </w:tc>
        <w:tc>
          <w:tcPr>
            <w:tcW w:w="530"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$11</w:t>
            </w:r>
          </w:p>
        </w:tc>
        <w:tc>
          <w:tcPr>
            <w:tcW w:w="455"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$11</w:t>
            </w:r>
          </w:p>
        </w:tc>
        <w:tc>
          <w:tcPr>
            <w:tcW w:w="532"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c>
          <w:tcPr>
            <w:tcW w:w="528" w:type="pct"/>
            <w:shd w:val="clear" w:color="auto" w:fill="auto"/>
            <w:vAlign w:val="center"/>
            <w:hideMark/>
          </w:tcPr>
          <w:p w:rsidR="001626D1" w:rsidRPr="005174D0" w:rsidRDefault="001626D1" w:rsidP="00536E30">
            <w:pPr>
              <w:spacing w:after="0" w:line="240" w:lineRule="auto"/>
              <w:jc w:val="right"/>
              <w:rPr>
                <w:rFonts w:eastAsia="Times New Roman" w:cs="Arial"/>
                <w:color w:val="000000"/>
                <w:sz w:val="16"/>
                <w:szCs w:val="16"/>
                <w:lang w:val="es-CO" w:eastAsia="es-CO"/>
              </w:rPr>
            </w:pPr>
            <w:r w:rsidRPr="005174D0">
              <w:rPr>
                <w:rFonts w:eastAsia="Times New Roman" w:cs="Arial"/>
                <w:color w:val="000000"/>
                <w:sz w:val="16"/>
                <w:szCs w:val="16"/>
                <w:lang w:val="es-CO" w:eastAsia="es-CO"/>
              </w:rPr>
              <w:t>$0</w:t>
            </w:r>
          </w:p>
        </w:tc>
      </w:tr>
      <w:tr w:rsidR="001F39BE" w:rsidRPr="005174D0" w:rsidTr="00C51ADD">
        <w:trPr>
          <w:trHeight w:val="315"/>
          <w:jc w:val="center"/>
        </w:trPr>
        <w:tc>
          <w:tcPr>
            <w:tcW w:w="1893" w:type="pct"/>
            <w:gridSpan w:val="2"/>
            <w:shd w:val="clear" w:color="auto" w:fill="E2EFDA"/>
            <w:vAlign w:val="center"/>
            <w:hideMark/>
          </w:tcPr>
          <w:p w:rsidR="001626D1" w:rsidRPr="005174D0" w:rsidRDefault="001626D1" w:rsidP="00536E30">
            <w:pPr>
              <w:spacing w:after="0" w:line="240" w:lineRule="auto"/>
              <w:jc w:val="center"/>
              <w:rPr>
                <w:rFonts w:eastAsia="Times New Roman" w:cs="Arial"/>
                <w:b/>
                <w:color w:val="000000"/>
                <w:sz w:val="16"/>
                <w:szCs w:val="16"/>
                <w:lang w:val="es-CO" w:eastAsia="es-CO"/>
              </w:rPr>
            </w:pPr>
            <w:r w:rsidRPr="005174D0">
              <w:rPr>
                <w:rFonts w:eastAsia="Times New Roman" w:cs="Arial"/>
                <w:b/>
                <w:bCs/>
                <w:color w:val="000000"/>
                <w:sz w:val="16"/>
                <w:szCs w:val="16"/>
                <w:lang w:val="es-CO" w:eastAsia="es-CO"/>
              </w:rPr>
              <w:t>TOTAL</w:t>
            </w:r>
          </w:p>
        </w:tc>
        <w:tc>
          <w:tcPr>
            <w:tcW w:w="530"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$5.096.320</w:t>
            </w:r>
          </w:p>
        </w:tc>
        <w:tc>
          <w:tcPr>
            <w:tcW w:w="530"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$5.068.703</w:t>
            </w:r>
          </w:p>
        </w:tc>
        <w:tc>
          <w:tcPr>
            <w:tcW w:w="455"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$27.617</w:t>
            </w:r>
          </w:p>
        </w:tc>
        <w:tc>
          <w:tcPr>
            <w:tcW w:w="532"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$5.068.698</w:t>
            </w:r>
          </w:p>
        </w:tc>
        <w:tc>
          <w:tcPr>
            <w:tcW w:w="532"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$4.967.859</w:t>
            </w:r>
          </w:p>
        </w:tc>
        <w:tc>
          <w:tcPr>
            <w:tcW w:w="528" w:type="pct"/>
            <w:shd w:val="clear" w:color="auto" w:fill="E2EFDA"/>
            <w:vAlign w:val="center"/>
            <w:hideMark/>
          </w:tcPr>
          <w:p w:rsidR="001626D1" w:rsidRPr="005174D0" w:rsidRDefault="001626D1" w:rsidP="00536E30">
            <w:pPr>
              <w:spacing w:after="0" w:line="240" w:lineRule="auto"/>
              <w:jc w:val="right"/>
              <w:rPr>
                <w:rFonts w:eastAsia="Times New Roman" w:cs="Arial"/>
                <w:b/>
                <w:color w:val="000000"/>
                <w:sz w:val="16"/>
                <w:szCs w:val="16"/>
                <w:lang w:val="es-CO" w:eastAsia="es-CO"/>
              </w:rPr>
            </w:pPr>
            <w:r w:rsidRPr="005174D0">
              <w:rPr>
                <w:rFonts w:eastAsia="Times New Roman" w:cs="Arial"/>
                <w:b/>
                <w:color w:val="000000"/>
                <w:sz w:val="16"/>
                <w:szCs w:val="16"/>
                <w:lang w:val="es-CO" w:eastAsia="es-CO"/>
              </w:rPr>
              <w:t>$4.823.540</w:t>
            </w:r>
          </w:p>
        </w:tc>
      </w:tr>
    </w:tbl>
    <w:p w:rsidR="001626D1" w:rsidRDefault="001626D1" w:rsidP="001626D1">
      <w:pPr>
        <w:pStyle w:val="Prrafodelista"/>
        <w:spacing w:after="0" w:line="240" w:lineRule="auto"/>
        <w:ind w:left="7163" w:firstLine="625"/>
        <w:rPr>
          <w:rFonts w:cs="Arial"/>
          <w:sz w:val="20"/>
          <w:szCs w:val="20"/>
        </w:rPr>
      </w:pPr>
    </w:p>
    <w:p w:rsidR="001626D1" w:rsidRDefault="001626D1" w:rsidP="001626D1">
      <w:pPr>
        <w:pStyle w:val="Prrafodelista"/>
        <w:spacing w:after="0" w:line="240" w:lineRule="auto"/>
        <w:ind w:left="7163" w:firstLine="625"/>
        <w:rPr>
          <w:rFonts w:cs="Arial"/>
          <w:sz w:val="20"/>
          <w:szCs w:val="20"/>
        </w:rPr>
      </w:pPr>
    </w:p>
    <w:p w:rsidR="001626D1" w:rsidRPr="00946B04" w:rsidRDefault="001626D1" w:rsidP="001626D1">
      <w:pPr>
        <w:spacing w:after="0" w:line="240" w:lineRule="auto"/>
        <w:jc w:val="both"/>
        <w:rPr>
          <w:rFonts w:cs="Arial"/>
        </w:rPr>
      </w:pPr>
      <w:r w:rsidRPr="00C52061">
        <w:rPr>
          <w:rFonts w:cs="Arial"/>
        </w:rPr>
        <w:t>Teniendo en cuenta que la Apropiación a Ejecutar para los Proyectos de Inversión ascendió  a la suma de $5.096.320 millones, se evidencia que a 31 de diciembre de 2016 se generaron CDP por el 99% del presupuesto, se comprometió el 99</w:t>
      </w:r>
      <w:r>
        <w:rPr>
          <w:rFonts w:cs="Arial"/>
        </w:rPr>
        <w:t>,5</w:t>
      </w:r>
      <w:r w:rsidRPr="00C52061">
        <w:rPr>
          <w:rFonts w:cs="Arial"/>
        </w:rPr>
        <w:t>%, obligó el 97</w:t>
      </w:r>
      <w:r>
        <w:rPr>
          <w:rFonts w:cs="Arial"/>
        </w:rPr>
        <w:t>,5</w:t>
      </w:r>
      <w:r w:rsidRPr="00C52061">
        <w:rPr>
          <w:rFonts w:cs="Arial"/>
        </w:rPr>
        <w:t>% y pagó el 9</w:t>
      </w:r>
      <w:r>
        <w:rPr>
          <w:rFonts w:cs="Arial"/>
        </w:rPr>
        <w:t>4,7</w:t>
      </w:r>
      <w:r w:rsidRPr="00C52061">
        <w:rPr>
          <w:rFonts w:cs="Arial"/>
        </w:rPr>
        <w:t xml:space="preserve">%. </w:t>
      </w:r>
      <w:r>
        <w:rPr>
          <w:rFonts w:cs="Arial"/>
        </w:rPr>
        <w:t>Q</w:t>
      </w:r>
      <w:r w:rsidRPr="00C52061">
        <w:rPr>
          <w:rFonts w:cs="Arial"/>
        </w:rPr>
        <w:t>ued</w:t>
      </w:r>
      <w:r w:rsidR="00330A68">
        <w:rPr>
          <w:rFonts w:cs="Arial"/>
        </w:rPr>
        <w:t>ando</w:t>
      </w:r>
      <w:r w:rsidRPr="00C52061">
        <w:rPr>
          <w:rFonts w:cs="Arial"/>
        </w:rPr>
        <w:t xml:space="preserve"> una apropiación disponible equivalente al </w:t>
      </w:r>
      <w:r>
        <w:rPr>
          <w:rFonts w:cs="Arial"/>
        </w:rPr>
        <w:t>0,5</w:t>
      </w:r>
      <w:r w:rsidRPr="00C52061">
        <w:rPr>
          <w:rFonts w:cs="Arial"/>
        </w:rPr>
        <w:t>% del presupuesto asignado a los proyectos de inversión</w:t>
      </w:r>
      <w:r w:rsidRPr="00946B04">
        <w:rPr>
          <w:rFonts w:cs="Arial"/>
        </w:rPr>
        <w:t>.</w:t>
      </w:r>
    </w:p>
    <w:p w:rsidR="001626D1" w:rsidRDefault="001626D1" w:rsidP="001626D1">
      <w:pPr>
        <w:spacing w:after="0" w:line="240" w:lineRule="auto"/>
        <w:jc w:val="both"/>
        <w:rPr>
          <w:rFonts w:cs="Arial"/>
        </w:rPr>
      </w:pPr>
      <w:r w:rsidRPr="00946B04">
        <w:rPr>
          <w:rFonts w:cs="Arial"/>
        </w:rPr>
        <w:t xml:space="preserve"> </w:t>
      </w:r>
    </w:p>
    <w:p w:rsidR="00DA54E3" w:rsidRPr="00946B04" w:rsidRDefault="00DA54E3" w:rsidP="001626D1">
      <w:pPr>
        <w:spacing w:after="0" w:line="240" w:lineRule="auto"/>
        <w:jc w:val="both"/>
        <w:rPr>
          <w:rFonts w:cs="Arial"/>
        </w:rPr>
      </w:pPr>
    </w:p>
    <w:p w:rsidR="001626D1" w:rsidRPr="00946B04" w:rsidRDefault="001626D1" w:rsidP="00D712DC">
      <w:pPr>
        <w:pStyle w:val="Ttulo2"/>
        <w:numPr>
          <w:ilvl w:val="1"/>
          <w:numId w:val="11"/>
        </w:numPr>
        <w:rPr>
          <w:rFonts w:cs="Arial"/>
          <w:b/>
          <w:szCs w:val="20"/>
          <w:lang w:eastAsia="es-ES"/>
        </w:rPr>
      </w:pPr>
      <w:bookmarkStart w:id="10" w:name="_Toc473581394"/>
      <w:r w:rsidRPr="00946B04">
        <w:rPr>
          <w:rFonts w:cs="Arial"/>
          <w:b/>
        </w:rPr>
        <w:t xml:space="preserve">Reservas </w:t>
      </w:r>
      <w:r>
        <w:rPr>
          <w:rFonts w:cs="Arial"/>
          <w:b/>
        </w:rPr>
        <w:t>P</w:t>
      </w:r>
      <w:r w:rsidRPr="00946B04">
        <w:rPr>
          <w:rFonts w:cs="Arial"/>
          <w:b/>
        </w:rPr>
        <w:t>resupuestales ICBF</w:t>
      </w:r>
      <w:bookmarkEnd w:id="10"/>
    </w:p>
    <w:p w:rsidR="001626D1" w:rsidRPr="00946B04" w:rsidRDefault="001626D1" w:rsidP="001626D1">
      <w:pPr>
        <w:spacing w:after="0" w:line="240" w:lineRule="auto"/>
        <w:jc w:val="both"/>
        <w:rPr>
          <w:rFonts w:cs="Arial"/>
        </w:rPr>
      </w:pPr>
    </w:p>
    <w:p w:rsidR="00977F9E" w:rsidRDefault="00977F9E" w:rsidP="00977F9E">
      <w:pPr>
        <w:spacing w:after="0" w:line="240" w:lineRule="auto"/>
        <w:jc w:val="both"/>
        <w:rPr>
          <w:rFonts w:cs="Arial"/>
        </w:rPr>
      </w:pPr>
      <w:r w:rsidRPr="00946B04">
        <w:rPr>
          <w:rFonts w:cs="Arial"/>
        </w:rPr>
        <w:t>A 31 de diciembre de 201</w:t>
      </w:r>
      <w:r>
        <w:rPr>
          <w:rFonts w:cs="Arial"/>
        </w:rPr>
        <w:t>5</w:t>
      </w:r>
      <w:r w:rsidRPr="00946B04">
        <w:rPr>
          <w:rFonts w:cs="Arial"/>
        </w:rPr>
        <w:t xml:space="preserve">, el Instituto Colombiano de Bienestar Familiar constituyó $86.992 millones como Reservas Presupuestales. Posteriormente, trasladó $79.884 millones que equivalen al </w:t>
      </w:r>
      <w:r>
        <w:rPr>
          <w:rFonts w:cs="Arial"/>
        </w:rPr>
        <w:t>1,5</w:t>
      </w:r>
      <w:r w:rsidRPr="00946B04">
        <w:rPr>
          <w:rFonts w:cs="Arial"/>
        </w:rPr>
        <w:t xml:space="preserve">% del presupuesto asignado para la vigencia en comento. </w:t>
      </w:r>
    </w:p>
    <w:p w:rsidR="00977F9E" w:rsidRDefault="00977F9E" w:rsidP="00977F9E">
      <w:pPr>
        <w:spacing w:after="0" w:line="240" w:lineRule="auto"/>
        <w:jc w:val="both"/>
        <w:rPr>
          <w:rFonts w:cs="Arial"/>
        </w:rPr>
      </w:pPr>
    </w:p>
    <w:p w:rsidR="00977F9E" w:rsidRDefault="00977F9E" w:rsidP="00977F9E">
      <w:pPr>
        <w:spacing w:after="0" w:line="240" w:lineRule="auto"/>
        <w:ind w:left="5664" w:firstLine="708"/>
        <w:rPr>
          <w:rFonts w:cs="Arial"/>
          <w:sz w:val="20"/>
          <w:szCs w:val="20"/>
        </w:rPr>
      </w:pPr>
      <w:r w:rsidRPr="00946B04">
        <w:rPr>
          <w:rFonts w:cs="Arial"/>
          <w:sz w:val="20"/>
          <w:szCs w:val="20"/>
        </w:rPr>
        <w:t xml:space="preserve"> </w:t>
      </w:r>
      <w:r>
        <w:rPr>
          <w:rFonts w:cs="Arial"/>
          <w:sz w:val="20"/>
          <w:szCs w:val="20"/>
        </w:rPr>
        <w:tab/>
      </w:r>
      <w:r w:rsidR="005174D0">
        <w:rPr>
          <w:rFonts w:cs="Arial"/>
          <w:sz w:val="20"/>
          <w:szCs w:val="20"/>
        </w:rPr>
        <w:t xml:space="preserve">    </w:t>
      </w:r>
      <w:r w:rsidR="00E32071">
        <w:rPr>
          <w:rFonts w:cs="Arial"/>
          <w:sz w:val="20"/>
          <w:szCs w:val="20"/>
        </w:rPr>
        <w:t xml:space="preserve">     </w:t>
      </w:r>
      <w:r w:rsidRPr="00551813">
        <w:rPr>
          <w:rFonts w:cs="Arial"/>
          <w:sz w:val="18"/>
          <w:szCs w:val="20"/>
        </w:rPr>
        <w:t>En millones de $</w:t>
      </w:r>
    </w:p>
    <w:tbl>
      <w:tblPr>
        <w:tblW w:w="842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384"/>
        <w:gridCol w:w="1593"/>
        <w:gridCol w:w="1701"/>
        <w:gridCol w:w="1417"/>
        <w:gridCol w:w="1134"/>
        <w:gridCol w:w="1191"/>
      </w:tblGrid>
      <w:tr w:rsidR="00977F9E" w:rsidRPr="00551813" w:rsidTr="00E32071">
        <w:trPr>
          <w:trHeight w:val="525"/>
          <w:jc w:val="center"/>
        </w:trPr>
        <w:tc>
          <w:tcPr>
            <w:tcW w:w="1384" w:type="dxa"/>
            <w:shd w:val="clear" w:color="auto" w:fill="76923C" w:themeFill="accent3" w:themeFillShade="BF"/>
            <w:vAlign w:val="center"/>
            <w:hideMark/>
          </w:tcPr>
          <w:p w:rsidR="00977F9E" w:rsidRPr="005174D0" w:rsidRDefault="005174D0" w:rsidP="00C66FFC">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Trasladada</w:t>
            </w:r>
          </w:p>
        </w:tc>
        <w:tc>
          <w:tcPr>
            <w:tcW w:w="1593" w:type="dxa"/>
            <w:shd w:val="clear" w:color="auto" w:fill="76923C" w:themeFill="accent3" w:themeFillShade="BF"/>
            <w:vAlign w:val="center"/>
            <w:hideMark/>
          </w:tcPr>
          <w:p w:rsidR="00977F9E" w:rsidRPr="005174D0" w:rsidRDefault="005174D0" w:rsidP="00C66FFC">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Modificada</w:t>
            </w:r>
          </w:p>
        </w:tc>
        <w:tc>
          <w:tcPr>
            <w:tcW w:w="1701" w:type="dxa"/>
            <w:shd w:val="clear" w:color="auto" w:fill="76923C" w:themeFill="accent3" w:themeFillShade="BF"/>
            <w:vAlign w:val="center"/>
            <w:hideMark/>
          </w:tcPr>
          <w:p w:rsidR="00977F9E" w:rsidRPr="005174D0" w:rsidRDefault="005174D0" w:rsidP="005174D0">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V</w:t>
            </w:r>
            <w:r>
              <w:rPr>
                <w:rFonts w:eastAsia="Times New Roman" w:cs="Arial"/>
                <w:b/>
                <w:bCs/>
                <w:color w:val="FFFFFF" w:themeColor="background1"/>
                <w:sz w:val="18"/>
                <w:szCs w:val="20"/>
                <w:lang w:val="es-CO" w:eastAsia="es-CO"/>
              </w:rPr>
              <w:t>alor</w:t>
            </w:r>
            <w:r w:rsidRPr="005174D0">
              <w:rPr>
                <w:rFonts w:eastAsia="Times New Roman" w:cs="Arial"/>
                <w:b/>
                <w:bCs/>
                <w:color w:val="FFFFFF" w:themeColor="background1"/>
                <w:sz w:val="18"/>
                <w:szCs w:val="20"/>
                <w:lang w:val="es-CO" w:eastAsia="es-CO"/>
              </w:rPr>
              <w:t xml:space="preserve"> Actual</w:t>
            </w:r>
          </w:p>
        </w:tc>
        <w:tc>
          <w:tcPr>
            <w:tcW w:w="1417" w:type="dxa"/>
            <w:shd w:val="clear" w:color="auto" w:fill="76923C" w:themeFill="accent3" w:themeFillShade="BF"/>
            <w:noWrap/>
            <w:vAlign w:val="center"/>
            <w:hideMark/>
          </w:tcPr>
          <w:p w:rsidR="00977F9E" w:rsidRPr="005174D0" w:rsidRDefault="005174D0" w:rsidP="00C66FFC">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Pagada</w:t>
            </w:r>
          </w:p>
        </w:tc>
        <w:tc>
          <w:tcPr>
            <w:tcW w:w="1134" w:type="dxa"/>
            <w:shd w:val="clear" w:color="auto" w:fill="76923C" w:themeFill="accent3" w:themeFillShade="BF"/>
            <w:noWrap/>
            <w:vAlign w:val="center"/>
            <w:hideMark/>
          </w:tcPr>
          <w:p w:rsidR="00977F9E" w:rsidRPr="005174D0" w:rsidRDefault="005174D0" w:rsidP="00C66FFC">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Por Pagar</w:t>
            </w:r>
          </w:p>
        </w:tc>
        <w:tc>
          <w:tcPr>
            <w:tcW w:w="1191" w:type="dxa"/>
            <w:shd w:val="clear" w:color="auto" w:fill="76923C" w:themeFill="accent3" w:themeFillShade="BF"/>
            <w:noWrap/>
            <w:vAlign w:val="center"/>
            <w:hideMark/>
          </w:tcPr>
          <w:p w:rsidR="00977F9E" w:rsidRPr="005174D0" w:rsidRDefault="005174D0" w:rsidP="00C66FFC">
            <w:pPr>
              <w:spacing w:after="0" w:line="240" w:lineRule="auto"/>
              <w:jc w:val="center"/>
              <w:rPr>
                <w:rFonts w:eastAsia="Times New Roman" w:cs="Arial"/>
                <w:b/>
                <w:bCs/>
                <w:color w:val="FFFFFF" w:themeColor="background1"/>
                <w:sz w:val="18"/>
                <w:szCs w:val="20"/>
                <w:lang w:val="es-CO" w:eastAsia="es-CO"/>
              </w:rPr>
            </w:pPr>
            <w:r w:rsidRPr="005174D0">
              <w:rPr>
                <w:rFonts w:eastAsia="Times New Roman" w:cs="Arial"/>
                <w:b/>
                <w:bCs/>
                <w:color w:val="FFFFFF" w:themeColor="background1"/>
                <w:sz w:val="18"/>
                <w:szCs w:val="20"/>
                <w:lang w:val="es-CO" w:eastAsia="es-CO"/>
              </w:rPr>
              <w:t>% Ejecución</w:t>
            </w:r>
          </w:p>
        </w:tc>
      </w:tr>
      <w:tr w:rsidR="00977F9E" w:rsidRPr="00551813" w:rsidTr="00E32071">
        <w:trPr>
          <w:trHeight w:val="405"/>
          <w:jc w:val="center"/>
        </w:trPr>
        <w:tc>
          <w:tcPr>
            <w:tcW w:w="1384" w:type="dxa"/>
            <w:shd w:val="clear" w:color="auto" w:fill="auto"/>
            <w:noWrap/>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 xml:space="preserve">$ 79.884 </w:t>
            </w:r>
          </w:p>
        </w:tc>
        <w:tc>
          <w:tcPr>
            <w:tcW w:w="1593" w:type="dxa"/>
            <w:shd w:val="clear" w:color="auto" w:fill="auto"/>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 xml:space="preserve">$ 2.387 </w:t>
            </w:r>
          </w:p>
        </w:tc>
        <w:tc>
          <w:tcPr>
            <w:tcW w:w="1701" w:type="dxa"/>
            <w:shd w:val="clear" w:color="auto" w:fill="auto"/>
            <w:noWrap/>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$ 7</w:t>
            </w:r>
            <w:r>
              <w:rPr>
                <w:rFonts w:eastAsia="Times New Roman" w:cs="Arial"/>
                <w:color w:val="000000"/>
                <w:sz w:val="18"/>
                <w:szCs w:val="20"/>
                <w:lang w:val="es-CO" w:eastAsia="es-CO"/>
              </w:rPr>
              <w:t>7</w:t>
            </w:r>
            <w:r w:rsidRPr="00551813">
              <w:rPr>
                <w:rFonts w:eastAsia="Times New Roman" w:cs="Arial"/>
                <w:color w:val="000000"/>
                <w:sz w:val="18"/>
                <w:szCs w:val="20"/>
                <w:lang w:val="es-CO" w:eastAsia="es-CO"/>
              </w:rPr>
              <w:t>.</w:t>
            </w:r>
            <w:r>
              <w:rPr>
                <w:rFonts w:eastAsia="Times New Roman" w:cs="Arial"/>
                <w:color w:val="000000"/>
                <w:sz w:val="18"/>
                <w:szCs w:val="20"/>
                <w:lang w:val="es-CO" w:eastAsia="es-CO"/>
              </w:rPr>
              <w:t>351</w:t>
            </w:r>
            <w:r w:rsidRPr="00551813">
              <w:rPr>
                <w:rFonts w:eastAsia="Times New Roman" w:cs="Arial"/>
                <w:color w:val="000000"/>
                <w:sz w:val="18"/>
                <w:szCs w:val="20"/>
                <w:lang w:val="es-CO" w:eastAsia="es-CO"/>
              </w:rPr>
              <w:t xml:space="preserve"> </w:t>
            </w:r>
          </w:p>
        </w:tc>
        <w:tc>
          <w:tcPr>
            <w:tcW w:w="1417" w:type="dxa"/>
            <w:shd w:val="clear" w:color="auto" w:fill="auto"/>
            <w:noWrap/>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$ 71.</w:t>
            </w:r>
            <w:r>
              <w:rPr>
                <w:rFonts w:eastAsia="Times New Roman" w:cs="Arial"/>
                <w:color w:val="000000"/>
                <w:sz w:val="18"/>
                <w:szCs w:val="20"/>
                <w:lang w:val="es-CO" w:eastAsia="es-CO"/>
              </w:rPr>
              <w:t>225</w:t>
            </w:r>
          </w:p>
        </w:tc>
        <w:tc>
          <w:tcPr>
            <w:tcW w:w="1134" w:type="dxa"/>
            <w:shd w:val="clear" w:color="auto" w:fill="auto"/>
            <w:noWrap/>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 xml:space="preserve">$ </w:t>
            </w:r>
            <w:r>
              <w:rPr>
                <w:rFonts w:eastAsia="Times New Roman" w:cs="Arial"/>
                <w:color w:val="000000"/>
                <w:sz w:val="18"/>
                <w:szCs w:val="20"/>
                <w:lang w:val="es-CO" w:eastAsia="es-CO"/>
              </w:rPr>
              <w:t>6.126</w:t>
            </w:r>
            <w:r w:rsidRPr="00551813">
              <w:rPr>
                <w:rFonts w:eastAsia="Times New Roman" w:cs="Arial"/>
                <w:color w:val="000000"/>
                <w:sz w:val="18"/>
                <w:szCs w:val="20"/>
                <w:lang w:val="es-CO" w:eastAsia="es-CO"/>
              </w:rPr>
              <w:t xml:space="preserve"> </w:t>
            </w:r>
          </w:p>
        </w:tc>
        <w:tc>
          <w:tcPr>
            <w:tcW w:w="1191" w:type="dxa"/>
            <w:shd w:val="clear" w:color="auto" w:fill="auto"/>
            <w:noWrap/>
            <w:vAlign w:val="center"/>
            <w:hideMark/>
          </w:tcPr>
          <w:p w:rsidR="00977F9E" w:rsidRPr="00551813" w:rsidRDefault="00977F9E" w:rsidP="00C66FFC">
            <w:pPr>
              <w:spacing w:after="0" w:line="240" w:lineRule="auto"/>
              <w:jc w:val="center"/>
              <w:rPr>
                <w:rFonts w:eastAsia="Times New Roman" w:cs="Arial"/>
                <w:color w:val="000000"/>
                <w:sz w:val="18"/>
                <w:szCs w:val="20"/>
                <w:lang w:val="es-CO" w:eastAsia="es-CO"/>
              </w:rPr>
            </w:pPr>
            <w:r w:rsidRPr="00551813">
              <w:rPr>
                <w:rFonts w:eastAsia="Times New Roman" w:cs="Arial"/>
                <w:color w:val="000000"/>
                <w:sz w:val="18"/>
                <w:szCs w:val="20"/>
                <w:lang w:val="es-CO" w:eastAsia="es-CO"/>
              </w:rPr>
              <w:t>89%</w:t>
            </w:r>
          </w:p>
        </w:tc>
      </w:tr>
    </w:tbl>
    <w:p w:rsidR="00977F9E" w:rsidRDefault="00977F9E" w:rsidP="00977F9E">
      <w:pPr>
        <w:spacing w:after="0" w:line="240" w:lineRule="auto"/>
        <w:ind w:left="5664" w:firstLine="708"/>
        <w:rPr>
          <w:rFonts w:cs="Arial"/>
          <w:sz w:val="20"/>
          <w:szCs w:val="20"/>
        </w:rPr>
      </w:pPr>
    </w:p>
    <w:p w:rsidR="00977F9E" w:rsidRDefault="00977F9E" w:rsidP="00F11092">
      <w:pPr>
        <w:spacing w:after="0" w:line="240" w:lineRule="auto"/>
        <w:jc w:val="both"/>
        <w:rPr>
          <w:rFonts w:cs="Arial"/>
        </w:rPr>
      </w:pPr>
      <w:r w:rsidRPr="00751D81">
        <w:rPr>
          <w:rFonts w:cs="Arial"/>
        </w:rPr>
        <w:t xml:space="preserve">Durante la vigencia 2016 </w:t>
      </w:r>
      <w:r>
        <w:rPr>
          <w:rFonts w:cs="Arial"/>
        </w:rPr>
        <w:t xml:space="preserve">se logró obligar y pagar $71.225 millones, quedando un saldo de $6.126 millones, de los cuales $5.543 millones fenecieron con el cierre de la vigencia 2016. El saldo, $582 millones restantes, $534 millones corresponden a una Vigencia Expirada del contrato de interventoría de Bienestarina y $49 millones corresponden a dos contratos con problema jurídico en las Regionales de Boyacá y Meta, y que aún no se ha definido su situación.  </w:t>
      </w:r>
    </w:p>
    <w:p w:rsidR="00F11092" w:rsidRDefault="00F11092" w:rsidP="00F11092">
      <w:pPr>
        <w:spacing w:after="0" w:line="240" w:lineRule="auto"/>
        <w:jc w:val="both"/>
        <w:rPr>
          <w:rFonts w:cs="Arial"/>
        </w:rPr>
      </w:pPr>
    </w:p>
    <w:p w:rsidR="00F11092" w:rsidRDefault="00F11092" w:rsidP="00F11092">
      <w:pPr>
        <w:spacing w:after="0" w:line="240" w:lineRule="auto"/>
        <w:jc w:val="both"/>
        <w:rPr>
          <w:rFonts w:cs="Arial"/>
        </w:rPr>
      </w:pPr>
    </w:p>
    <w:p w:rsidR="00977F9E" w:rsidRPr="00551813" w:rsidRDefault="00977F9E" w:rsidP="00977F9E">
      <w:pPr>
        <w:pStyle w:val="Prrafodelista"/>
        <w:numPr>
          <w:ilvl w:val="2"/>
          <w:numId w:val="11"/>
        </w:numPr>
        <w:spacing w:after="0" w:line="240" w:lineRule="auto"/>
        <w:jc w:val="both"/>
        <w:outlineLvl w:val="1"/>
        <w:rPr>
          <w:rFonts w:cs="Arial"/>
          <w:b/>
        </w:rPr>
      </w:pPr>
      <w:bookmarkStart w:id="11" w:name="_Toc473581395"/>
      <w:r w:rsidRPr="00551813">
        <w:rPr>
          <w:rFonts w:cs="Arial"/>
          <w:b/>
        </w:rPr>
        <w:t>Reservas Presupuestales por Regional</w:t>
      </w:r>
      <w:bookmarkEnd w:id="11"/>
    </w:p>
    <w:p w:rsidR="00977F9E" w:rsidRDefault="00977F9E" w:rsidP="00977F9E">
      <w:pPr>
        <w:spacing w:after="0" w:line="240" w:lineRule="auto"/>
        <w:rPr>
          <w:rFonts w:cs="Arial"/>
          <w:sz w:val="18"/>
          <w:szCs w:val="20"/>
        </w:rPr>
      </w:pPr>
    </w:p>
    <w:p w:rsidR="00977F9E" w:rsidRDefault="00E32071" w:rsidP="00977F9E">
      <w:pPr>
        <w:spacing w:after="0" w:line="240" w:lineRule="auto"/>
        <w:ind w:left="5664" w:firstLine="708"/>
        <w:rPr>
          <w:rFonts w:cs="Arial"/>
          <w:sz w:val="20"/>
          <w:szCs w:val="20"/>
        </w:rPr>
      </w:pPr>
      <w:r>
        <w:rPr>
          <w:rFonts w:cs="Arial"/>
          <w:sz w:val="18"/>
          <w:szCs w:val="20"/>
        </w:rPr>
        <w:t xml:space="preserve">                       </w:t>
      </w:r>
      <w:r w:rsidR="00977F9E" w:rsidRPr="0001210C">
        <w:rPr>
          <w:rFonts w:cs="Arial"/>
          <w:sz w:val="18"/>
          <w:szCs w:val="20"/>
        </w:rPr>
        <w:t>En millones de $</w:t>
      </w:r>
    </w:p>
    <w:tbl>
      <w:tblPr>
        <w:tblW w:w="821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2967"/>
        <w:gridCol w:w="1701"/>
        <w:gridCol w:w="1418"/>
        <w:gridCol w:w="1134"/>
        <w:gridCol w:w="992"/>
      </w:tblGrid>
      <w:tr w:rsidR="00977F9E" w:rsidRPr="00E62CFD" w:rsidTr="00E62CFD">
        <w:trPr>
          <w:trHeight w:val="480"/>
          <w:tblHeader/>
          <w:jc w:val="center"/>
        </w:trPr>
        <w:tc>
          <w:tcPr>
            <w:tcW w:w="2967" w:type="dxa"/>
            <w:shd w:val="clear" w:color="auto" w:fill="76923C" w:themeFill="accent3" w:themeFillShade="BF"/>
            <w:vAlign w:val="center"/>
            <w:hideMark/>
          </w:tcPr>
          <w:p w:rsidR="00977F9E" w:rsidRPr="00E62CFD" w:rsidRDefault="00E32071"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Regional</w:t>
            </w:r>
          </w:p>
        </w:tc>
        <w:tc>
          <w:tcPr>
            <w:tcW w:w="1701" w:type="dxa"/>
            <w:shd w:val="clear" w:color="auto" w:fill="76923C" w:themeFill="accent3" w:themeFillShade="BF"/>
            <w:vAlign w:val="center"/>
            <w:hideMark/>
          </w:tcPr>
          <w:p w:rsidR="00977F9E" w:rsidRPr="00E62CFD" w:rsidRDefault="00E32071"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 xml:space="preserve">Reserva Presupuestal </w:t>
            </w:r>
          </w:p>
        </w:tc>
        <w:tc>
          <w:tcPr>
            <w:tcW w:w="1418" w:type="dxa"/>
            <w:shd w:val="clear" w:color="auto" w:fill="76923C" w:themeFill="accent3" w:themeFillShade="BF"/>
            <w:vAlign w:val="center"/>
            <w:hideMark/>
          </w:tcPr>
          <w:p w:rsidR="00977F9E" w:rsidRPr="00E62CFD" w:rsidRDefault="00E32071"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Obligación</w:t>
            </w:r>
          </w:p>
        </w:tc>
        <w:tc>
          <w:tcPr>
            <w:tcW w:w="1134" w:type="dxa"/>
            <w:shd w:val="clear" w:color="auto" w:fill="76923C" w:themeFill="accent3" w:themeFillShade="BF"/>
            <w:vAlign w:val="center"/>
            <w:hideMark/>
          </w:tcPr>
          <w:p w:rsidR="00977F9E" w:rsidRPr="00E62CFD" w:rsidRDefault="00E32071"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 xml:space="preserve">Por Obligar </w:t>
            </w:r>
          </w:p>
        </w:tc>
        <w:tc>
          <w:tcPr>
            <w:tcW w:w="992" w:type="dxa"/>
            <w:shd w:val="clear" w:color="auto" w:fill="76923C" w:themeFill="accent3" w:themeFillShade="BF"/>
            <w:vAlign w:val="center"/>
            <w:hideMark/>
          </w:tcPr>
          <w:p w:rsidR="00977F9E" w:rsidRPr="00E62CFD" w:rsidRDefault="00E32071"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Pagos</w:t>
            </w:r>
          </w:p>
        </w:tc>
      </w:tr>
      <w:tr w:rsidR="00977F9E" w:rsidRPr="00E62CFD" w:rsidTr="00E32071">
        <w:trPr>
          <w:trHeight w:val="266"/>
          <w:jc w:val="center"/>
        </w:trPr>
        <w:tc>
          <w:tcPr>
            <w:tcW w:w="2967" w:type="dxa"/>
            <w:shd w:val="clear" w:color="auto" w:fill="auto"/>
            <w:vAlign w:val="center"/>
            <w:hideMark/>
          </w:tcPr>
          <w:p w:rsidR="00977F9E" w:rsidRPr="00E62CFD" w:rsidRDefault="00E32071"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Sede Nacional</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$73.495</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$67.590</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$5.905</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$67.590</w:t>
            </w:r>
          </w:p>
        </w:tc>
      </w:tr>
      <w:tr w:rsidR="00977F9E" w:rsidRPr="00E62CFD" w:rsidTr="00E32071">
        <w:trPr>
          <w:trHeight w:val="113"/>
          <w:jc w:val="center"/>
        </w:trPr>
        <w:tc>
          <w:tcPr>
            <w:tcW w:w="2967" w:type="dxa"/>
            <w:shd w:val="clear" w:color="auto" w:fill="auto"/>
            <w:vAlign w:val="center"/>
            <w:hideMark/>
          </w:tcPr>
          <w:p w:rsidR="00977F9E" w:rsidRPr="00E62CFD" w:rsidRDefault="00E32071"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Antioquia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w:t>
            </w:r>
          </w:p>
        </w:tc>
      </w:tr>
      <w:tr w:rsidR="00977F9E" w:rsidRPr="00E62CFD" w:rsidTr="00E32071">
        <w:trPr>
          <w:trHeight w:val="202"/>
          <w:jc w:val="center"/>
        </w:trPr>
        <w:tc>
          <w:tcPr>
            <w:tcW w:w="2967" w:type="dxa"/>
            <w:shd w:val="clear" w:color="auto" w:fill="auto"/>
            <w:vAlign w:val="center"/>
            <w:hideMark/>
          </w:tcPr>
          <w:p w:rsidR="00977F9E" w:rsidRPr="00E62CFD" w:rsidRDefault="00E32071"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lastRenderedPageBreak/>
              <w:t xml:space="preserve"> Regional Bogotá</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$944</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$944</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$944</w:t>
            </w:r>
          </w:p>
        </w:tc>
      </w:tr>
      <w:tr w:rsidR="00977F9E" w:rsidRPr="00E62CFD" w:rsidTr="00E32071">
        <w:trPr>
          <w:trHeight w:val="148"/>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Boyacá </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r>
      <w:tr w:rsidR="00977F9E" w:rsidRPr="00E62CFD" w:rsidTr="00E32071">
        <w:trPr>
          <w:trHeight w:val="93"/>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Cesar</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$68</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$68</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$68</w:t>
            </w:r>
          </w:p>
        </w:tc>
      </w:tr>
      <w:tr w:rsidR="00977F9E" w:rsidRPr="00E62CFD" w:rsidTr="00E32071">
        <w:trPr>
          <w:trHeight w:val="182"/>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Cundinamarca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$659</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$659</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$659</w:t>
            </w:r>
          </w:p>
        </w:tc>
      </w:tr>
      <w:tr w:rsidR="00977F9E" w:rsidRPr="00E62CFD" w:rsidTr="00E32071">
        <w:trPr>
          <w:trHeight w:val="128"/>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Guajira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$14</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$14</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$14</w:t>
            </w:r>
          </w:p>
        </w:tc>
      </w:tr>
      <w:tr w:rsidR="00977F9E" w:rsidRPr="00E62CFD" w:rsidTr="00E32071">
        <w:trPr>
          <w:trHeight w:val="73"/>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Meta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$109</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$84</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$25</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$84</w:t>
            </w:r>
          </w:p>
        </w:tc>
      </w:tr>
      <w:tr w:rsidR="00977F9E" w:rsidRPr="00E62CFD" w:rsidTr="00E32071">
        <w:trPr>
          <w:trHeight w:val="162"/>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Nariño</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$561</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$561</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$561</w:t>
            </w:r>
          </w:p>
        </w:tc>
      </w:tr>
      <w:tr w:rsidR="00977F9E" w:rsidRPr="00E62CFD" w:rsidTr="00E32071">
        <w:trPr>
          <w:trHeight w:val="143"/>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Norte De Santander</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$65</w:t>
            </w:r>
          </w:p>
        </w:tc>
      </w:tr>
      <w:tr w:rsidR="00977F9E" w:rsidRPr="00E62CFD" w:rsidTr="00E32071">
        <w:trPr>
          <w:trHeight w:val="128"/>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Quindío</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$15</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$15</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$15</w:t>
            </w:r>
          </w:p>
        </w:tc>
      </w:tr>
      <w:tr w:rsidR="00977F9E" w:rsidRPr="00E62CFD" w:rsidTr="00E32071">
        <w:trPr>
          <w:trHeight w:val="216"/>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Santander</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$41</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$41</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$41</w:t>
            </w:r>
          </w:p>
        </w:tc>
      </w:tr>
      <w:tr w:rsidR="00977F9E" w:rsidRPr="00E62CFD" w:rsidTr="00E32071">
        <w:trPr>
          <w:trHeight w:val="133"/>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Tolima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$108</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$108</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r>
      <w:tr w:rsidR="00977F9E" w:rsidRPr="00E62CFD" w:rsidTr="00E32071">
        <w:trPr>
          <w:trHeight w:val="94"/>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Valle</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$1.195</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$1.133</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$63</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$1.133</w:t>
            </w:r>
          </w:p>
        </w:tc>
      </w:tr>
      <w:tr w:rsidR="00977F9E" w:rsidRPr="00E62CFD" w:rsidTr="00E32071">
        <w:trPr>
          <w:trHeight w:val="182"/>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Casanare</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w:t>
            </w:r>
          </w:p>
        </w:tc>
      </w:tr>
      <w:tr w:rsidR="00977F9E" w:rsidRPr="00E62CFD" w:rsidTr="00E32071">
        <w:trPr>
          <w:trHeight w:val="128"/>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Putumayo</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r>
      <w:tr w:rsidR="00977F9E" w:rsidRPr="00E62CFD" w:rsidTr="00E62CFD">
        <w:trPr>
          <w:trHeight w:val="70"/>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Guaviare</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r>
      <w:tr w:rsidR="00977F9E" w:rsidRPr="00E62CFD" w:rsidTr="00E32071">
        <w:trPr>
          <w:trHeight w:val="47"/>
          <w:jc w:val="center"/>
        </w:trPr>
        <w:tc>
          <w:tcPr>
            <w:tcW w:w="2967"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 xml:space="preserve"> Regional Vichada</w:t>
            </w:r>
          </w:p>
        </w:tc>
        <w:tc>
          <w:tcPr>
            <w:tcW w:w="170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$18</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$18</w:t>
            </w:r>
          </w:p>
        </w:tc>
        <w:tc>
          <w:tcPr>
            <w:tcW w:w="1134"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99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$18</w:t>
            </w:r>
          </w:p>
        </w:tc>
      </w:tr>
      <w:tr w:rsidR="00E62CFD" w:rsidRPr="00E62CFD" w:rsidTr="00E62CFD">
        <w:trPr>
          <w:trHeight w:val="315"/>
          <w:jc w:val="center"/>
        </w:trPr>
        <w:tc>
          <w:tcPr>
            <w:tcW w:w="2967" w:type="dxa"/>
            <w:shd w:val="clear" w:color="auto" w:fill="E2EFDA"/>
            <w:vAlign w:val="center"/>
            <w:hideMark/>
          </w:tcPr>
          <w:p w:rsidR="00977F9E" w:rsidRPr="00E62CFD" w:rsidRDefault="00977F9E" w:rsidP="00E62CFD">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TOTAL</w:t>
            </w:r>
          </w:p>
        </w:tc>
        <w:tc>
          <w:tcPr>
            <w:tcW w:w="1701" w:type="dxa"/>
            <w:shd w:val="clear" w:color="auto" w:fill="E2EFDA"/>
            <w:vAlign w:val="center"/>
            <w:hideMark/>
          </w:tcPr>
          <w:p w:rsidR="00977F9E" w:rsidRPr="00E62CFD" w:rsidRDefault="00977F9E" w:rsidP="00E62CFD">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$77.351</w:t>
            </w:r>
          </w:p>
        </w:tc>
        <w:tc>
          <w:tcPr>
            <w:tcW w:w="1418" w:type="dxa"/>
            <w:shd w:val="clear" w:color="auto" w:fill="E2EFDA"/>
            <w:vAlign w:val="center"/>
            <w:hideMark/>
          </w:tcPr>
          <w:p w:rsidR="00977F9E" w:rsidRPr="00E62CFD" w:rsidRDefault="00977F9E" w:rsidP="00E62CFD">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$71.225</w:t>
            </w:r>
          </w:p>
        </w:tc>
        <w:tc>
          <w:tcPr>
            <w:tcW w:w="1134" w:type="dxa"/>
            <w:shd w:val="clear" w:color="auto" w:fill="E2EFDA"/>
            <w:vAlign w:val="center"/>
            <w:hideMark/>
          </w:tcPr>
          <w:p w:rsidR="00977F9E" w:rsidRPr="00E62CFD" w:rsidRDefault="00977F9E" w:rsidP="00E62CFD">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$6.126</w:t>
            </w:r>
          </w:p>
        </w:tc>
        <w:tc>
          <w:tcPr>
            <w:tcW w:w="992" w:type="dxa"/>
            <w:shd w:val="clear" w:color="auto" w:fill="E2EFDA"/>
            <w:vAlign w:val="center"/>
            <w:hideMark/>
          </w:tcPr>
          <w:p w:rsidR="00977F9E" w:rsidRPr="00E62CFD" w:rsidRDefault="00977F9E" w:rsidP="00E62CFD">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$71.225</w:t>
            </w:r>
          </w:p>
        </w:tc>
      </w:tr>
    </w:tbl>
    <w:p w:rsidR="00977F9E" w:rsidRPr="00E62CFD" w:rsidRDefault="00977F9E" w:rsidP="00977F9E">
      <w:pPr>
        <w:spacing w:after="0" w:line="240" w:lineRule="auto"/>
        <w:jc w:val="both"/>
        <w:rPr>
          <w:rFonts w:cs="Arial"/>
          <w:color w:val="FFFFFF" w:themeColor="background1"/>
        </w:rPr>
      </w:pPr>
    </w:p>
    <w:p w:rsidR="00977F9E" w:rsidRPr="0001210C" w:rsidRDefault="007B1F82" w:rsidP="00977F9E">
      <w:pPr>
        <w:pStyle w:val="Prrafodelista"/>
        <w:numPr>
          <w:ilvl w:val="2"/>
          <w:numId w:val="11"/>
        </w:numPr>
        <w:spacing w:after="0" w:line="240" w:lineRule="auto"/>
        <w:contextualSpacing/>
        <w:jc w:val="both"/>
        <w:rPr>
          <w:rFonts w:cs="Arial"/>
          <w:b/>
          <w:szCs w:val="20"/>
          <w:lang w:eastAsia="es-ES"/>
        </w:rPr>
      </w:pPr>
      <w:r>
        <w:rPr>
          <w:rFonts w:cs="Arial"/>
          <w:b/>
        </w:rPr>
        <w:t>Reservas p</w:t>
      </w:r>
      <w:r w:rsidR="00977F9E" w:rsidRPr="0001210C">
        <w:rPr>
          <w:rFonts w:cs="Arial"/>
          <w:b/>
        </w:rPr>
        <w:t xml:space="preserve">resupuestales  </w:t>
      </w:r>
      <w:r>
        <w:rPr>
          <w:rFonts w:cs="Arial"/>
          <w:b/>
        </w:rPr>
        <w:t>ejecutadas en la vigencia 2016 por g</w:t>
      </w:r>
      <w:r w:rsidR="00977F9E" w:rsidRPr="0001210C">
        <w:rPr>
          <w:rFonts w:cs="Arial"/>
          <w:b/>
        </w:rPr>
        <w:t>erentes de Recursos:</w:t>
      </w:r>
      <w:r w:rsidR="00977F9E">
        <w:rPr>
          <w:rFonts w:cs="Arial"/>
          <w:b/>
        </w:rPr>
        <w:tab/>
      </w:r>
    </w:p>
    <w:p w:rsidR="00977F9E" w:rsidRPr="0001210C" w:rsidRDefault="00E62CFD" w:rsidP="00977F9E">
      <w:pPr>
        <w:spacing w:after="0" w:line="240" w:lineRule="auto"/>
        <w:ind w:left="5664" w:firstLine="708"/>
        <w:rPr>
          <w:rFonts w:cs="Arial"/>
          <w:b/>
          <w:szCs w:val="20"/>
          <w:lang w:eastAsia="es-ES"/>
        </w:rPr>
      </w:pPr>
      <w:r>
        <w:rPr>
          <w:rFonts w:cs="Arial"/>
          <w:sz w:val="18"/>
          <w:szCs w:val="20"/>
        </w:rPr>
        <w:t xml:space="preserve">                             </w:t>
      </w:r>
      <w:r w:rsidR="00977F9E" w:rsidRPr="0001210C">
        <w:rPr>
          <w:rFonts w:cs="Arial"/>
          <w:sz w:val="18"/>
          <w:szCs w:val="20"/>
        </w:rPr>
        <w:t>En millones de $</w:t>
      </w:r>
    </w:p>
    <w:tbl>
      <w:tblPr>
        <w:tblW w:w="892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3608"/>
        <w:gridCol w:w="1561"/>
        <w:gridCol w:w="1342"/>
        <w:gridCol w:w="992"/>
        <w:gridCol w:w="1418"/>
      </w:tblGrid>
      <w:tr w:rsidR="00977F9E" w:rsidRPr="00E62CFD" w:rsidTr="00E62CFD">
        <w:trPr>
          <w:trHeight w:val="480"/>
          <w:jc w:val="center"/>
        </w:trPr>
        <w:tc>
          <w:tcPr>
            <w:tcW w:w="3608" w:type="dxa"/>
            <w:shd w:val="clear" w:color="auto" w:fill="76923C" w:themeFill="accent3" w:themeFillShade="BF"/>
            <w:vAlign w:val="center"/>
            <w:hideMark/>
          </w:tcPr>
          <w:p w:rsidR="00977F9E" w:rsidRPr="00E62CFD" w:rsidRDefault="00E62CFD"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Responsable</w:t>
            </w:r>
          </w:p>
        </w:tc>
        <w:tc>
          <w:tcPr>
            <w:tcW w:w="1561" w:type="dxa"/>
            <w:shd w:val="clear" w:color="auto" w:fill="76923C" w:themeFill="accent3" w:themeFillShade="BF"/>
            <w:vAlign w:val="center"/>
            <w:hideMark/>
          </w:tcPr>
          <w:p w:rsidR="00977F9E" w:rsidRPr="00E62CFD" w:rsidRDefault="00E62CFD"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 xml:space="preserve">Reserva Presupuestal </w:t>
            </w:r>
          </w:p>
        </w:tc>
        <w:tc>
          <w:tcPr>
            <w:tcW w:w="1342" w:type="dxa"/>
            <w:shd w:val="clear" w:color="auto" w:fill="76923C" w:themeFill="accent3" w:themeFillShade="BF"/>
            <w:vAlign w:val="center"/>
            <w:hideMark/>
          </w:tcPr>
          <w:p w:rsidR="00977F9E" w:rsidRPr="00E62CFD" w:rsidRDefault="00E62CFD"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Obligación</w:t>
            </w:r>
          </w:p>
        </w:tc>
        <w:tc>
          <w:tcPr>
            <w:tcW w:w="992" w:type="dxa"/>
            <w:shd w:val="clear" w:color="auto" w:fill="76923C" w:themeFill="accent3" w:themeFillShade="BF"/>
            <w:vAlign w:val="center"/>
          </w:tcPr>
          <w:p w:rsidR="00977F9E" w:rsidRPr="00E62CFD" w:rsidRDefault="00E62CFD"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 xml:space="preserve">Por Obligar </w:t>
            </w:r>
          </w:p>
        </w:tc>
        <w:tc>
          <w:tcPr>
            <w:tcW w:w="1418" w:type="dxa"/>
            <w:shd w:val="clear" w:color="auto" w:fill="76923C" w:themeFill="accent3" w:themeFillShade="BF"/>
            <w:vAlign w:val="center"/>
            <w:hideMark/>
          </w:tcPr>
          <w:p w:rsidR="00977F9E" w:rsidRPr="00E62CFD" w:rsidRDefault="00E62CFD" w:rsidP="00C66FFC">
            <w:pPr>
              <w:spacing w:after="0" w:line="240" w:lineRule="auto"/>
              <w:jc w:val="center"/>
              <w:rPr>
                <w:rFonts w:eastAsia="Times New Roman" w:cs="Arial"/>
                <w:b/>
                <w:bCs/>
                <w:color w:val="FFFFFF" w:themeColor="background1"/>
                <w:sz w:val="18"/>
                <w:szCs w:val="18"/>
                <w:lang w:val="es-CO" w:eastAsia="es-CO"/>
              </w:rPr>
            </w:pPr>
            <w:r w:rsidRPr="00E62CFD">
              <w:rPr>
                <w:rFonts w:eastAsia="Times New Roman" w:cs="Arial"/>
                <w:b/>
                <w:bCs/>
                <w:color w:val="FFFFFF" w:themeColor="background1"/>
                <w:sz w:val="18"/>
                <w:szCs w:val="18"/>
                <w:lang w:val="es-CO" w:eastAsia="es-CO"/>
              </w:rPr>
              <w:t>Pagos</w:t>
            </w:r>
          </w:p>
        </w:tc>
      </w:tr>
      <w:tr w:rsidR="00977F9E" w:rsidRPr="00E62CFD" w:rsidTr="00E62CFD">
        <w:trPr>
          <w:trHeight w:val="233"/>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Dirección Administrativa</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$22.052</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$16.679</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$5.373</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$16.679</w:t>
            </w:r>
          </w:p>
        </w:tc>
      </w:tr>
      <w:tr w:rsidR="00977F9E" w:rsidRPr="00E62CFD" w:rsidTr="00E62CFD">
        <w:trPr>
          <w:trHeight w:val="140"/>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Familias Y Comunidades</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$243</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$243</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$243</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Gestión Humana</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$77</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$53</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$24</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$53</w:t>
            </w:r>
          </w:p>
        </w:tc>
      </w:tr>
      <w:tr w:rsidR="00977F9E" w:rsidRPr="00E62CFD" w:rsidTr="00E62CFD">
        <w:trPr>
          <w:trHeight w:val="221"/>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Información Y Tecnología</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$4.576</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$4.576</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$4.576</w:t>
            </w:r>
          </w:p>
        </w:tc>
      </w:tr>
      <w:tr w:rsidR="00977F9E" w:rsidRPr="00E62CFD" w:rsidTr="00E62CFD">
        <w:trPr>
          <w:trHeight w:val="8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Niñez Y Adolescencia</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$515</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$407</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$108</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$407</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Nutrición</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$2.746</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$2.213</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$533</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$2.213</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Primera Infancia</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$45.481</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$45.393</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$88</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$45.393</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Pr>
                <w:rFonts w:eastAsia="Times New Roman" w:cs="Arial"/>
                <w:bCs/>
                <w:color w:val="000000"/>
                <w:sz w:val="18"/>
                <w:szCs w:val="18"/>
                <w:lang w:val="es-CO" w:eastAsia="es-CO"/>
              </w:rPr>
              <w:t>Dirección d</w:t>
            </w:r>
            <w:r w:rsidRPr="00E62CFD">
              <w:rPr>
                <w:rFonts w:eastAsia="Times New Roman" w:cs="Arial"/>
                <w:bCs/>
                <w:color w:val="000000"/>
                <w:sz w:val="18"/>
                <w:szCs w:val="18"/>
                <w:lang w:val="es-CO" w:eastAsia="es-CO"/>
              </w:rPr>
              <w:t>e Protección</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$1.656</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$1.656</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$1.656</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Dirección Sistema Nacional De Bienestar Familiar</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$3</w:t>
            </w:r>
          </w:p>
        </w:tc>
      </w:tr>
      <w:tr w:rsidR="00977F9E" w:rsidRPr="00E62CFD" w:rsidTr="00E62CFD">
        <w:trPr>
          <w:trHeight w:val="47"/>
          <w:jc w:val="center"/>
        </w:trPr>
        <w:tc>
          <w:tcPr>
            <w:tcW w:w="3608" w:type="dxa"/>
            <w:shd w:val="clear" w:color="auto" w:fill="auto"/>
            <w:vAlign w:val="center"/>
            <w:hideMark/>
          </w:tcPr>
          <w:p w:rsidR="00977F9E" w:rsidRPr="00E62CFD" w:rsidRDefault="00E62CFD" w:rsidP="00C66FFC">
            <w:pPr>
              <w:spacing w:after="0" w:line="240" w:lineRule="auto"/>
              <w:rPr>
                <w:rFonts w:eastAsia="Times New Roman" w:cs="Arial"/>
                <w:bCs/>
                <w:color w:val="000000"/>
                <w:sz w:val="18"/>
                <w:szCs w:val="18"/>
                <w:lang w:val="es-CO" w:eastAsia="es-CO"/>
              </w:rPr>
            </w:pPr>
            <w:r w:rsidRPr="00E62CFD">
              <w:rPr>
                <w:rFonts w:eastAsia="Times New Roman" w:cs="Arial"/>
                <w:bCs/>
                <w:color w:val="000000"/>
                <w:sz w:val="18"/>
                <w:szCs w:val="18"/>
                <w:lang w:val="es-CO" w:eastAsia="es-CO"/>
              </w:rPr>
              <w:t>Más</w:t>
            </w:r>
            <w:r>
              <w:rPr>
                <w:rFonts w:eastAsia="Times New Roman" w:cs="Arial"/>
                <w:bCs/>
                <w:color w:val="000000"/>
                <w:sz w:val="18"/>
                <w:szCs w:val="18"/>
                <w:lang w:val="es-CO" w:eastAsia="es-CO"/>
              </w:rPr>
              <w:t xml:space="preserve"> de u</w:t>
            </w:r>
            <w:r w:rsidRPr="00E62CFD">
              <w:rPr>
                <w:rFonts w:eastAsia="Times New Roman" w:cs="Arial"/>
                <w:bCs/>
                <w:color w:val="000000"/>
                <w:sz w:val="18"/>
                <w:szCs w:val="18"/>
                <w:lang w:val="es-CO" w:eastAsia="es-CO"/>
              </w:rPr>
              <w:t>na Dirección</w:t>
            </w:r>
            <w:r>
              <w:rPr>
                <w:rFonts w:eastAsia="Times New Roman" w:cs="Arial"/>
                <w:bCs/>
                <w:color w:val="000000"/>
                <w:sz w:val="18"/>
                <w:szCs w:val="18"/>
                <w:lang w:val="es-CO" w:eastAsia="es-CO"/>
              </w:rPr>
              <w:t xml:space="preserve"> a Cargo d</w:t>
            </w:r>
            <w:r w:rsidRPr="00E62CFD">
              <w:rPr>
                <w:rFonts w:eastAsia="Times New Roman" w:cs="Arial"/>
                <w:bCs/>
                <w:color w:val="000000"/>
                <w:sz w:val="18"/>
                <w:szCs w:val="18"/>
                <w:lang w:val="es-CO" w:eastAsia="es-CO"/>
              </w:rPr>
              <w:t>el Rubro</w:t>
            </w:r>
          </w:p>
        </w:tc>
        <w:tc>
          <w:tcPr>
            <w:tcW w:w="1561"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w:t>
            </w:r>
          </w:p>
        </w:tc>
        <w:tc>
          <w:tcPr>
            <w:tcW w:w="1342"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w:t>
            </w:r>
          </w:p>
        </w:tc>
        <w:tc>
          <w:tcPr>
            <w:tcW w:w="992" w:type="dxa"/>
            <w:vAlign w:val="center"/>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0</w:t>
            </w:r>
          </w:p>
        </w:tc>
        <w:tc>
          <w:tcPr>
            <w:tcW w:w="1418" w:type="dxa"/>
            <w:shd w:val="clear" w:color="auto" w:fill="auto"/>
            <w:vAlign w:val="center"/>
            <w:hideMark/>
          </w:tcPr>
          <w:p w:rsidR="00977F9E" w:rsidRPr="00E62CFD" w:rsidRDefault="00977F9E" w:rsidP="00C66FFC">
            <w:pPr>
              <w:spacing w:after="0" w:line="240" w:lineRule="auto"/>
              <w:jc w:val="right"/>
              <w:rPr>
                <w:rFonts w:eastAsia="Times New Roman" w:cs="Arial"/>
                <w:color w:val="000000"/>
                <w:sz w:val="18"/>
                <w:szCs w:val="18"/>
                <w:lang w:val="es-CO" w:eastAsia="es-CO"/>
              </w:rPr>
            </w:pPr>
            <w:r w:rsidRPr="00E62CFD">
              <w:rPr>
                <w:rFonts w:eastAsia="Times New Roman" w:cs="Arial"/>
                <w:color w:val="000000"/>
                <w:sz w:val="18"/>
                <w:szCs w:val="18"/>
                <w:lang w:val="es-CO" w:eastAsia="es-CO"/>
              </w:rPr>
              <w:t>$1</w:t>
            </w:r>
          </w:p>
        </w:tc>
      </w:tr>
      <w:tr w:rsidR="00977F9E" w:rsidRPr="00E62CFD" w:rsidTr="00E62CFD">
        <w:trPr>
          <w:trHeight w:val="315"/>
          <w:jc w:val="center"/>
        </w:trPr>
        <w:tc>
          <w:tcPr>
            <w:tcW w:w="3608" w:type="dxa"/>
            <w:shd w:val="clear" w:color="auto" w:fill="E2EFDA"/>
            <w:vAlign w:val="center"/>
            <w:hideMark/>
          </w:tcPr>
          <w:p w:rsidR="00977F9E" w:rsidRPr="00E62CFD" w:rsidRDefault="00977F9E" w:rsidP="00C66FFC">
            <w:pPr>
              <w:spacing w:after="0" w:line="240" w:lineRule="auto"/>
              <w:jc w:val="center"/>
              <w:rPr>
                <w:rFonts w:eastAsia="Times New Roman" w:cs="Arial"/>
                <w:b/>
                <w:bCs/>
                <w:color w:val="000000"/>
                <w:sz w:val="18"/>
                <w:szCs w:val="18"/>
                <w:lang w:val="es-CO" w:eastAsia="es-CO"/>
              </w:rPr>
            </w:pPr>
            <w:r w:rsidRPr="00E62CFD">
              <w:rPr>
                <w:rFonts w:eastAsia="Times New Roman" w:cs="Arial"/>
                <w:b/>
                <w:bCs/>
                <w:color w:val="000000"/>
                <w:sz w:val="18"/>
                <w:szCs w:val="18"/>
                <w:lang w:val="es-CO" w:eastAsia="es-CO"/>
              </w:rPr>
              <w:t>TOTAL</w:t>
            </w:r>
          </w:p>
        </w:tc>
        <w:tc>
          <w:tcPr>
            <w:tcW w:w="1561" w:type="dxa"/>
            <w:shd w:val="clear" w:color="auto" w:fill="E2EFDA"/>
            <w:vAlign w:val="center"/>
            <w:hideMark/>
          </w:tcPr>
          <w:p w:rsidR="00977F9E" w:rsidRPr="00E62CFD" w:rsidRDefault="00977F9E" w:rsidP="00C66FFC">
            <w:pPr>
              <w:spacing w:after="0" w:line="240" w:lineRule="auto"/>
              <w:jc w:val="right"/>
              <w:rPr>
                <w:rFonts w:eastAsia="Times New Roman" w:cs="Arial"/>
                <w:b/>
                <w:color w:val="000000"/>
                <w:sz w:val="18"/>
                <w:szCs w:val="18"/>
                <w:lang w:val="es-CO" w:eastAsia="es-CO"/>
              </w:rPr>
            </w:pPr>
            <w:r w:rsidRPr="00E62CFD">
              <w:rPr>
                <w:rFonts w:eastAsia="Times New Roman" w:cs="Arial"/>
                <w:b/>
                <w:color w:val="000000"/>
                <w:sz w:val="18"/>
                <w:szCs w:val="18"/>
                <w:lang w:val="es-CO" w:eastAsia="es-CO"/>
              </w:rPr>
              <w:t>$77.351</w:t>
            </w:r>
          </w:p>
        </w:tc>
        <w:tc>
          <w:tcPr>
            <w:tcW w:w="1342" w:type="dxa"/>
            <w:shd w:val="clear" w:color="auto" w:fill="E2EFDA"/>
            <w:vAlign w:val="center"/>
            <w:hideMark/>
          </w:tcPr>
          <w:p w:rsidR="00977F9E" w:rsidRPr="00E62CFD" w:rsidRDefault="00977F9E" w:rsidP="00C66FFC">
            <w:pPr>
              <w:spacing w:after="0" w:line="240" w:lineRule="auto"/>
              <w:jc w:val="right"/>
              <w:rPr>
                <w:rFonts w:eastAsia="Times New Roman" w:cs="Arial"/>
                <w:b/>
                <w:color w:val="000000"/>
                <w:sz w:val="18"/>
                <w:szCs w:val="18"/>
                <w:lang w:val="es-CO" w:eastAsia="es-CO"/>
              </w:rPr>
            </w:pPr>
            <w:r w:rsidRPr="00E62CFD">
              <w:rPr>
                <w:rFonts w:eastAsia="Times New Roman" w:cs="Arial"/>
                <w:b/>
                <w:color w:val="000000"/>
                <w:sz w:val="18"/>
                <w:szCs w:val="18"/>
                <w:lang w:val="es-CO" w:eastAsia="es-CO"/>
              </w:rPr>
              <w:t>$71.225</w:t>
            </w:r>
          </w:p>
        </w:tc>
        <w:tc>
          <w:tcPr>
            <w:tcW w:w="992" w:type="dxa"/>
            <w:shd w:val="clear" w:color="auto" w:fill="E2EFDA"/>
            <w:vAlign w:val="center"/>
          </w:tcPr>
          <w:p w:rsidR="00977F9E" w:rsidRPr="00E62CFD" w:rsidRDefault="00977F9E" w:rsidP="00C66FFC">
            <w:pPr>
              <w:spacing w:after="0" w:line="240" w:lineRule="auto"/>
              <w:jc w:val="right"/>
              <w:rPr>
                <w:rFonts w:eastAsia="Times New Roman" w:cs="Arial"/>
                <w:b/>
                <w:color w:val="000000"/>
                <w:sz w:val="18"/>
                <w:szCs w:val="18"/>
                <w:lang w:val="es-CO" w:eastAsia="es-CO"/>
              </w:rPr>
            </w:pPr>
            <w:r w:rsidRPr="00E62CFD">
              <w:rPr>
                <w:rFonts w:eastAsia="Times New Roman" w:cs="Arial"/>
                <w:b/>
                <w:color w:val="000000"/>
                <w:sz w:val="18"/>
                <w:szCs w:val="18"/>
                <w:lang w:val="es-CO" w:eastAsia="es-CO"/>
              </w:rPr>
              <w:t>$6.126</w:t>
            </w:r>
          </w:p>
        </w:tc>
        <w:tc>
          <w:tcPr>
            <w:tcW w:w="1418" w:type="dxa"/>
            <w:shd w:val="clear" w:color="auto" w:fill="E2EFDA"/>
            <w:vAlign w:val="center"/>
            <w:hideMark/>
          </w:tcPr>
          <w:p w:rsidR="00977F9E" w:rsidRPr="00E62CFD" w:rsidRDefault="00977F9E" w:rsidP="00C66FFC">
            <w:pPr>
              <w:spacing w:after="0" w:line="240" w:lineRule="auto"/>
              <w:jc w:val="right"/>
              <w:rPr>
                <w:rFonts w:eastAsia="Times New Roman" w:cs="Arial"/>
                <w:b/>
                <w:color w:val="000000"/>
                <w:sz w:val="18"/>
                <w:szCs w:val="18"/>
                <w:lang w:val="es-CO" w:eastAsia="es-CO"/>
              </w:rPr>
            </w:pPr>
            <w:r w:rsidRPr="00E62CFD">
              <w:rPr>
                <w:rFonts w:eastAsia="Times New Roman" w:cs="Arial"/>
                <w:b/>
                <w:color w:val="000000"/>
                <w:sz w:val="18"/>
                <w:szCs w:val="18"/>
                <w:lang w:val="es-CO" w:eastAsia="es-CO"/>
              </w:rPr>
              <w:t>$71.225</w:t>
            </w:r>
          </w:p>
        </w:tc>
      </w:tr>
    </w:tbl>
    <w:p w:rsidR="00977F9E" w:rsidRDefault="00977F9E" w:rsidP="00977F9E">
      <w:pPr>
        <w:spacing w:after="0" w:line="240" w:lineRule="auto"/>
        <w:jc w:val="both"/>
        <w:rPr>
          <w:rFonts w:cs="Arial"/>
          <w:szCs w:val="20"/>
          <w:lang w:eastAsia="es-ES"/>
        </w:rPr>
      </w:pPr>
    </w:p>
    <w:p w:rsidR="00DA54E3" w:rsidRDefault="00DA54E3" w:rsidP="001626D1">
      <w:pPr>
        <w:spacing w:after="0" w:line="240" w:lineRule="auto"/>
        <w:jc w:val="both"/>
        <w:rPr>
          <w:rFonts w:cs="Arial"/>
          <w:szCs w:val="20"/>
          <w:lang w:eastAsia="es-ES"/>
        </w:rPr>
      </w:pPr>
    </w:p>
    <w:p w:rsidR="001626D1" w:rsidRPr="00D527F0" w:rsidRDefault="001626D1" w:rsidP="00D712DC">
      <w:pPr>
        <w:pStyle w:val="Prrafodelista"/>
        <w:numPr>
          <w:ilvl w:val="1"/>
          <w:numId w:val="11"/>
        </w:numPr>
        <w:spacing w:after="0" w:line="240" w:lineRule="auto"/>
        <w:jc w:val="both"/>
        <w:outlineLvl w:val="1"/>
        <w:rPr>
          <w:rFonts w:cs="Arial"/>
          <w:b/>
        </w:rPr>
      </w:pPr>
      <w:bookmarkStart w:id="12" w:name="_Toc473581396"/>
      <w:r w:rsidRPr="00D527F0">
        <w:rPr>
          <w:rFonts w:cs="Arial"/>
          <w:b/>
        </w:rPr>
        <w:t>Logros</w:t>
      </w:r>
      <w:bookmarkEnd w:id="12"/>
    </w:p>
    <w:p w:rsidR="001626D1" w:rsidRDefault="001626D1" w:rsidP="001626D1">
      <w:pPr>
        <w:pStyle w:val="Prrafodelista"/>
        <w:spacing w:after="0" w:line="240" w:lineRule="auto"/>
        <w:ind w:left="792"/>
        <w:jc w:val="both"/>
        <w:rPr>
          <w:rFonts w:cs="Arial"/>
        </w:rPr>
      </w:pPr>
    </w:p>
    <w:p w:rsidR="001626D1" w:rsidRDefault="001626D1" w:rsidP="001626D1">
      <w:pPr>
        <w:spacing w:after="0" w:line="240" w:lineRule="auto"/>
        <w:jc w:val="both"/>
        <w:rPr>
          <w:rFonts w:cs="Arial"/>
        </w:rPr>
      </w:pPr>
      <w:r w:rsidRPr="00363428">
        <w:rPr>
          <w:rFonts w:cs="Arial"/>
        </w:rPr>
        <w:t xml:space="preserve">Los resultados </w:t>
      </w:r>
      <w:r>
        <w:rPr>
          <w:rFonts w:cs="Arial"/>
        </w:rPr>
        <w:t xml:space="preserve">registrados de los niveles de </w:t>
      </w:r>
      <w:r w:rsidRPr="00363428">
        <w:rPr>
          <w:rFonts w:cs="Arial"/>
        </w:rPr>
        <w:t>ejecución presupues</w:t>
      </w:r>
      <w:r>
        <w:rPr>
          <w:rFonts w:cs="Arial"/>
        </w:rPr>
        <w:t>tal comprometida y obligada del ICBF en la vigencia 2016</w:t>
      </w:r>
      <w:r w:rsidRPr="00363428">
        <w:rPr>
          <w:rFonts w:cs="Arial"/>
        </w:rPr>
        <w:t xml:space="preserve"> fueron </w:t>
      </w:r>
      <w:r>
        <w:rPr>
          <w:rFonts w:cs="Arial"/>
        </w:rPr>
        <w:t>satisfactorios. Lo anterior producto de la implementación de una serie de estrategias que buscaron garantizar</w:t>
      </w:r>
      <w:r w:rsidRPr="00363428">
        <w:rPr>
          <w:rFonts w:cs="Arial"/>
        </w:rPr>
        <w:t xml:space="preserve"> la ejecución del 100% de los recursos co</w:t>
      </w:r>
      <w:r>
        <w:rPr>
          <w:rFonts w:cs="Arial"/>
        </w:rPr>
        <w:t xml:space="preserve">n un enfoque eficiente y eficaz de acuerdo con el objetivo planteado por la Dirección General. </w:t>
      </w:r>
    </w:p>
    <w:p w:rsidR="001626D1" w:rsidRDefault="001626D1" w:rsidP="001626D1">
      <w:pPr>
        <w:spacing w:after="0" w:line="240" w:lineRule="auto"/>
        <w:jc w:val="both"/>
        <w:rPr>
          <w:rFonts w:cs="Arial"/>
        </w:rPr>
      </w:pPr>
    </w:p>
    <w:p w:rsidR="001626D1" w:rsidRDefault="001626D1" w:rsidP="001626D1">
      <w:pPr>
        <w:spacing w:after="0" w:line="240" w:lineRule="auto"/>
        <w:jc w:val="both"/>
        <w:rPr>
          <w:rFonts w:cs="Arial"/>
        </w:rPr>
      </w:pPr>
      <w:r>
        <w:rPr>
          <w:rFonts w:cs="Arial"/>
        </w:rPr>
        <w:t xml:space="preserve">La primera estrategia implementada fue la creación del Comité de seguimiento a la Ejecución Presupuestal. Conformado por la Subdirección General, la Secretaría General, la Dirección Financiera, Dirección de Planeación y Gestión de Control, la Dirección de Abastecimiento y la Oficina de Gestión Regional, sesionaba dos veces en el mes y se realizaba seguimiento detallado </w:t>
      </w:r>
      <w:r>
        <w:rPr>
          <w:rFonts w:cs="Arial"/>
        </w:rPr>
        <w:lastRenderedPageBreak/>
        <w:t>y pormenorizado de los niveles de cumplimento de los compromisos, obligaciones, reservas presupuestales y un seguimiento especial al uso de las Vigencias Futuras.</w:t>
      </w:r>
    </w:p>
    <w:p w:rsidR="001626D1" w:rsidRDefault="001626D1" w:rsidP="001626D1">
      <w:pPr>
        <w:spacing w:after="0" w:line="240" w:lineRule="auto"/>
        <w:jc w:val="both"/>
        <w:rPr>
          <w:rFonts w:cs="Arial"/>
        </w:rPr>
      </w:pPr>
    </w:p>
    <w:p w:rsidR="001626D1" w:rsidRDefault="001626D1" w:rsidP="001626D1">
      <w:pPr>
        <w:spacing w:after="0" w:line="240" w:lineRule="auto"/>
        <w:jc w:val="both"/>
        <w:rPr>
          <w:rFonts w:cs="Arial"/>
        </w:rPr>
      </w:pPr>
      <w:r>
        <w:rPr>
          <w:rFonts w:cs="Arial"/>
        </w:rPr>
        <w:t>En el marco del comité de seguimiento se estructuró la circular 005 de lineamientos de ejecución presupuestal para el 2016, en la cual se diseñó una serie de parámetros que buscaron enfocar esfuerzos para mejorar los niveles de ejecución. Los parámetros incluyeron desde la estructuración de la metas de ejecución de compromisos y obligaciones de los gerentes de recursos en la Sede Nacional y en las Regionales, hasta los tiempos para realizar modificaciones presupuestales asociados a la publicación del plan de adquisiciones.</w:t>
      </w:r>
    </w:p>
    <w:p w:rsidR="001626D1" w:rsidRDefault="001626D1" w:rsidP="001626D1">
      <w:pPr>
        <w:spacing w:after="0" w:line="240" w:lineRule="auto"/>
        <w:jc w:val="both"/>
        <w:rPr>
          <w:rFonts w:cs="Arial"/>
        </w:rPr>
      </w:pPr>
    </w:p>
    <w:p w:rsidR="001626D1" w:rsidRDefault="001626D1" w:rsidP="001626D1">
      <w:pPr>
        <w:jc w:val="both"/>
        <w:rPr>
          <w:rFonts w:cs="Arial"/>
        </w:rPr>
      </w:pPr>
      <w:r>
        <w:rPr>
          <w:rFonts w:cs="Arial"/>
        </w:rPr>
        <w:t>Adicionalmente, se logró realizar 12 videoconferencias con las 33 Direcciones Regionales y cerca de 50 reuniones con las áreas gerentes de recurso en la Sede Nacional, en las cuales se reforzó el cumplimiento de las metas de seguimiento a la ejecución presupuestal.</w:t>
      </w:r>
    </w:p>
    <w:p w:rsidR="001626D1" w:rsidRDefault="001626D1" w:rsidP="001626D1">
      <w:pPr>
        <w:jc w:val="both"/>
        <w:rPr>
          <w:rFonts w:cs="Arial"/>
        </w:rPr>
      </w:pPr>
      <w:r>
        <w:rPr>
          <w:rFonts w:cs="Arial"/>
        </w:rPr>
        <w:t>Con la implementación de estas estrategias el Instituto Colombiano de Bienestar Familiar-ICBF, logró registrar ejecución de compromisos de $5,4 billones equivalentes al 99,4% de su apropiación vigente. Marcando el porcentaje más alto de ejecución comprometida de los últimos 26 años y la pérdida de apropiación es la más baja en los mismos años</w:t>
      </w:r>
      <w:r w:rsidR="00410B29">
        <w:rPr>
          <w:rFonts w:cs="Arial"/>
        </w:rPr>
        <w:t xml:space="preserve"> </w:t>
      </w:r>
    </w:p>
    <w:p w:rsidR="001626D1" w:rsidRDefault="001626D1" w:rsidP="001626D1">
      <w:pPr>
        <w:jc w:val="both"/>
        <w:rPr>
          <w:rFonts w:cs="Arial"/>
        </w:rPr>
      </w:pPr>
      <w:r>
        <w:rPr>
          <w:rFonts w:cs="Arial"/>
        </w:rPr>
        <w:t>Por otro lado, el nivel de obligaciones equivalentes al 97,5% de la apropiación vigente, fue superior a las obligaciones registradas en los últimos 5 años. Sin embargo, el valor obligado de $5,3 billones, es superior a los registrados en los últimos 16 años a precios constantes</w:t>
      </w:r>
      <w:r w:rsidR="00410B29">
        <w:rPr>
          <w:rFonts w:cs="Arial"/>
        </w:rPr>
        <w:t xml:space="preserve"> </w:t>
      </w:r>
    </w:p>
    <w:p w:rsidR="001626D1" w:rsidRDefault="001626D1" w:rsidP="001626D1">
      <w:pPr>
        <w:jc w:val="both"/>
        <w:rPr>
          <w:rFonts w:cs="Arial"/>
        </w:rPr>
      </w:pPr>
      <w:r>
        <w:rPr>
          <w:rFonts w:cs="Arial"/>
        </w:rPr>
        <w:t>Adicionalmente,  el ICBF logró el cumplimiento del 100% en todos los meses del año de las metas propuestas en el acuerdo de desempeño con presidencia y logró mantenerse en el primer lugar de ejecución obligada, entre las entidades que conforman el Sector Inclusión Social y Reconciliación.</w:t>
      </w:r>
    </w:p>
    <w:p w:rsidR="00DA54E3" w:rsidRDefault="001626D1" w:rsidP="001626D1">
      <w:pPr>
        <w:jc w:val="both"/>
        <w:rPr>
          <w:rFonts w:cs="Arial"/>
        </w:rPr>
      </w:pPr>
      <w:r>
        <w:rPr>
          <w:rFonts w:cs="Arial"/>
        </w:rPr>
        <w:t>También, logró compromisos del 96,9% del cupo de vigencias futuras autorizadas y disminuir el nivel de reservas constituidas en relación con los últimos 5 años.</w:t>
      </w:r>
    </w:p>
    <w:p w:rsidR="001626D1" w:rsidRPr="00D527F0" w:rsidRDefault="001626D1" w:rsidP="00D712DC">
      <w:pPr>
        <w:pStyle w:val="Prrafodelista"/>
        <w:numPr>
          <w:ilvl w:val="1"/>
          <w:numId w:val="11"/>
        </w:numPr>
        <w:spacing w:after="0" w:line="240" w:lineRule="auto"/>
        <w:jc w:val="both"/>
        <w:outlineLvl w:val="1"/>
        <w:rPr>
          <w:rFonts w:cs="Arial"/>
          <w:b/>
        </w:rPr>
      </w:pPr>
      <w:bookmarkStart w:id="13" w:name="_Toc473581397"/>
      <w:r w:rsidRPr="00D527F0">
        <w:rPr>
          <w:rFonts w:cs="Arial"/>
          <w:b/>
        </w:rPr>
        <w:t>Retos</w:t>
      </w:r>
      <w:bookmarkEnd w:id="13"/>
    </w:p>
    <w:p w:rsidR="001626D1" w:rsidRPr="00B67BC3" w:rsidRDefault="001626D1" w:rsidP="001626D1">
      <w:pPr>
        <w:pStyle w:val="Prrafodelista"/>
        <w:spacing w:after="0" w:line="240" w:lineRule="auto"/>
        <w:ind w:left="792"/>
        <w:jc w:val="both"/>
        <w:rPr>
          <w:rFonts w:cs="Arial"/>
        </w:rPr>
      </w:pPr>
    </w:p>
    <w:p w:rsidR="001626D1" w:rsidRPr="00B67BC3" w:rsidRDefault="001626D1" w:rsidP="00D712DC">
      <w:pPr>
        <w:numPr>
          <w:ilvl w:val="0"/>
          <w:numId w:val="189"/>
        </w:numPr>
        <w:tabs>
          <w:tab w:val="clear" w:pos="360"/>
          <w:tab w:val="num" w:pos="709"/>
        </w:tabs>
        <w:spacing w:after="0" w:line="240" w:lineRule="auto"/>
        <w:ind w:left="709" w:hanging="283"/>
        <w:jc w:val="both"/>
        <w:rPr>
          <w:rFonts w:cs="Arial"/>
        </w:rPr>
      </w:pPr>
      <w:r w:rsidRPr="00B67BC3">
        <w:rPr>
          <w:rFonts w:cs="Arial"/>
        </w:rPr>
        <w:t>Capacitar permanente al personal financiero en las áreas, que genere un mayor control y seguimiento a la ejecución presupuestal de los recursos.</w:t>
      </w:r>
    </w:p>
    <w:p w:rsidR="001626D1" w:rsidRPr="00B67BC3" w:rsidRDefault="001626D1" w:rsidP="001626D1">
      <w:pPr>
        <w:tabs>
          <w:tab w:val="num" w:pos="709"/>
        </w:tabs>
        <w:spacing w:after="0" w:line="240" w:lineRule="auto"/>
        <w:ind w:left="709" w:hanging="283"/>
        <w:jc w:val="both"/>
        <w:rPr>
          <w:rFonts w:cs="Arial"/>
        </w:rPr>
      </w:pPr>
    </w:p>
    <w:p w:rsidR="001626D1" w:rsidRPr="00B67BC3" w:rsidRDefault="001626D1" w:rsidP="00D712DC">
      <w:pPr>
        <w:numPr>
          <w:ilvl w:val="0"/>
          <w:numId w:val="189"/>
        </w:numPr>
        <w:tabs>
          <w:tab w:val="clear" w:pos="360"/>
          <w:tab w:val="num" w:pos="709"/>
        </w:tabs>
        <w:spacing w:after="0" w:line="240" w:lineRule="auto"/>
        <w:ind w:left="709" w:hanging="283"/>
        <w:jc w:val="both"/>
        <w:rPr>
          <w:rFonts w:cs="Arial"/>
        </w:rPr>
      </w:pPr>
      <w:r w:rsidRPr="00B67BC3">
        <w:rPr>
          <w:rFonts w:cs="Arial"/>
        </w:rPr>
        <w:t>Definir un cronograma de visitas para acompañamiento a las áreas de la Sede Nacional y Regionales que requieran del mismo.</w:t>
      </w:r>
    </w:p>
    <w:p w:rsidR="001626D1" w:rsidRPr="00B67BC3" w:rsidRDefault="001626D1" w:rsidP="001626D1">
      <w:pPr>
        <w:tabs>
          <w:tab w:val="num" w:pos="709"/>
        </w:tabs>
        <w:spacing w:after="0" w:line="240" w:lineRule="auto"/>
        <w:ind w:left="709" w:hanging="283"/>
        <w:jc w:val="both"/>
        <w:rPr>
          <w:rFonts w:cs="Arial"/>
        </w:rPr>
      </w:pPr>
    </w:p>
    <w:p w:rsidR="001626D1" w:rsidRDefault="001626D1" w:rsidP="00D712DC">
      <w:pPr>
        <w:numPr>
          <w:ilvl w:val="0"/>
          <w:numId w:val="189"/>
        </w:numPr>
        <w:tabs>
          <w:tab w:val="clear" w:pos="360"/>
          <w:tab w:val="num" w:pos="709"/>
        </w:tabs>
        <w:spacing w:after="0" w:line="240" w:lineRule="auto"/>
        <w:ind w:left="709" w:hanging="283"/>
        <w:jc w:val="both"/>
        <w:rPr>
          <w:rFonts w:cs="Arial"/>
        </w:rPr>
      </w:pPr>
      <w:r w:rsidRPr="00B67BC3">
        <w:rPr>
          <w:rFonts w:cs="Arial"/>
        </w:rPr>
        <w:t xml:space="preserve">Incorporar en la herramienta tecnológica respectiva por parte de la Dirección de Informática y Tecnología, los ajustes de </w:t>
      </w:r>
      <w:r>
        <w:rPr>
          <w:rFonts w:cs="Arial"/>
        </w:rPr>
        <w:t>s</w:t>
      </w:r>
      <w:r w:rsidRPr="00B67BC3">
        <w:rPr>
          <w:rFonts w:cs="Arial"/>
        </w:rPr>
        <w:t>olicitud, control y registro de las modificaciones presupuestales y a las metas sociales y financieras (integración SIM con NMF).</w:t>
      </w:r>
    </w:p>
    <w:p w:rsidR="001626D1" w:rsidRPr="00B67BC3" w:rsidRDefault="001626D1" w:rsidP="001626D1">
      <w:pPr>
        <w:spacing w:after="0" w:line="240" w:lineRule="auto"/>
        <w:jc w:val="both"/>
        <w:rPr>
          <w:rFonts w:cs="Arial"/>
        </w:rPr>
      </w:pPr>
    </w:p>
    <w:p w:rsidR="001626D1" w:rsidRPr="00B67BC3" w:rsidRDefault="001626D1" w:rsidP="00D712DC">
      <w:pPr>
        <w:numPr>
          <w:ilvl w:val="0"/>
          <w:numId w:val="189"/>
        </w:numPr>
        <w:tabs>
          <w:tab w:val="clear" w:pos="360"/>
          <w:tab w:val="num" w:pos="709"/>
        </w:tabs>
        <w:spacing w:after="0" w:line="240" w:lineRule="auto"/>
        <w:ind w:left="709" w:hanging="283"/>
        <w:jc w:val="both"/>
        <w:rPr>
          <w:rFonts w:cs="Arial"/>
        </w:rPr>
      </w:pPr>
      <w:r w:rsidRPr="00B67BC3">
        <w:rPr>
          <w:rFonts w:cs="Arial"/>
        </w:rPr>
        <w:t>Puesta en producción del Aplicativo de Seguimiento a la Ejecución Presupuestal.</w:t>
      </w:r>
    </w:p>
    <w:p w:rsidR="001626D1" w:rsidRPr="00B67BC3" w:rsidRDefault="001626D1" w:rsidP="001626D1">
      <w:pPr>
        <w:pStyle w:val="Prrafodelista"/>
        <w:spacing w:after="0" w:line="240" w:lineRule="auto"/>
        <w:ind w:left="792"/>
        <w:jc w:val="both"/>
        <w:rPr>
          <w:rFonts w:cs="Arial"/>
        </w:rPr>
      </w:pPr>
    </w:p>
    <w:p w:rsidR="001626D1" w:rsidRPr="00C52061" w:rsidRDefault="001626D1" w:rsidP="00D712DC">
      <w:pPr>
        <w:numPr>
          <w:ilvl w:val="0"/>
          <w:numId w:val="189"/>
        </w:numPr>
        <w:tabs>
          <w:tab w:val="clear" w:pos="360"/>
          <w:tab w:val="num" w:pos="709"/>
        </w:tabs>
        <w:spacing w:after="0" w:line="240" w:lineRule="auto"/>
        <w:ind w:left="709" w:hanging="283"/>
        <w:jc w:val="both"/>
        <w:rPr>
          <w:rFonts w:cs="Arial"/>
        </w:rPr>
      </w:pPr>
      <w:r w:rsidRPr="00C52061">
        <w:rPr>
          <w:rFonts w:cs="Arial"/>
        </w:rPr>
        <w:lastRenderedPageBreak/>
        <w:t>Articulación con los Gerentes de recursos de la Sede de la Dirección General, con el fin de mantener la ejecución presupuestal con excelentes resultados en eficiencia y oportunidad.</w:t>
      </w:r>
      <w:r w:rsidRPr="00C52061" w:rsidDel="00435AA2">
        <w:rPr>
          <w:rFonts w:cs="Arial"/>
        </w:rPr>
        <w:t xml:space="preserve"> </w:t>
      </w:r>
    </w:p>
    <w:p w:rsidR="001626D1" w:rsidRDefault="001626D1" w:rsidP="001626D1">
      <w:pPr>
        <w:spacing w:after="0" w:line="240" w:lineRule="auto"/>
        <w:jc w:val="both"/>
        <w:rPr>
          <w:rFonts w:cs="Arial"/>
          <w:b/>
        </w:rPr>
      </w:pPr>
    </w:p>
    <w:p w:rsidR="008612AD" w:rsidRDefault="008612AD" w:rsidP="008612AD">
      <w:pPr>
        <w:spacing w:after="0" w:line="240" w:lineRule="auto"/>
        <w:jc w:val="both"/>
        <w:rPr>
          <w:rFonts w:cs="Arial"/>
          <w:b/>
        </w:rPr>
      </w:pPr>
    </w:p>
    <w:p w:rsidR="008A56FD" w:rsidRDefault="008A56FD" w:rsidP="008A56FD">
      <w:pPr>
        <w:spacing w:after="0" w:line="240" w:lineRule="auto"/>
        <w:jc w:val="both"/>
        <w:rPr>
          <w:rFonts w:cs="Arial"/>
          <w:b/>
        </w:rPr>
      </w:pPr>
      <w:bookmarkStart w:id="14" w:name="_Toc470038833"/>
      <w:bookmarkStart w:id="15" w:name="_Toc441847023"/>
      <w:bookmarkStart w:id="16" w:name="_Toc328055130"/>
    </w:p>
    <w:p w:rsidR="008A56FD" w:rsidRPr="00545218" w:rsidRDefault="00055613" w:rsidP="00D712DC">
      <w:pPr>
        <w:pStyle w:val="Prrafodelista"/>
        <w:keepNext/>
        <w:pageBreakBefore/>
        <w:numPr>
          <w:ilvl w:val="0"/>
          <w:numId w:val="12"/>
        </w:numPr>
        <w:spacing w:after="0" w:line="240" w:lineRule="auto"/>
        <w:outlineLvl w:val="0"/>
        <w:rPr>
          <w:rFonts w:eastAsia="Times New Roman" w:cs="Arial"/>
          <w:b/>
          <w:bCs/>
          <w:kern w:val="32"/>
        </w:rPr>
      </w:pPr>
      <w:bookmarkStart w:id="17" w:name="_Toc473581398"/>
      <w:r w:rsidRPr="00545218">
        <w:rPr>
          <w:rFonts w:eastAsia="Times New Roman" w:cs="Arial"/>
          <w:b/>
          <w:bCs/>
          <w:kern w:val="32"/>
        </w:rPr>
        <w:lastRenderedPageBreak/>
        <w:t>GESTION MISIONAL Y DE GOBIERNO</w:t>
      </w:r>
      <w:bookmarkEnd w:id="17"/>
      <w:r w:rsidRPr="00545218">
        <w:rPr>
          <w:rFonts w:eastAsia="Times New Roman" w:cs="Arial"/>
          <w:b/>
          <w:bCs/>
          <w:kern w:val="32"/>
        </w:rPr>
        <w:t xml:space="preserve"> </w:t>
      </w:r>
    </w:p>
    <w:p w:rsidR="008A56FD" w:rsidRPr="00D23FA4" w:rsidRDefault="008A56FD" w:rsidP="008A56FD">
      <w:pPr>
        <w:spacing w:after="0" w:line="240" w:lineRule="auto"/>
        <w:rPr>
          <w:rFonts w:cs="Arial"/>
        </w:rPr>
      </w:pPr>
    </w:p>
    <w:p w:rsidR="00055613" w:rsidRPr="00545218" w:rsidRDefault="00055613" w:rsidP="00470DCA">
      <w:pPr>
        <w:pStyle w:val="Prrafodelista"/>
        <w:keepNext/>
        <w:keepLines/>
        <w:numPr>
          <w:ilvl w:val="1"/>
          <w:numId w:val="239"/>
        </w:numPr>
        <w:spacing w:after="0" w:line="240" w:lineRule="auto"/>
        <w:outlineLvl w:val="1"/>
        <w:rPr>
          <w:rFonts w:eastAsiaTheme="majorEastAsia" w:cs="Arial"/>
          <w:b/>
        </w:rPr>
      </w:pPr>
      <w:bookmarkStart w:id="18" w:name="_Toc473581399"/>
      <w:r w:rsidRPr="00545218">
        <w:rPr>
          <w:rFonts w:eastAsia="Times New Roman" w:cs="Arial"/>
          <w:b/>
          <w:bCs/>
          <w:kern w:val="32"/>
        </w:rPr>
        <w:t>ATENCIÓN A LA PRIMERA INFANCIA</w:t>
      </w:r>
      <w:bookmarkEnd w:id="18"/>
    </w:p>
    <w:p w:rsidR="00055613" w:rsidRPr="003920C5" w:rsidRDefault="00055613" w:rsidP="005B2A2D"/>
    <w:p w:rsidR="00C42788" w:rsidRPr="00C42788" w:rsidRDefault="008A56FD" w:rsidP="00C42788">
      <w:pPr>
        <w:pStyle w:val="Prrafodelista"/>
        <w:numPr>
          <w:ilvl w:val="2"/>
          <w:numId w:val="239"/>
        </w:numPr>
        <w:spacing w:after="0" w:line="240" w:lineRule="auto"/>
        <w:jc w:val="both"/>
        <w:outlineLvl w:val="1"/>
        <w:rPr>
          <w:rFonts w:cs="Arial"/>
          <w:b/>
        </w:rPr>
      </w:pPr>
      <w:bookmarkStart w:id="19" w:name="_Toc473581400"/>
      <w:r w:rsidRPr="00C42788">
        <w:rPr>
          <w:rFonts w:cs="Arial"/>
          <w:b/>
        </w:rPr>
        <w:t>Aspectos relevantes de la Ley de Primera Infancia</w:t>
      </w:r>
      <w:bookmarkEnd w:id="19"/>
    </w:p>
    <w:p w:rsidR="00C42788" w:rsidRDefault="00C42788"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 xml:space="preserve">La Estrategia de Atención Integral a la Primera Infancia “De Cero a Siempre”, es el mecanismo dinamizador de las políticas, los programas y un conjunto de acciones planificadas, de carácter nacional y territorial, que apuntan a promover y garantizar el desarrollo de las niñas y los niños, desde la gestación hasta los seis años de edad; la cual se encuentra concebida mediante un trabajo conjunto e intersectorial, enfocado desde una perspectiva de derechos, que a través del enfoque diferencial emite y promueve una atención pertinente de acuerdo con la edad, el contexto y la condición de las niñas y los niños. </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jc w:val="both"/>
        <w:rPr>
          <w:rFonts w:cs="Arial"/>
        </w:rPr>
      </w:pPr>
      <w:r w:rsidRPr="00D23FA4">
        <w:rPr>
          <w:rFonts w:cs="Arial"/>
        </w:rPr>
        <w:t xml:space="preserve">Esta estrategia, que se encuentra en fase de implementación desde 2010, fue elevada a rango de ley mediante la adopción de la Ley 1804 del 2016 </w:t>
      </w:r>
      <w:r w:rsidRPr="00D23FA4">
        <w:rPr>
          <w:rFonts w:cs="Arial"/>
          <w:i/>
        </w:rPr>
        <w:t>“Por la cual se establece la Política de Estado para el desarrollo integral de la Primera Infancia De Cero a Siempre y se dictan otras disposiciones",</w:t>
      </w:r>
      <w:r w:rsidRPr="00D23FA4">
        <w:rPr>
          <w:rFonts w:cs="Arial"/>
        </w:rPr>
        <w:t xml:space="preserve"> con la cual se enfatiza en la importancia de la gestión intersectorial en la atención integral a la primera infancia y a las madres gestantes y lactantes. El propósito principal de la ley es el de establecer una Política de Estado para el Desarrollo Integral de la Primera Infancia de Cero a Siempre, buscando en este proceso fortalecer el marco institucional para el reconocimiento, la protección y la garantía de los derechos de las mujeres gestantes, lactantes y de las niñas y los niños de cero a seis años de edad. </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jc w:val="both"/>
        <w:rPr>
          <w:rFonts w:cs="Arial"/>
        </w:rPr>
      </w:pPr>
      <w:r w:rsidRPr="00D23FA4">
        <w:rPr>
          <w:rFonts w:cs="Arial"/>
        </w:rPr>
        <w:t>Para la coordinación, articulación y gestión de la Ley 1804 de 2016, se establece la Comisión Intersectorial para la Atención Integral de la Primera Infancia - CIPI, y su implementación a nivel se realiza bajo los principios definidos en dicha Comisión, en el marco del Sistema Nacional de Bienestar Familiar, de acuerdo con el Artículo 205 de la Ley 1098 de 2006:</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jc w:val="both"/>
        <w:rPr>
          <w:rFonts w:cs="Arial"/>
        </w:rPr>
      </w:pPr>
      <w:r w:rsidRPr="00D23FA4">
        <w:rPr>
          <w:rFonts w:cs="Arial"/>
        </w:rPr>
        <w:t>En este marco, el Instituto Colombiano de Bienestar familiar como ente rector, articulador y coordinador del Sistema Nacional de Bienestar Familiar - SNBF, tiene las siguientes funciones:</w:t>
      </w:r>
    </w:p>
    <w:p w:rsidR="008A56FD" w:rsidRPr="00D23FA4" w:rsidRDefault="008A56FD" w:rsidP="008A56FD">
      <w:pPr>
        <w:spacing w:after="0" w:line="240" w:lineRule="auto"/>
        <w:jc w:val="both"/>
        <w:rPr>
          <w:rFonts w:cs="Arial"/>
          <w:i/>
        </w:rPr>
      </w:pPr>
    </w:p>
    <w:p w:rsidR="008A56FD" w:rsidRPr="00D23FA4" w:rsidRDefault="008A56FD" w:rsidP="008A56FD">
      <w:pPr>
        <w:tabs>
          <w:tab w:val="left" w:pos="993"/>
        </w:tabs>
        <w:spacing w:after="0" w:line="240" w:lineRule="auto"/>
        <w:ind w:left="993" w:hanging="567"/>
        <w:jc w:val="both"/>
        <w:rPr>
          <w:rFonts w:cs="Arial"/>
          <w:i/>
        </w:rPr>
      </w:pPr>
      <w:r w:rsidRPr="00D23FA4">
        <w:rPr>
          <w:rFonts w:cs="Arial"/>
          <w:i/>
        </w:rPr>
        <w:t>“a)</w:t>
      </w:r>
      <w:r w:rsidRPr="00D23FA4">
        <w:rPr>
          <w:rFonts w:cs="Arial"/>
          <w:i/>
        </w:rPr>
        <w:tab/>
        <w:t>Liderar la implementación territorial de la Política de Estado para el Desarrollo Integral de la Primera Infancia de Cero a Siempre a la luz de la Ruta Integral de Atención -   RIA.</w:t>
      </w:r>
    </w:p>
    <w:p w:rsidR="008A56FD" w:rsidRPr="00D23FA4" w:rsidRDefault="008A56FD" w:rsidP="008A56FD">
      <w:pPr>
        <w:tabs>
          <w:tab w:val="left" w:pos="993"/>
        </w:tabs>
        <w:spacing w:after="0" w:line="240" w:lineRule="auto"/>
        <w:ind w:left="993" w:hanging="567"/>
        <w:jc w:val="both"/>
        <w:rPr>
          <w:rFonts w:cs="Arial"/>
          <w:i/>
        </w:rPr>
      </w:pPr>
      <w:r w:rsidRPr="00D23FA4">
        <w:rPr>
          <w:rFonts w:cs="Arial"/>
          <w:i/>
        </w:rPr>
        <w:t>b)</w:t>
      </w:r>
      <w:r w:rsidRPr="00D23FA4">
        <w:rPr>
          <w:rFonts w:cs="Arial"/>
          <w:i/>
        </w:rPr>
        <w:tab/>
        <w:t>Promover la participación y la movilización social en torno a la protección integral de la primera infancia como prioridad social, política, técnica y financiera.”</w:t>
      </w:r>
      <w:r w:rsidRPr="00D23FA4">
        <w:rPr>
          <w:rFonts w:cs="Arial"/>
          <w:vertAlign w:val="superscript"/>
        </w:rPr>
        <w:t xml:space="preserve"> </w:t>
      </w:r>
      <w:r w:rsidRPr="00D23FA4">
        <w:rPr>
          <w:rFonts w:cs="Arial"/>
          <w:vertAlign w:val="superscript"/>
        </w:rPr>
        <w:footnoteReference w:id="4"/>
      </w:r>
    </w:p>
    <w:p w:rsidR="008A56FD" w:rsidRPr="00D23FA4" w:rsidRDefault="008A56FD" w:rsidP="008A56FD">
      <w:pPr>
        <w:spacing w:after="0" w:line="240" w:lineRule="auto"/>
        <w:jc w:val="both"/>
        <w:rPr>
          <w:rFonts w:cs="Arial"/>
          <w:i/>
        </w:rPr>
      </w:pPr>
    </w:p>
    <w:p w:rsidR="008A56FD" w:rsidRPr="00D23FA4" w:rsidRDefault="008A56FD" w:rsidP="008A56FD">
      <w:pPr>
        <w:spacing w:after="0" w:line="240" w:lineRule="auto"/>
        <w:jc w:val="both"/>
        <w:rPr>
          <w:rFonts w:cs="Arial"/>
        </w:rPr>
      </w:pPr>
      <w:r w:rsidRPr="00D23FA4">
        <w:rPr>
          <w:rFonts w:cs="Arial"/>
        </w:rPr>
        <w:t>Adicionalmente, al ICBF como entidad encargada de dar línea técnica y de prestar servicios directos a los niños y niñas de la primera infancia del país, le corresponde lo siguiente:</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ind w:left="567" w:hanging="567"/>
        <w:jc w:val="both"/>
        <w:rPr>
          <w:rFonts w:cs="Arial"/>
          <w:i/>
        </w:rPr>
      </w:pPr>
      <w:r w:rsidRPr="00D23FA4">
        <w:rPr>
          <w:rFonts w:cs="Arial"/>
          <w:i/>
        </w:rPr>
        <w:t>“a)</w:t>
      </w:r>
      <w:r w:rsidRPr="00D23FA4">
        <w:rPr>
          <w:rFonts w:cs="Arial"/>
          <w:i/>
        </w:rPr>
        <w:tab/>
        <w:t>Armonizar los lineamientos de los diferentes servicios a través de los cuales atiende población en primera infancia, de acuerdo con la Política de Estado para el Desarrollo Integral de la Primera Infancia de Cero a Siempre.</w:t>
      </w:r>
    </w:p>
    <w:p w:rsidR="008A56FD" w:rsidRDefault="008A56FD" w:rsidP="008A56FD">
      <w:pPr>
        <w:spacing w:after="0" w:line="240" w:lineRule="auto"/>
        <w:ind w:left="567" w:hanging="567"/>
        <w:jc w:val="both"/>
        <w:rPr>
          <w:rFonts w:cs="Arial"/>
          <w:i/>
        </w:rPr>
      </w:pPr>
      <w:r w:rsidRPr="00D23FA4">
        <w:rPr>
          <w:rFonts w:cs="Arial"/>
          <w:i/>
        </w:rPr>
        <w:lastRenderedPageBreak/>
        <w:t>b)</w:t>
      </w:r>
      <w:r w:rsidRPr="00D23FA4">
        <w:rPr>
          <w:rFonts w:cs="Arial"/>
          <w:i/>
        </w:rPr>
        <w:tab/>
        <w:t>Organizar la implementación de los servicios de educación inicial con enfoque de atención integral de acuerdo con los referentes técnicos para tal fin y en el marco de la Política de Estado para el Desarrollo Integral de la Primera Infancia de Cero a Siempre.</w:t>
      </w:r>
    </w:p>
    <w:p w:rsidR="007B1F82" w:rsidRPr="00D23FA4" w:rsidRDefault="007B1F82" w:rsidP="008A56FD">
      <w:pPr>
        <w:spacing w:after="0" w:line="240" w:lineRule="auto"/>
        <w:ind w:left="567" w:hanging="567"/>
        <w:jc w:val="both"/>
        <w:rPr>
          <w:rFonts w:cs="Arial"/>
          <w:i/>
        </w:rPr>
      </w:pPr>
    </w:p>
    <w:p w:rsidR="008A56FD" w:rsidRPr="00D23FA4" w:rsidRDefault="008A56FD" w:rsidP="008A56FD">
      <w:pPr>
        <w:spacing w:after="0" w:line="240" w:lineRule="auto"/>
        <w:ind w:left="567" w:hanging="567"/>
        <w:jc w:val="both"/>
        <w:rPr>
          <w:rFonts w:cs="Arial"/>
          <w:i/>
        </w:rPr>
      </w:pPr>
      <w:r w:rsidRPr="00D23FA4">
        <w:rPr>
          <w:rFonts w:cs="Arial"/>
          <w:i/>
        </w:rPr>
        <w:t>c)</w:t>
      </w:r>
      <w:r w:rsidRPr="00D23FA4">
        <w:rPr>
          <w:rFonts w:cs="Arial"/>
          <w:i/>
        </w:rPr>
        <w:tab/>
        <w:t>Fiscalizar la operación de las modalidades de atención a la primera infancia bajo su responsabilidad, en coordinación con el Departamento para la Prosperidad Social”</w:t>
      </w:r>
      <w:r w:rsidRPr="00D23FA4">
        <w:rPr>
          <w:rFonts w:cs="Arial"/>
          <w:i/>
          <w:vertAlign w:val="superscript"/>
        </w:rPr>
        <w:footnoteReference w:id="5"/>
      </w:r>
      <w:r w:rsidRPr="00D23FA4">
        <w:rPr>
          <w:rFonts w:cs="Arial"/>
          <w:i/>
        </w:rPr>
        <w:t xml:space="preserve">. </w:t>
      </w:r>
    </w:p>
    <w:p w:rsidR="006A5617" w:rsidRDefault="006A5617" w:rsidP="00545218">
      <w:pPr>
        <w:ind w:firstLine="567"/>
        <w:rPr>
          <w:rFonts w:eastAsiaTheme="majorEastAsia"/>
          <w:b/>
        </w:rPr>
      </w:pPr>
    </w:p>
    <w:p w:rsidR="008A56FD" w:rsidRPr="00C42788" w:rsidRDefault="008A56FD" w:rsidP="00C42788">
      <w:pPr>
        <w:pStyle w:val="Prrafodelista"/>
        <w:numPr>
          <w:ilvl w:val="2"/>
          <w:numId w:val="239"/>
        </w:numPr>
        <w:spacing w:after="0" w:line="240" w:lineRule="auto"/>
        <w:jc w:val="both"/>
        <w:outlineLvl w:val="1"/>
        <w:rPr>
          <w:rFonts w:cs="Arial"/>
          <w:b/>
        </w:rPr>
      </w:pPr>
      <w:bookmarkStart w:id="20" w:name="_Toc473581401"/>
      <w:r w:rsidRPr="00C42788">
        <w:rPr>
          <w:rFonts w:cs="Arial"/>
          <w:b/>
        </w:rPr>
        <w:t>Atención Integral</w:t>
      </w:r>
      <w:bookmarkEnd w:id="20"/>
    </w:p>
    <w:p w:rsidR="00700951" w:rsidRDefault="00700951" w:rsidP="008A56FD">
      <w:pPr>
        <w:spacing w:line="240" w:lineRule="auto"/>
        <w:jc w:val="both"/>
        <w:rPr>
          <w:rFonts w:cs="Arial"/>
        </w:rPr>
      </w:pPr>
    </w:p>
    <w:p w:rsidR="008A56FD" w:rsidRPr="00D23FA4" w:rsidRDefault="008A56FD" w:rsidP="008A56FD">
      <w:pPr>
        <w:spacing w:line="240" w:lineRule="auto"/>
        <w:jc w:val="both"/>
        <w:rPr>
          <w:rFonts w:cs="Arial"/>
        </w:rPr>
      </w:pPr>
      <w:r w:rsidRPr="00D23FA4">
        <w:rPr>
          <w:rFonts w:cs="Arial"/>
        </w:rPr>
        <w:t>La Dirección de Primera Infancia del ICBF as</w:t>
      </w:r>
      <w:r>
        <w:rPr>
          <w:rFonts w:cs="Arial"/>
        </w:rPr>
        <w:t>umió</w:t>
      </w:r>
      <w:r w:rsidRPr="00D23FA4">
        <w:rPr>
          <w:rFonts w:cs="Arial"/>
        </w:rPr>
        <w:t xml:space="preserve"> </w:t>
      </w:r>
      <w:r>
        <w:rPr>
          <w:rFonts w:cs="Arial"/>
        </w:rPr>
        <w:t xml:space="preserve">en la vigencia 2016 </w:t>
      </w:r>
      <w:r w:rsidRPr="00D23FA4">
        <w:rPr>
          <w:rFonts w:cs="Arial"/>
        </w:rPr>
        <w:t>la atención de</w:t>
      </w:r>
      <w:r>
        <w:rPr>
          <w:rFonts w:cs="Arial"/>
        </w:rPr>
        <w:t xml:space="preserve"> </w:t>
      </w:r>
      <w:r w:rsidRPr="00584AA1">
        <w:rPr>
          <w:rFonts w:cs="Arial"/>
        </w:rPr>
        <w:t>1.274.411</w:t>
      </w:r>
      <w:r>
        <w:rPr>
          <w:rFonts w:cs="Arial"/>
        </w:rPr>
        <w:t xml:space="preserve"> n</w:t>
      </w:r>
      <w:r w:rsidRPr="00D23FA4">
        <w:rPr>
          <w:rFonts w:cs="Arial"/>
        </w:rPr>
        <w:t>iñas y niños del país desde la gestación hasta los 6 años, mediante la garantía de sus derechos a la educación inicial, cuidado, salud y nutrición, protección y participación. Esta atención incluye acciones adicionales dirigidas a las mujeres gestantes y lactantes e integra procesos de calidad y formación integral, a través del desarrollo de las siguientes modalidades: Institucional, Familiar y Comunitaria, coherentes con las características e historias territoriales del país.</w:t>
      </w:r>
    </w:p>
    <w:p w:rsidR="008A56FD" w:rsidRDefault="008A56FD" w:rsidP="008A56FD">
      <w:pPr>
        <w:spacing w:after="0" w:line="240" w:lineRule="auto"/>
        <w:jc w:val="both"/>
        <w:rPr>
          <w:rFonts w:cs="Arial"/>
          <w:lang w:eastAsia="es-ES"/>
        </w:rPr>
      </w:pPr>
      <w:r w:rsidRPr="00D23FA4">
        <w:rPr>
          <w:rFonts w:cs="Arial"/>
          <w:lang w:eastAsia="es-ES"/>
        </w:rPr>
        <w:t>Así, el objetivo primordial de la atención integral a la Primera Infancia es asegurar las condiciones que posibiliten el desarrollo infantil, acrecentando las capacidades, habilidades y potencialidades humanas, las cuales tienen un asiento más exitoso en los primeros años de vida</w:t>
      </w:r>
      <w:r>
        <w:rPr>
          <w:rFonts w:cs="Arial"/>
          <w:lang w:eastAsia="es-ES"/>
        </w:rPr>
        <w:t xml:space="preserve">; por medio de las siguientes atenciones: </w:t>
      </w:r>
    </w:p>
    <w:p w:rsidR="008A56FD" w:rsidRDefault="008A56FD" w:rsidP="008A56FD">
      <w:pPr>
        <w:spacing w:after="0" w:line="240" w:lineRule="auto"/>
        <w:jc w:val="both"/>
        <w:rPr>
          <w:rFonts w:cs="Arial"/>
          <w:lang w:eastAsia="es-ES"/>
        </w:rPr>
      </w:pP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Afiliación Vigente a Salud en el Sistema General de la Seguridad Social en Salud.</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Esquema de vacunación completo para edad.</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Asistencia a las consultas para la detección temprana de las alteraciones en el crecimiento y desarrollo.</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Valoración y seguimiento nutricional</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Asistencia a una unidad de servicio de las Modalidades de Educación Inicial en el Marco de Atención Integral, cuyo talento humano está certificado en procesos de cualificación.</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Acceso a colecciones de libros o contenidos culturales especializados en las modalidades de Educación Inicial en el marco de la atención integral.</w:t>
      </w:r>
    </w:p>
    <w:p w:rsidR="008A56FD" w:rsidRDefault="008A56FD" w:rsidP="00470DCA">
      <w:pPr>
        <w:pStyle w:val="Prrafodelista"/>
        <w:numPr>
          <w:ilvl w:val="0"/>
          <w:numId w:val="219"/>
        </w:numPr>
        <w:spacing w:after="0" w:line="240" w:lineRule="auto"/>
        <w:jc w:val="both"/>
        <w:rPr>
          <w:rFonts w:cs="Arial"/>
          <w:lang w:eastAsia="es-ES"/>
        </w:rPr>
      </w:pPr>
      <w:r>
        <w:rPr>
          <w:rFonts w:cs="Arial"/>
          <w:lang w:eastAsia="es-ES"/>
        </w:rPr>
        <w:t>Registro Civil de Nacimiento</w:t>
      </w:r>
    </w:p>
    <w:p w:rsidR="008A56FD" w:rsidRPr="00B47384" w:rsidRDefault="008A56FD" w:rsidP="00470DCA">
      <w:pPr>
        <w:pStyle w:val="Prrafodelista"/>
        <w:numPr>
          <w:ilvl w:val="0"/>
          <w:numId w:val="219"/>
        </w:numPr>
        <w:spacing w:after="0" w:line="240" w:lineRule="auto"/>
        <w:jc w:val="both"/>
        <w:rPr>
          <w:rFonts w:cs="Arial"/>
          <w:lang w:eastAsia="es-ES"/>
        </w:rPr>
      </w:pPr>
      <w:r>
        <w:rPr>
          <w:rFonts w:cs="Arial"/>
          <w:lang w:eastAsia="es-ES"/>
        </w:rPr>
        <w:t>Participación de sus familias en proceso de formación.</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A continuación, se presentan los servicios que ofrece el ICBF en el marco de la atención integral a la primera infancia.</w:t>
      </w:r>
    </w:p>
    <w:p w:rsidR="008A56FD" w:rsidRPr="00D23FA4" w:rsidRDefault="008A56FD" w:rsidP="00AF6668"/>
    <w:p w:rsidR="008A56FD" w:rsidRPr="00055613" w:rsidRDefault="008A56FD" w:rsidP="00545218">
      <w:pPr>
        <w:ind w:firstLine="708"/>
        <w:rPr>
          <w:rFonts w:eastAsiaTheme="majorEastAsia"/>
          <w:b/>
        </w:rPr>
      </w:pPr>
      <w:r w:rsidRPr="00055613">
        <w:rPr>
          <w:rFonts w:eastAsiaTheme="majorEastAsia"/>
          <w:b/>
        </w:rPr>
        <w:t>Modalidades de Atención Integral</w:t>
      </w:r>
    </w:p>
    <w:p w:rsidR="008A56FD" w:rsidRPr="00055613" w:rsidRDefault="008A56FD" w:rsidP="00545218">
      <w:pPr>
        <w:ind w:left="708" w:firstLine="708"/>
        <w:rPr>
          <w:rFonts w:eastAsiaTheme="majorEastAsia"/>
          <w:b/>
        </w:rPr>
      </w:pPr>
      <w:r w:rsidRPr="00055613">
        <w:rPr>
          <w:rFonts w:eastAsiaTheme="majorEastAsia"/>
          <w:b/>
        </w:rPr>
        <w:t xml:space="preserve">Modalidad Institucional </w:t>
      </w:r>
    </w:p>
    <w:p w:rsidR="008A56FD" w:rsidRPr="00932571" w:rsidRDefault="008A56FD" w:rsidP="008A56FD">
      <w:pPr>
        <w:spacing w:after="0" w:line="240" w:lineRule="auto"/>
        <w:jc w:val="both"/>
        <w:rPr>
          <w:rFonts w:eastAsia="Times New Roman" w:cs="Arial"/>
          <w:lang w:eastAsia="es-ES"/>
        </w:rPr>
      </w:pPr>
      <w:r w:rsidRPr="00D23FA4">
        <w:rPr>
          <w:rFonts w:eastAsia="Times New Roman" w:cs="Arial"/>
          <w:lang w:eastAsia="es-ES"/>
        </w:rPr>
        <w:t xml:space="preserve">La modalidad institucional funciona en espacios especializados para atender a las niñas y niños en la primera infancia, así como a sus familias o cuidadores; se prioriza la atención de las niñas </w:t>
      </w:r>
      <w:r w:rsidRPr="00D23FA4">
        <w:rPr>
          <w:rFonts w:eastAsia="Times New Roman" w:cs="Arial"/>
          <w:lang w:eastAsia="es-ES"/>
        </w:rPr>
        <w:lastRenderedPageBreak/>
        <w:t>y niños entre los dos años y hasta menores de cinco años o hasta su ingreso al grado de transición. Sin perjuicio de lo anterior, esta modalidad está diseñada para atender las diferentes edades con la singularidad que eso implica, por ello estarán abiertos o atenderán a niñas y niños entre los seis meses y cinco (5) años, y hasta los seis (6) años en el grado de transición</w:t>
      </w:r>
      <w:r w:rsidRPr="00D23FA4" w:rsidDel="00704E1B">
        <w:rPr>
          <w:rFonts w:eastAsia="Times New Roman" w:cs="Arial"/>
          <w:lang w:eastAsia="es-ES"/>
        </w:rPr>
        <w:t xml:space="preserve"> </w:t>
      </w:r>
      <w:r w:rsidRPr="00D23FA4">
        <w:rPr>
          <w:rFonts w:eastAsia="Times New Roman" w:cs="Arial"/>
          <w:lang w:eastAsia="es-ES"/>
        </w:rPr>
        <w:t xml:space="preserve">de acuerdo a las orientaciones establecidas en el </w:t>
      </w:r>
      <w:r>
        <w:rPr>
          <w:rFonts w:eastAsia="Times New Roman" w:cs="Arial"/>
          <w:lang w:eastAsia="es-ES"/>
        </w:rPr>
        <w:t>M</w:t>
      </w:r>
      <w:r w:rsidRPr="00D23FA4">
        <w:rPr>
          <w:rFonts w:eastAsia="Times New Roman" w:cs="Arial"/>
          <w:lang w:eastAsia="es-ES"/>
        </w:rPr>
        <w:t>anual</w:t>
      </w:r>
      <w:r>
        <w:rPr>
          <w:rFonts w:eastAsia="Times New Roman" w:cs="Arial"/>
          <w:lang w:eastAsia="es-ES"/>
        </w:rPr>
        <w:t xml:space="preserve"> Operativo de la </w:t>
      </w:r>
      <w:r w:rsidRPr="00932571">
        <w:rPr>
          <w:rFonts w:eastAsia="Times New Roman" w:cs="Arial"/>
          <w:lang w:eastAsia="es-ES"/>
        </w:rPr>
        <w:t>Modalidad Institucional para la Atención a la Primera Infancia.</w:t>
      </w:r>
    </w:p>
    <w:p w:rsidR="008A56FD" w:rsidRPr="00D23FA4" w:rsidRDefault="008A56FD" w:rsidP="008A56FD">
      <w:pPr>
        <w:spacing w:after="0" w:line="240" w:lineRule="auto"/>
        <w:jc w:val="both"/>
        <w:rPr>
          <w:rFonts w:eastAsia="Times New Roman" w:cs="Arial"/>
          <w:lang w:eastAsia="es-ES"/>
        </w:rPr>
      </w:pPr>
    </w:p>
    <w:p w:rsidR="008A56FD" w:rsidRPr="00D23FA4" w:rsidRDefault="008A56FD" w:rsidP="008A56FD">
      <w:pPr>
        <w:spacing w:after="0" w:line="240" w:lineRule="auto"/>
        <w:rPr>
          <w:rFonts w:eastAsia="Times New Roman" w:cs="Arial"/>
          <w:b/>
          <w:u w:val="single"/>
          <w:lang w:eastAsia="es-ES"/>
        </w:rPr>
      </w:pPr>
      <w:r w:rsidRPr="00D23FA4">
        <w:rPr>
          <w:rFonts w:eastAsia="Times New Roman" w:cs="Arial"/>
          <w:b/>
          <w:u w:val="single"/>
          <w:lang w:eastAsia="es-ES"/>
        </w:rPr>
        <w:t>Objetivos específicos</w:t>
      </w:r>
    </w:p>
    <w:p w:rsidR="008A56FD" w:rsidRPr="00D23FA4" w:rsidRDefault="008A56FD" w:rsidP="008A56FD">
      <w:pPr>
        <w:spacing w:after="0" w:line="240" w:lineRule="auto"/>
        <w:ind w:left="360"/>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Garantizar la atención de las niñas y niños durante 5 días de la semana por ocho (8) horas diarias, es decir de lunes a viernes.</w:t>
      </w:r>
    </w:p>
    <w:p w:rsidR="00DA54E3" w:rsidRPr="00D23FA4" w:rsidRDefault="00DA54E3" w:rsidP="00DA54E3">
      <w:pPr>
        <w:spacing w:after="0" w:line="240" w:lineRule="auto"/>
        <w:ind w:left="360"/>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Implementar las acciones pedagógicas intencionadas y centradas en los intereses de las niñas, los niños y sus familias, sus características particulares y culturales para promover su desarrollo integral.</w:t>
      </w:r>
    </w:p>
    <w:p w:rsidR="00DA54E3" w:rsidRPr="00D23FA4" w:rsidRDefault="00DA54E3" w:rsidP="00DA54E3">
      <w:pPr>
        <w:spacing w:after="0" w:line="240" w:lineRule="auto"/>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Implementar procesos de formación y acompañamiento a las familias como corresponsables de garantizar los derechos, para promover el desarrollo integral de niñas y niños.</w:t>
      </w:r>
    </w:p>
    <w:p w:rsidR="007B1F82" w:rsidRPr="00D23FA4" w:rsidRDefault="007B1F82" w:rsidP="007B1F82">
      <w:pPr>
        <w:spacing w:after="0" w:line="240" w:lineRule="auto"/>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Garantizar a niñas y niños atendidos, el porcentaje del requerimiento diario de calorías y nutrientes, conforme al servicio de atención.</w:t>
      </w:r>
    </w:p>
    <w:p w:rsidR="00DA54E3" w:rsidRPr="00D23FA4" w:rsidRDefault="00DA54E3" w:rsidP="00DA54E3">
      <w:pPr>
        <w:spacing w:after="0" w:line="240" w:lineRule="auto"/>
        <w:ind w:left="360"/>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Desarrollar acciones de promoción de la práctica de la lactancia materna, hábitos y estilos de vida saludables, la garantía de derechos de salud, protección y participación de las niñas y niños, en el marco de las instancias de articulación del Sistema Nacional de Bienestar Familiar presentes en el territorio.</w:t>
      </w:r>
    </w:p>
    <w:p w:rsidR="00DA54E3" w:rsidRPr="00D23FA4" w:rsidRDefault="00DA54E3" w:rsidP="00DA54E3">
      <w:pPr>
        <w:spacing w:after="0" w:line="240" w:lineRule="auto"/>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Desarrollar acciones orientadas a la promoción de los derechos, a la prevención de su vulneración y activar la ruta integral de restablecimiento de los mismos, en los casos en los que se evidencie la amenaz</w:t>
      </w:r>
      <w:r w:rsidR="00DA54E3">
        <w:rPr>
          <w:rFonts w:cs="Arial"/>
        </w:rPr>
        <w:t>a, vulneración o inobservancia.</w:t>
      </w:r>
    </w:p>
    <w:p w:rsidR="00DA54E3" w:rsidRPr="00D23FA4" w:rsidRDefault="00DA54E3" w:rsidP="00DA54E3">
      <w:pPr>
        <w:spacing w:after="0" w:line="240" w:lineRule="auto"/>
        <w:contextualSpacing/>
        <w:jc w:val="both"/>
        <w:rPr>
          <w:rFonts w:cs="Arial"/>
        </w:rPr>
      </w:pPr>
    </w:p>
    <w:p w:rsidR="008A56FD" w:rsidRDefault="008A56FD" w:rsidP="00D712DC">
      <w:pPr>
        <w:numPr>
          <w:ilvl w:val="0"/>
          <w:numId w:val="137"/>
        </w:numPr>
        <w:spacing w:after="0" w:line="240" w:lineRule="auto"/>
        <w:ind w:left="360"/>
        <w:contextualSpacing/>
        <w:jc w:val="both"/>
        <w:rPr>
          <w:rFonts w:cs="Arial"/>
        </w:rPr>
      </w:pPr>
      <w:r w:rsidRPr="00D23FA4">
        <w:rPr>
          <w:rFonts w:cs="Arial"/>
        </w:rPr>
        <w:t>Promover en la atención el reconocimiento y respeto de la diversidad de las niñas, niños, adultos, familias y comunidades vinculados al servicio.</w:t>
      </w:r>
    </w:p>
    <w:p w:rsidR="00DA54E3" w:rsidRPr="00D23FA4" w:rsidRDefault="00DA54E3" w:rsidP="00DA54E3">
      <w:pPr>
        <w:spacing w:after="0" w:line="240" w:lineRule="auto"/>
        <w:contextualSpacing/>
        <w:jc w:val="both"/>
        <w:rPr>
          <w:rFonts w:cs="Arial"/>
        </w:rPr>
      </w:pPr>
    </w:p>
    <w:p w:rsidR="008A56FD" w:rsidRPr="00D23FA4" w:rsidRDefault="008A56FD" w:rsidP="00D712DC">
      <w:pPr>
        <w:numPr>
          <w:ilvl w:val="0"/>
          <w:numId w:val="137"/>
        </w:numPr>
        <w:spacing w:after="0" w:line="240" w:lineRule="auto"/>
        <w:ind w:left="360"/>
        <w:contextualSpacing/>
        <w:jc w:val="both"/>
        <w:rPr>
          <w:rFonts w:cs="Arial"/>
        </w:rPr>
      </w:pPr>
      <w:r w:rsidRPr="00D23FA4">
        <w:rPr>
          <w:rFonts w:cs="Arial"/>
        </w:rPr>
        <w:t>Generar acciones para propiciar una atención pertinente para las niñas y los niños, sus familias y cuidadores a la luz de las categorías priorizadas en el Modelo de Enfoque Diferencial de Derechos del ICBF (género, discapacidad, pertinencia étnica y víctimas del conflicto armado).</w:t>
      </w:r>
    </w:p>
    <w:p w:rsidR="008A56FD" w:rsidRPr="00D23FA4" w:rsidRDefault="008A56FD" w:rsidP="00AF6668"/>
    <w:p w:rsidR="008A56FD" w:rsidRPr="00AF6668" w:rsidRDefault="008A56FD" w:rsidP="00470DCA">
      <w:pPr>
        <w:pStyle w:val="Prrafodelista"/>
        <w:numPr>
          <w:ilvl w:val="0"/>
          <w:numId w:val="225"/>
        </w:numPr>
        <w:rPr>
          <w:rFonts w:eastAsiaTheme="majorEastAsia"/>
          <w:szCs w:val="26"/>
        </w:rPr>
      </w:pPr>
      <w:bookmarkStart w:id="21" w:name="_Toc473308893"/>
      <w:bookmarkStart w:id="22" w:name="_Toc473309969"/>
      <w:r w:rsidRPr="00AF6668">
        <w:rPr>
          <w:rFonts w:eastAsiaTheme="majorEastAsia"/>
          <w:b/>
          <w:u w:val="single"/>
        </w:rPr>
        <w:t>Centros de Desarrollo Infantil (CDI)</w:t>
      </w:r>
      <w:bookmarkEnd w:id="21"/>
      <w:bookmarkEnd w:id="22"/>
    </w:p>
    <w:p w:rsidR="008A56FD" w:rsidRPr="00D23FA4" w:rsidRDefault="008A56FD" w:rsidP="008A56FD">
      <w:pPr>
        <w:spacing w:after="0" w:line="240" w:lineRule="auto"/>
        <w:jc w:val="both"/>
        <w:rPr>
          <w:rFonts w:cs="Arial"/>
          <w:lang w:eastAsia="es-ES"/>
        </w:rPr>
      </w:pPr>
      <w:r w:rsidRPr="00D23FA4">
        <w:rPr>
          <w:rFonts w:cs="Arial"/>
          <w:lang w:eastAsia="es-ES"/>
        </w:rPr>
        <w:t xml:space="preserve">Forma de atención en la cual se brinda educación inicial, cuidado y nutrición a niñas y niños menores de 5 años en medio institucional, en el marco de la Atención Integral y diferencial, a través de acciones pedagógicas, de cuidado calificado y nutrición. Ésta se desarrolla en infraestructuras adecuadas y pertinentes para la atención a la primera infancia, que cuentan con </w:t>
      </w:r>
      <w:r w:rsidRPr="00D23FA4">
        <w:rPr>
          <w:rFonts w:cs="Arial"/>
          <w:lang w:eastAsia="es-ES"/>
        </w:rPr>
        <w:lastRenderedPageBreak/>
        <w:t xml:space="preserve">todas las condiciones de seguridad y salubridad para las niñas, niños y sus familias o cuidadores, de acuerdo con los estándares de ambientes educativos y protectores definidos para la modalidad. </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de primera infancia, prioritariamente en el rango de edad de dos (2) años a menores de cinco (5) años o hasta que ingresen al grado de transición. Sin perjuicio de lo anterior, podrán ser atendidos niños y niñas entre los seis (6) meses y los dos (2) años de edad, cuando su condición lo amerite y la Unidad del Servicio cuente con las condiciones requeridas para atenderlos.</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eastAsia="es-CO"/>
        </w:rPr>
      </w:pPr>
      <w:r w:rsidRPr="00D23FA4">
        <w:rPr>
          <w:rFonts w:cs="Arial"/>
          <w:b/>
          <w:i/>
          <w:lang w:eastAsia="es-CO"/>
        </w:rPr>
        <w:t>Cobertura:</w:t>
      </w:r>
      <w:r w:rsidRPr="00D23FA4">
        <w:rPr>
          <w:rFonts w:cs="Arial"/>
          <w:i/>
          <w:lang w:eastAsia="es-CO"/>
        </w:rPr>
        <w:t xml:space="preserve"> </w:t>
      </w:r>
      <w:r w:rsidRPr="00D23FA4">
        <w:rPr>
          <w:rFonts w:cs="Arial"/>
          <w:lang w:eastAsia="es-CO"/>
        </w:rPr>
        <w:t xml:space="preserve">tiene presencia en todo el país. </w:t>
      </w:r>
    </w:p>
    <w:p w:rsidR="008A56FD" w:rsidRPr="00D23FA4" w:rsidRDefault="008A56FD" w:rsidP="008A56FD">
      <w:pPr>
        <w:spacing w:after="0" w:line="240" w:lineRule="auto"/>
        <w:jc w:val="both"/>
        <w:rPr>
          <w:rFonts w:cs="Arial"/>
          <w:lang w:eastAsia="es-CO"/>
        </w:rPr>
      </w:pPr>
    </w:p>
    <w:p w:rsidR="008A56FD" w:rsidRPr="00D23FA4" w:rsidRDefault="008A56FD" w:rsidP="008A56FD">
      <w:pPr>
        <w:spacing w:after="0" w:line="240" w:lineRule="auto"/>
        <w:jc w:val="both"/>
        <w:rPr>
          <w:rFonts w:cs="Arial"/>
          <w:lang w:eastAsia="es-CO"/>
        </w:rPr>
      </w:pPr>
      <w:r w:rsidRPr="00D23FA4">
        <w:rPr>
          <w:rFonts w:cs="Arial"/>
          <w:b/>
          <w:i/>
          <w:lang w:val="es-CO" w:eastAsia="es-CO"/>
        </w:rPr>
        <w:t>Cobertura e Inversión</w:t>
      </w:r>
      <w:r w:rsidRPr="00D23FA4">
        <w:rPr>
          <w:rFonts w:cs="Arial"/>
          <w:b/>
          <w:lang w:val="es-CO" w:eastAsia="es-ES"/>
        </w:rPr>
        <w:t>:</w:t>
      </w:r>
    </w:p>
    <w:tbl>
      <w:tblPr>
        <w:tblStyle w:val="Tablaconcuadrcula"/>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903"/>
        <w:gridCol w:w="2662"/>
        <w:gridCol w:w="3348"/>
        <w:gridCol w:w="2482"/>
      </w:tblGrid>
      <w:tr w:rsidR="008A56FD" w:rsidRPr="00D23FA4" w:rsidTr="00DA54E3">
        <w:trPr>
          <w:trHeight w:val="376"/>
          <w:tblHeader/>
        </w:trPr>
        <w:tc>
          <w:tcPr>
            <w:tcW w:w="480" w:type="pct"/>
            <w:shd w:val="clear" w:color="auto" w:fill="76923C" w:themeFill="accent3" w:themeFillShade="BF"/>
            <w:vAlign w:val="center"/>
            <w:hideMark/>
          </w:tcPr>
          <w:p w:rsidR="008A56FD" w:rsidRPr="00E9143E" w:rsidRDefault="008A56FD" w:rsidP="009E7475">
            <w:pPr>
              <w:spacing w:after="0" w:line="240" w:lineRule="auto"/>
              <w:jc w:val="center"/>
              <w:rPr>
                <w:rFonts w:eastAsia="Times New Roman" w:cs="Arial"/>
                <w:b/>
                <w:iCs/>
                <w:color w:val="FFFFFF" w:themeColor="background1"/>
                <w:sz w:val="18"/>
                <w:szCs w:val="18"/>
                <w:lang w:val="es-CO" w:eastAsia="es-CO"/>
              </w:rPr>
            </w:pPr>
            <w:r w:rsidRPr="00E9143E">
              <w:rPr>
                <w:rFonts w:eastAsia="Times New Roman" w:cs="Arial"/>
                <w:b/>
                <w:iCs/>
                <w:color w:val="FFFFFF" w:themeColor="background1"/>
                <w:sz w:val="18"/>
                <w:szCs w:val="18"/>
                <w:lang w:val="es-CO" w:eastAsia="es-CO"/>
              </w:rPr>
              <w:t>Año</w:t>
            </w:r>
          </w:p>
        </w:tc>
        <w:tc>
          <w:tcPr>
            <w:tcW w:w="1416" w:type="pct"/>
            <w:shd w:val="clear" w:color="auto" w:fill="76923C" w:themeFill="accent3" w:themeFillShade="BF"/>
            <w:vAlign w:val="center"/>
            <w:hideMark/>
          </w:tcPr>
          <w:p w:rsidR="008A56FD" w:rsidRPr="00E9143E" w:rsidRDefault="008A56FD" w:rsidP="009E7475">
            <w:pPr>
              <w:spacing w:after="0" w:line="240" w:lineRule="auto"/>
              <w:jc w:val="center"/>
              <w:rPr>
                <w:rFonts w:eastAsia="Times New Roman" w:cs="Arial"/>
                <w:b/>
                <w:color w:val="FFFFFF" w:themeColor="background1"/>
                <w:sz w:val="18"/>
                <w:szCs w:val="18"/>
                <w:lang w:val="es-CO" w:eastAsia="es-CO"/>
              </w:rPr>
            </w:pPr>
            <w:r w:rsidRPr="00E9143E">
              <w:rPr>
                <w:rFonts w:eastAsia="Times New Roman" w:cs="Arial"/>
                <w:b/>
                <w:color w:val="FFFFFF" w:themeColor="background1"/>
                <w:sz w:val="18"/>
                <w:szCs w:val="18"/>
                <w:lang w:val="es-CO" w:eastAsia="es-CO"/>
              </w:rPr>
              <w:t>Beneficiarios</w:t>
            </w:r>
          </w:p>
        </w:tc>
        <w:tc>
          <w:tcPr>
            <w:tcW w:w="1782" w:type="pct"/>
            <w:shd w:val="clear" w:color="auto" w:fill="76923C" w:themeFill="accent3" w:themeFillShade="BF"/>
            <w:vAlign w:val="center"/>
            <w:hideMark/>
          </w:tcPr>
          <w:p w:rsidR="008A56FD" w:rsidRPr="00E9143E" w:rsidRDefault="008A56FD" w:rsidP="009E7475">
            <w:pPr>
              <w:spacing w:after="0" w:line="240" w:lineRule="auto"/>
              <w:jc w:val="center"/>
              <w:rPr>
                <w:rFonts w:eastAsia="Times New Roman" w:cs="Arial"/>
                <w:b/>
                <w:color w:val="FFFFFF" w:themeColor="background1"/>
                <w:sz w:val="18"/>
                <w:szCs w:val="18"/>
                <w:lang w:val="es-CO" w:eastAsia="es-CO"/>
              </w:rPr>
            </w:pPr>
            <w:r w:rsidRPr="00E9143E">
              <w:rPr>
                <w:rFonts w:eastAsia="Times New Roman" w:cs="Arial"/>
                <w:b/>
                <w:color w:val="FFFFFF" w:themeColor="background1"/>
                <w:sz w:val="18"/>
                <w:szCs w:val="18"/>
                <w:lang w:val="es-CO" w:eastAsia="es-CO"/>
              </w:rPr>
              <w:t>Beneficiarios Desplazados por la Violencia</w:t>
            </w:r>
          </w:p>
        </w:tc>
        <w:tc>
          <w:tcPr>
            <w:tcW w:w="1321" w:type="pct"/>
            <w:shd w:val="clear" w:color="auto" w:fill="76923C" w:themeFill="accent3" w:themeFillShade="BF"/>
            <w:vAlign w:val="center"/>
            <w:hideMark/>
          </w:tcPr>
          <w:p w:rsidR="008A56FD" w:rsidRPr="00E9143E" w:rsidRDefault="008A56FD" w:rsidP="009E7475">
            <w:pPr>
              <w:spacing w:after="0" w:line="240" w:lineRule="auto"/>
              <w:jc w:val="center"/>
              <w:rPr>
                <w:rFonts w:eastAsia="Times New Roman" w:cs="Arial"/>
                <w:b/>
                <w:color w:val="FFFFFF" w:themeColor="background1"/>
                <w:sz w:val="18"/>
                <w:szCs w:val="18"/>
                <w:lang w:val="es-CO" w:eastAsia="es-CO"/>
              </w:rPr>
            </w:pPr>
            <w:r w:rsidRPr="00E9143E">
              <w:rPr>
                <w:rFonts w:eastAsia="Times New Roman" w:cs="Arial"/>
                <w:b/>
                <w:color w:val="FFFFFF" w:themeColor="background1"/>
                <w:sz w:val="18"/>
                <w:szCs w:val="18"/>
                <w:lang w:val="es-CO" w:eastAsia="es-CO"/>
              </w:rPr>
              <w:t>Inversión – Recursos Apropiados</w:t>
            </w:r>
          </w:p>
        </w:tc>
      </w:tr>
      <w:tr w:rsidR="008A56FD" w:rsidRPr="00D23FA4" w:rsidTr="00DA54E3">
        <w:trPr>
          <w:trHeight w:val="448"/>
        </w:trPr>
        <w:tc>
          <w:tcPr>
            <w:tcW w:w="480"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1416"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eastAsia="Times New Roman" w:cs="Arial"/>
                <w:sz w:val="18"/>
                <w:szCs w:val="18"/>
                <w:lang w:val="es-CO" w:eastAsia="es-CO"/>
              </w:rPr>
              <w:t>258.194</w:t>
            </w:r>
          </w:p>
        </w:tc>
        <w:tc>
          <w:tcPr>
            <w:tcW w:w="1782"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eastAsia="Times New Roman" w:cs="Arial"/>
                <w:sz w:val="18"/>
                <w:szCs w:val="18"/>
                <w:lang w:val="es-CO" w:eastAsia="es-CO"/>
              </w:rPr>
              <w:t>49.041</w:t>
            </w:r>
          </w:p>
        </w:tc>
        <w:tc>
          <w:tcPr>
            <w:tcW w:w="132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eastAsia="Times New Roman" w:cs="Arial"/>
                <w:sz w:val="18"/>
                <w:szCs w:val="18"/>
                <w:lang w:val="es-CO" w:eastAsia="es-CO"/>
              </w:rPr>
              <w:t>$ 649.788.319.481</w:t>
            </w:r>
          </w:p>
        </w:tc>
      </w:tr>
    </w:tbl>
    <w:p w:rsidR="008A56FD" w:rsidRDefault="008A56FD" w:rsidP="008A56FD">
      <w:pPr>
        <w:spacing w:after="0" w:line="240" w:lineRule="auto"/>
        <w:jc w:val="both"/>
        <w:rPr>
          <w:rFonts w:cs="Arial"/>
          <w:sz w:val="16"/>
          <w:lang w:eastAsia="es-ES"/>
        </w:rPr>
      </w:pPr>
      <w:r w:rsidRPr="00E9143E">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8A56FD" w:rsidRPr="00AF6668" w:rsidRDefault="008A56FD" w:rsidP="00470DCA">
      <w:pPr>
        <w:pStyle w:val="Prrafodelista"/>
        <w:numPr>
          <w:ilvl w:val="0"/>
          <w:numId w:val="225"/>
        </w:numPr>
        <w:rPr>
          <w:rFonts w:eastAsiaTheme="majorEastAsia"/>
          <w:b/>
          <w:u w:val="single"/>
        </w:rPr>
      </w:pPr>
      <w:bookmarkStart w:id="23" w:name="_Toc473308894"/>
      <w:bookmarkStart w:id="24" w:name="_Toc473309970"/>
      <w:r w:rsidRPr="00AF6668">
        <w:rPr>
          <w:rFonts w:eastAsiaTheme="majorEastAsia"/>
          <w:b/>
          <w:u w:val="single"/>
        </w:rPr>
        <w:t>Hogares Infantiles</w:t>
      </w:r>
      <w:bookmarkEnd w:id="23"/>
      <w:bookmarkEnd w:id="24"/>
    </w:p>
    <w:p w:rsidR="008A56FD" w:rsidRPr="00D23FA4" w:rsidRDefault="008A56FD" w:rsidP="008A56FD">
      <w:pPr>
        <w:spacing w:after="0" w:line="240" w:lineRule="auto"/>
        <w:jc w:val="both"/>
        <w:rPr>
          <w:rFonts w:cs="Arial"/>
          <w:lang w:eastAsia="es-ES"/>
        </w:rPr>
      </w:pPr>
      <w:r w:rsidRPr="00D23FA4">
        <w:rPr>
          <w:rFonts w:cs="Arial"/>
          <w:lang w:eastAsia="es-ES"/>
        </w:rPr>
        <w:t xml:space="preserve">Forma de atención en medio institucional que busca promover el desarrollo integral de las niñas y los niños y propiciar su participación como sujetos de derechos, brindándoles un servicio de educación inicial, cuidado calificado y nutrición. </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entre los 6 meses y 4 años y 11 meses de edad, provenientes de familias con vulnerabilidad económica y social prioritariamente, a quienes por</w:t>
      </w:r>
      <w:r w:rsidRPr="00D23FA4">
        <w:rPr>
          <w:rFonts w:cs="Arial"/>
          <w:lang w:val="es-MX" w:eastAsia="es-ES"/>
        </w:rPr>
        <w:t xml:space="preserve"> razones de trabajo </w:t>
      </w:r>
      <w:r w:rsidRPr="00D23FA4">
        <w:rPr>
          <w:rFonts w:cs="Arial"/>
          <w:lang w:eastAsia="es-ES"/>
        </w:rPr>
        <w:t>y otras circunstancias comprobadas</w:t>
      </w:r>
      <w:r w:rsidRPr="00D23FA4">
        <w:rPr>
          <w:rFonts w:cs="Arial"/>
          <w:lang w:val="es-MX" w:eastAsia="es-ES"/>
        </w:rPr>
        <w:t xml:space="preserve"> de sus padres o adultos responsables de su cuidado, permanecen solos</w:t>
      </w:r>
      <w:r w:rsidRPr="00D23FA4">
        <w:rPr>
          <w:rFonts w:cs="Arial"/>
          <w:lang w:eastAsia="es-ES"/>
        </w:rPr>
        <w:t xml:space="preserve"> temporalmente; hijas e hijos</w:t>
      </w:r>
      <w:r w:rsidRPr="00D23FA4">
        <w:rPr>
          <w:rFonts w:cs="Arial"/>
          <w:lang w:val="es-MX" w:eastAsia="es-ES"/>
        </w:rPr>
        <w:t xml:space="preserve"> de familias en situación de desplazamiento forzado; o, niñas/os con discapacidad leve.</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i/>
          <w:u w:val="single"/>
          <w:lang w:eastAsia="es-ES"/>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 xml:space="preserve">iene presencia en todo </w:t>
      </w:r>
      <w:r w:rsidRPr="00D23FA4">
        <w:rPr>
          <w:rFonts w:cs="Arial"/>
          <w:lang w:eastAsia="es-CO"/>
        </w:rPr>
        <w:t>el</w:t>
      </w:r>
      <w:r w:rsidRPr="00D23FA4">
        <w:rPr>
          <w:rFonts w:cs="Arial"/>
          <w:lang w:val="es-CO" w:eastAsia="es-CO"/>
        </w:rPr>
        <w:t xml:space="preserve"> país</w:t>
      </w:r>
      <w:r w:rsidRPr="00D23FA4">
        <w:rPr>
          <w:rFonts w:cs="Arial"/>
          <w:lang w:eastAsia="es-CO"/>
        </w:rPr>
        <w:t xml:space="preserve"> a excepción de los departamentos de Amazonas, </w:t>
      </w:r>
      <w:r w:rsidRPr="00D23FA4">
        <w:rPr>
          <w:rFonts w:cs="Arial"/>
          <w:shd w:val="clear" w:color="auto" w:fill="FFFFFF"/>
          <w:lang w:eastAsia="es-ES"/>
        </w:rPr>
        <w:t xml:space="preserve">Archipiélago de San Andrés, Providencia y Santa Catalina </w:t>
      </w:r>
      <w:r w:rsidRPr="00D23FA4">
        <w:rPr>
          <w:rFonts w:cs="Arial"/>
          <w:lang w:eastAsia="es-CO"/>
        </w:rPr>
        <w:t xml:space="preserve">y Vaupés. </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 xml:space="preserve">: </w:t>
      </w:r>
    </w:p>
    <w:tbl>
      <w:tblPr>
        <w:tblStyle w:val="Tablaconcuadrcula"/>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984"/>
        <w:gridCol w:w="2326"/>
        <w:gridCol w:w="3578"/>
        <w:gridCol w:w="2507"/>
      </w:tblGrid>
      <w:tr w:rsidR="008A56FD" w:rsidRPr="00D23FA4" w:rsidTr="00AE6BBF">
        <w:trPr>
          <w:trHeight w:val="444"/>
          <w:jc w:val="center"/>
        </w:trPr>
        <w:tc>
          <w:tcPr>
            <w:tcW w:w="524"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iCs/>
                <w:color w:val="FFFFFF" w:themeColor="background1"/>
                <w:sz w:val="18"/>
                <w:szCs w:val="20"/>
                <w:lang w:val="es-CO" w:eastAsia="es-CO"/>
              </w:rPr>
            </w:pPr>
            <w:r w:rsidRPr="00AE6BBF">
              <w:rPr>
                <w:rFonts w:eastAsia="Times New Roman" w:cs="Arial"/>
                <w:b/>
                <w:iCs/>
                <w:color w:val="FFFFFF" w:themeColor="background1"/>
                <w:sz w:val="18"/>
                <w:szCs w:val="20"/>
                <w:lang w:val="es-CO" w:eastAsia="es-CO"/>
              </w:rPr>
              <w:t>Año</w:t>
            </w:r>
          </w:p>
        </w:tc>
        <w:tc>
          <w:tcPr>
            <w:tcW w:w="1238"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20"/>
                <w:lang w:val="es-CO" w:eastAsia="es-CO"/>
              </w:rPr>
            </w:pPr>
            <w:r w:rsidRPr="00AE6BBF">
              <w:rPr>
                <w:rFonts w:eastAsia="Times New Roman" w:cs="Arial"/>
                <w:b/>
                <w:color w:val="FFFFFF" w:themeColor="background1"/>
                <w:sz w:val="18"/>
                <w:szCs w:val="20"/>
                <w:lang w:val="es-CO" w:eastAsia="es-CO"/>
              </w:rPr>
              <w:t>Beneficiarios</w:t>
            </w:r>
          </w:p>
        </w:tc>
        <w:tc>
          <w:tcPr>
            <w:tcW w:w="1904" w:type="pct"/>
            <w:shd w:val="clear" w:color="auto" w:fill="76923C" w:themeFill="accent3" w:themeFillShade="BF"/>
            <w:vAlign w:val="center"/>
            <w:hideMark/>
          </w:tcPr>
          <w:p w:rsidR="00AE6BBF" w:rsidRDefault="008A56FD" w:rsidP="009E7475">
            <w:pPr>
              <w:spacing w:after="0" w:line="240" w:lineRule="auto"/>
              <w:jc w:val="center"/>
              <w:rPr>
                <w:rFonts w:eastAsia="Times New Roman" w:cs="Arial"/>
                <w:b/>
                <w:color w:val="FFFFFF" w:themeColor="background1"/>
                <w:sz w:val="18"/>
                <w:szCs w:val="20"/>
                <w:lang w:val="es-CO" w:eastAsia="es-CO"/>
              </w:rPr>
            </w:pPr>
            <w:r w:rsidRPr="00AE6BBF">
              <w:rPr>
                <w:rFonts w:eastAsia="Times New Roman" w:cs="Arial"/>
                <w:b/>
                <w:color w:val="FFFFFF" w:themeColor="background1"/>
                <w:sz w:val="18"/>
                <w:szCs w:val="20"/>
                <w:lang w:val="es-CO" w:eastAsia="es-CO"/>
              </w:rPr>
              <w:t>Beneficiarios Desplazados</w:t>
            </w:r>
          </w:p>
          <w:p w:rsidR="008A56FD" w:rsidRPr="00AE6BBF" w:rsidRDefault="008A56FD" w:rsidP="009E7475">
            <w:pPr>
              <w:spacing w:after="0" w:line="240" w:lineRule="auto"/>
              <w:jc w:val="center"/>
              <w:rPr>
                <w:rFonts w:eastAsia="Times New Roman" w:cs="Arial"/>
                <w:b/>
                <w:color w:val="FFFFFF" w:themeColor="background1"/>
                <w:sz w:val="18"/>
                <w:szCs w:val="20"/>
                <w:lang w:val="es-CO" w:eastAsia="es-CO"/>
              </w:rPr>
            </w:pPr>
            <w:r w:rsidRPr="00AE6BBF">
              <w:rPr>
                <w:rFonts w:eastAsia="Times New Roman" w:cs="Arial"/>
                <w:b/>
                <w:color w:val="FFFFFF" w:themeColor="background1"/>
                <w:sz w:val="18"/>
                <w:szCs w:val="20"/>
                <w:lang w:val="es-CO" w:eastAsia="es-CO"/>
              </w:rPr>
              <w:t xml:space="preserve"> por la Violencia</w:t>
            </w:r>
          </w:p>
        </w:tc>
        <w:tc>
          <w:tcPr>
            <w:tcW w:w="1334"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20"/>
                <w:lang w:val="es-CO" w:eastAsia="es-CO"/>
              </w:rPr>
            </w:pPr>
            <w:r w:rsidRPr="00AE6BBF">
              <w:rPr>
                <w:rFonts w:eastAsia="Times New Roman" w:cs="Arial"/>
                <w:b/>
                <w:color w:val="FFFFFF" w:themeColor="background1"/>
                <w:sz w:val="18"/>
                <w:szCs w:val="18"/>
                <w:lang w:val="es-CO" w:eastAsia="es-CO"/>
              </w:rPr>
              <w:t>Inversión – Recursos Apropiados</w:t>
            </w:r>
          </w:p>
        </w:tc>
      </w:tr>
      <w:tr w:rsidR="008A56FD" w:rsidRPr="00D23FA4" w:rsidTr="00AE6BBF">
        <w:trPr>
          <w:trHeight w:val="425"/>
          <w:jc w:val="center"/>
        </w:trPr>
        <w:tc>
          <w:tcPr>
            <w:tcW w:w="524" w:type="pct"/>
            <w:vAlign w:val="center"/>
            <w:hideMark/>
          </w:tcPr>
          <w:p w:rsidR="008A56FD" w:rsidRPr="00D23FA4" w:rsidRDefault="008A56FD" w:rsidP="009E7475">
            <w:pPr>
              <w:spacing w:after="0" w:line="240" w:lineRule="auto"/>
              <w:jc w:val="center"/>
              <w:rPr>
                <w:rFonts w:eastAsia="Times New Roman" w:cs="Arial"/>
                <w:iCs/>
                <w:sz w:val="18"/>
                <w:szCs w:val="20"/>
                <w:lang w:val="es-CO" w:eastAsia="es-CO"/>
              </w:rPr>
            </w:pPr>
            <w:r w:rsidRPr="00D23FA4">
              <w:rPr>
                <w:rFonts w:eastAsia="Times New Roman" w:cs="Arial"/>
                <w:iCs/>
                <w:sz w:val="18"/>
                <w:szCs w:val="20"/>
                <w:lang w:val="es-CO" w:eastAsia="es-CO"/>
              </w:rPr>
              <w:t>2016</w:t>
            </w:r>
          </w:p>
        </w:tc>
        <w:tc>
          <w:tcPr>
            <w:tcW w:w="1238" w:type="pct"/>
            <w:vAlign w:val="center"/>
          </w:tcPr>
          <w:p w:rsidR="008A56FD" w:rsidRPr="00D23FA4" w:rsidRDefault="008A56FD" w:rsidP="009E7475">
            <w:pPr>
              <w:spacing w:after="0" w:line="240" w:lineRule="auto"/>
              <w:jc w:val="center"/>
              <w:rPr>
                <w:rFonts w:eastAsia="Times New Roman" w:cs="Arial"/>
                <w:iCs/>
                <w:sz w:val="18"/>
                <w:szCs w:val="20"/>
                <w:lang w:val="es-CO" w:eastAsia="es-CO"/>
              </w:rPr>
            </w:pPr>
            <w:r w:rsidRPr="00D23FA4">
              <w:rPr>
                <w:rFonts w:eastAsia="Times New Roman" w:cs="Arial"/>
                <w:iCs/>
                <w:sz w:val="18"/>
                <w:szCs w:val="20"/>
                <w:lang w:val="es-CO" w:eastAsia="es-CO"/>
              </w:rPr>
              <w:t>105.454</w:t>
            </w:r>
          </w:p>
        </w:tc>
        <w:tc>
          <w:tcPr>
            <w:tcW w:w="1904" w:type="pct"/>
            <w:vAlign w:val="center"/>
          </w:tcPr>
          <w:p w:rsidR="008A56FD" w:rsidRPr="00D23FA4" w:rsidRDefault="008A56FD" w:rsidP="009E7475">
            <w:pPr>
              <w:spacing w:after="0" w:line="240" w:lineRule="auto"/>
              <w:jc w:val="center"/>
              <w:rPr>
                <w:rFonts w:eastAsia="Times New Roman" w:cs="Arial"/>
                <w:iCs/>
                <w:sz w:val="18"/>
                <w:szCs w:val="20"/>
                <w:lang w:val="es-CO" w:eastAsia="es-CO"/>
              </w:rPr>
            </w:pPr>
            <w:r w:rsidRPr="00D23FA4">
              <w:rPr>
                <w:rFonts w:eastAsia="Times New Roman" w:cs="Arial"/>
                <w:iCs/>
                <w:sz w:val="18"/>
                <w:szCs w:val="20"/>
                <w:lang w:val="es-CO" w:eastAsia="es-CO"/>
              </w:rPr>
              <w:t>31.100</w:t>
            </w:r>
          </w:p>
        </w:tc>
        <w:tc>
          <w:tcPr>
            <w:tcW w:w="1334" w:type="pct"/>
            <w:vAlign w:val="center"/>
            <w:hideMark/>
          </w:tcPr>
          <w:p w:rsidR="008A56FD" w:rsidRPr="00D23FA4" w:rsidRDefault="008A56FD" w:rsidP="009E7475">
            <w:pPr>
              <w:spacing w:after="0" w:line="240" w:lineRule="auto"/>
              <w:jc w:val="center"/>
              <w:rPr>
                <w:rFonts w:eastAsia="Times New Roman" w:cs="Arial"/>
                <w:iCs/>
                <w:sz w:val="18"/>
                <w:szCs w:val="20"/>
                <w:lang w:val="es-CO" w:eastAsia="es-CO"/>
              </w:rPr>
            </w:pPr>
            <w:r w:rsidRPr="00D23FA4">
              <w:rPr>
                <w:rFonts w:eastAsia="Times New Roman" w:cs="Arial"/>
                <w:iCs/>
                <w:sz w:val="18"/>
                <w:szCs w:val="20"/>
                <w:lang w:val="es-CO" w:eastAsia="es-CO"/>
              </w:rPr>
              <w:t>$ 247.552.429.572</w:t>
            </w:r>
          </w:p>
        </w:tc>
      </w:tr>
    </w:tbl>
    <w:p w:rsidR="008A56FD" w:rsidRDefault="008A56FD" w:rsidP="008A56FD">
      <w:pPr>
        <w:spacing w:after="0" w:line="240" w:lineRule="auto"/>
        <w:jc w:val="both"/>
        <w:rPr>
          <w:rFonts w:cs="Arial"/>
          <w:sz w:val="16"/>
          <w:lang w:eastAsia="es-ES"/>
        </w:rPr>
      </w:pPr>
      <w:r w:rsidRPr="00DA54E3">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F6668" w:rsidRDefault="008A56FD" w:rsidP="00470DCA">
      <w:pPr>
        <w:pStyle w:val="Prrafodelista"/>
        <w:numPr>
          <w:ilvl w:val="0"/>
          <w:numId w:val="226"/>
        </w:numPr>
        <w:rPr>
          <w:rFonts w:eastAsiaTheme="majorEastAsia"/>
          <w:b/>
          <w:u w:val="single"/>
        </w:rPr>
      </w:pPr>
      <w:bookmarkStart w:id="25" w:name="_Toc473308895"/>
      <w:bookmarkStart w:id="26" w:name="_Toc473309971"/>
      <w:r w:rsidRPr="00AF6668">
        <w:rPr>
          <w:rFonts w:eastAsiaTheme="majorEastAsia"/>
          <w:b/>
          <w:u w:val="single"/>
        </w:rPr>
        <w:t>Lactantes y Preescolares</w:t>
      </w:r>
      <w:bookmarkEnd w:id="25"/>
      <w:bookmarkEnd w:id="26"/>
    </w:p>
    <w:p w:rsidR="008A56FD" w:rsidRPr="00D23FA4" w:rsidRDefault="008A56FD" w:rsidP="008A56FD">
      <w:pPr>
        <w:spacing w:after="0" w:line="240" w:lineRule="auto"/>
        <w:jc w:val="both"/>
        <w:rPr>
          <w:rFonts w:cs="Arial"/>
          <w:lang w:eastAsia="es-ES"/>
        </w:rPr>
      </w:pPr>
      <w:r w:rsidRPr="00D23FA4">
        <w:rPr>
          <w:rFonts w:cs="Arial"/>
          <w:lang w:eastAsia="es-ES"/>
        </w:rPr>
        <w:t xml:space="preserve">Forma de atención en la que el ICBF apoya el desarrollo integral de las niñas y los niños menores de 5 años, aportando recursos a entidades sin ánimo de lucro que los atiende y que hacen parte del Sistema Nacional de Bienestar Familiar. Así, el Instituto financia parte del valor cupo/niño/mes </w:t>
      </w:r>
      <w:r w:rsidRPr="00D23FA4">
        <w:rPr>
          <w:rFonts w:cs="Arial"/>
          <w:lang w:eastAsia="es-ES"/>
        </w:rPr>
        <w:lastRenderedPageBreak/>
        <w:t>para apoyar la realización de actividades nutricionales, psicopedagógicas y de formación a padres y madres y/o cuidadores.</w:t>
      </w:r>
    </w:p>
    <w:p w:rsidR="008A56FD" w:rsidRPr="00D23FA4" w:rsidRDefault="008A56FD" w:rsidP="008A56FD">
      <w:pPr>
        <w:spacing w:after="0" w:line="240" w:lineRule="auto"/>
        <w:ind w:left="708"/>
        <w:jc w:val="both"/>
        <w:rPr>
          <w:rFonts w:cs="Arial"/>
          <w:i/>
          <w:u w:val="single"/>
          <w:lang w:eastAsia="es-ES"/>
        </w:rPr>
      </w:pP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w:t>
      </w:r>
      <w:r w:rsidRPr="00D23FA4">
        <w:rPr>
          <w:rFonts w:cs="Arial"/>
          <w:lang w:val="es-CO" w:eastAsia="es-ES"/>
        </w:rPr>
        <w:t xml:space="preserve">niñas y niños entre 6 meses y 4 años y 11 meses de edad, priorizando las niñas y los niños de familias con vulnerabilidad socioeconómica. </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i/>
          <w:u w:val="single"/>
          <w:lang w:eastAsia="es-ES"/>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iene presencia en las regionales de Antioquia, Bogotá y Boyacá.</w:t>
      </w:r>
      <w:r w:rsidRPr="00D23FA4">
        <w:rPr>
          <w:rFonts w:cs="Arial"/>
          <w:lang w:eastAsia="es-CO"/>
        </w:rPr>
        <w:t xml:space="preserve"> </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 xml:space="preserve">: </w:t>
      </w:r>
    </w:p>
    <w:tbl>
      <w:tblPr>
        <w:tblStyle w:val="Tablaconcuadrcula"/>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7"/>
        <w:gridCol w:w="1843"/>
        <w:gridCol w:w="2852"/>
        <w:gridCol w:w="3003"/>
      </w:tblGrid>
      <w:tr w:rsidR="008A56FD" w:rsidRPr="00D23FA4" w:rsidTr="000F4D65">
        <w:trPr>
          <w:trHeight w:val="442"/>
          <w:tblHeader/>
        </w:trPr>
        <w:tc>
          <w:tcPr>
            <w:tcW w:w="903"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iCs/>
                <w:color w:val="FFFFFF" w:themeColor="background1"/>
                <w:sz w:val="18"/>
                <w:szCs w:val="18"/>
                <w:lang w:val="es-CO" w:eastAsia="es-CO"/>
              </w:rPr>
            </w:pPr>
            <w:r w:rsidRPr="00AE6BBF">
              <w:rPr>
                <w:rFonts w:eastAsia="Times New Roman" w:cs="Arial"/>
                <w:b/>
                <w:iCs/>
                <w:color w:val="FFFFFF" w:themeColor="background1"/>
                <w:sz w:val="18"/>
                <w:szCs w:val="18"/>
                <w:lang w:val="es-CO" w:eastAsia="es-CO"/>
              </w:rPr>
              <w:t>Año</w:t>
            </w:r>
          </w:p>
        </w:tc>
        <w:tc>
          <w:tcPr>
            <w:tcW w:w="981"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Beneficiarios</w:t>
            </w:r>
          </w:p>
        </w:tc>
        <w:tc>
          <w:tcPr>
            <w:tcW w:w="1518" w:type="pct"/>
            <w:shd w:val="clear" w:color="auto" w:fill="76923C" w:themeFill="accent3" w:themeFillShade="BF"/>
            <w:vAlign w:val="center"/>
            <w:hideMark/>
          </w:tcPr>
          <w:p w:rsid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 xml:space="preserve">Beneficiarios Desplazados </w:t>
            </w:r>
          </w:p>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por la Violencia</w:t>
            </w:r>
          </w:p>
        </w:tc>
        <w:tc>
          <w:tcPr>
            <w:tcW w:w="1598"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Inversión – Recursos Apropiados</w:t>
            </w:r>
          </w:p>
        </w:tc>
      </w:tr>
      <w:tr w:rsidR="008A56FD" w:rsidRPr="00D23FA4" w:rsidTr="000F4D65">
        <w:trPr>
          <w:trHeight w:val="381"/>
        </w:trPr>
        <w:tc>
          <w:tcPr>
            <w:tcW w:w="903"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98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283</w:t>
            </w:r>
          </w:p>
        </w:tc>
        <w:tc>
          <w:tcPr>
            <w:tcW w:w="1518"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5</w:t>
            </w:r>
          </w:p>
        </w:tc>
        <w:tc>
          <w:tcPr>
            <w:tcW w:w="1598"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$ 91.323.381</w:t>
            </w:r>
          </w:p>
        </w:tc>
      </w:tr>
    </w:tbl>
    <w:p w:rsidR="008A56FD" w:rsidRPr="00D23FA4" w:rsidRDefault="008A56FD" w:rsidP="008A56FD">
      <w:pPr>
        <w:spacing w:after="0" w:line="240" w:lineRule="auto"/>
        <w:jc w:val="both"/>
        <w:rPr>
          <w:rFonts w:cs="Arial"/>
          <w:sz w:val="16"/>
          <w:lang w:eastAsia="es-ES"/>
        </w:rPr>
      </w:pPr>
      <w:r w:rsidRPr="00DA54E3">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584AA1" w:rsidRDefault="008A56FD" w:rsidP="00470DCA">
      <w:pPr>
        <w:pStyle w:val="Prrafodelista"/>
        <w:numPr>
          <w:ilvl w:val="0"/>
          <w:numId w:val="227"/>
        </w:numPr>
      </w:pPr>
      <w:r w:rsidRPr="00AF6668">
        <w:rPr>
          <w:rFonts w:eastAsiaTheme="majorEastAsia"/>
          <w:b/>
          <w:u w:val="single"/>
        </w:rPr>
        <w:t xml:space="preserve">Hogares Comunitarios de Bienestar Integral - </w:t>
      </w:r>
      <w:r w:rsidRPr="00AF6668">
        <w:rPr>
          <w:rFonts w:eastAsiaTheme="majorEastAsia"/>
          <w:b/>
          <w:u w:val="single"/>
        </w:rPr>
        <w:tab/>
        <w:t>Comunitario Integral</w:t>
      </w:r>
    </w:p>
    <w:p w:rsidR="00AF6668" w:rsidRDefault="00AF6668" w:rsidP="008A56FD">
      <w:pPr>
        <w:spacing w:after="0" w:line="240" w:lineRule="auto"/>
        <w:jc w:val="both"/>
        <w:rPr>
          <w:rFonts w:cs="Arial"/>
        </w:rPr>
      </w:pPr>
    </w:p>
    <w:p w:rsidR="008A56FD" w:rsidRDefault="008A56FD" w:rsidP="008A56FD">
      <w:pPr>
        <w:spacing w:after="0" w:line="240" w:lineRule="auto"/>
        <w:jc w:val="both"/>
        <w:rPr>
          <w:rFonts w:cs="Arial"/>
        </w:rPr>
      </w:pPr>
      <w:r w:rsidRPr="007526DC">
        <w:rPr>
          <w:rFonts w:cs="Arial"/>
        </w:rPr>
        <w:t xml:space="preserve">Los Hogares Comunitarios de Bienestar Integrales, son un servicio de la Modalidad Comunitaria, en el marco de la atención integral que busca promover el desarrollo integral de niñas y niños, a través del fortalecimiento de su esquema operativo para lograr </w:t>
      </w:r>
      <w:r w:rsidRPr="00584AA1">
        <w:rPr>
          <w:rFonts w:cs="Arial"/>
        </w:rPr>
        <w:t xml:space="preserve">el cumplimiento progresivo de las condiciones de calidad definidos en los seis componentes de la atención. </w:t>
      </w:r>
    </w:p>
    <w:p w:rsidR="008A56FD" w:rsidRPr="007526DC" w:rsidRDefault="008A56FD" w:rsidP="008A56FD">
      <w:pPr>
        <w:spacing w:after="0" w:line="240" w:lineRule="auto"/>
        <w:jc w:val="both"/>
        <w:rPr>
          <w:rFonts w:cs="Arial"/>
        </w:rPr>
      </w:pPr>
    </w:p>
    <w:p w:rsidR="008A56FD" w:rsidRDefault="008A56FD" w:rsidP="008A56FD">
      <w:pPr>
        <w:spacing w:after="0" w:line="240" w:lineRule="auto"/>
        <w:jc w:val="both"/>
        <w:rPr>
          <w:rFonts w:cs="Arial"/>
        </w:rPr>
      </w:pPr>
      <w:r>
        <w:rPr>
          <w:rFonts w:cs="Arial"/>
        </w:rPr>
        <w:t>Este servicio</w:t>
      </w:r>
      <w:r w:rsidRPr="007526DC">
        <w:rPr>
          <w:rFonts w:cs="Arial"/>
        </w:rPr>
        <w:t xml:space="preserve"> es el resultado del trabajo en equipo de las madres o padres comunitarios o agente educativo y un equipo interdisciplinario que apoyo</w:t>
      </w:r>
      <w:r w:rsidRPr="00584AA1">
        <w:rPr>
          <w:rFonts w:cs="Arial"/>
        </w:rPr>
        <w:t xml:space="preserve"> la atención y brinda orientación a las madres o padres comunitarios o agente educativo, desde la perspectiva de reconocer y compartir sus saberes propios, los de las familias y las comunidades. La prestación de este servicio se realiza en coherencia con lo establecido en cada uno de los seis componentes de calidad de la atención y las condiciones de calidad definidos para ellos.</w:t>
      </w:r>
    </w:p>
    <w:p w:rsidR="008A56FD" w:rsidRDefault="008A56FD" w:rsidP="008A56FD">
      <w:pPr>
        <w:spacing w:after="0" w:line="240" w:lineRule="auto"/>
        <w:jc w:val="both"/>
        <w:rPr>
          <w:rFonts w:cs="Arial"/>
        </w:rPr>
      </w:pPr>
    </w:p>
    <w:p w:rsidR="008A56FD" w:rsidRDefault="008A56FD" w:rsidP="008A56FD">
      <w:pPr>
        <w:spacing w:after="0" w:line="240" w:lineRule="auto"/>
        <w:jc w:val="both"/>
        <w:rPr>
          <w:rFonts w:cs="Arial"/>
        </w:rPr>
      </w:pPr>
      <w:r w:rsidRPr="00D23FA4">
        <w:rPr>
          <w:rFonts w:cs="Arial"/>
          <w:b/>
          <w:i/>
          <w:lang w:eastAsia="es-ES"/>
        </w:rPr>
        <w:t>Población Objetivo</w:t>
      </w:r>
      <w:r w:rsidRPr="00D23FA4">
        <w:rPr>
          <w:rFonts w:cs="Arial"/>
          <w:b/>
          <w:lang w:eastAsia="es-ES"/>
        </w:rPr>
        <w:t>:</w:t>
      </w:r>
      <w:r w:rsidRPr="00D23FA4">
        <w:rPr>
          <w:rFonts w:cs="Arial"/>
          <w:lang w:eastAsia="es-ES"/>
        </w:rPr>
        <w:t xml:space="preserve"> </w:t>
      </w:r>
      <w:r w:rsidRPr="007526DC">
        <w:rPr>
          <w:rFonts w:cs="Arial"/>
        </w:rPr>
        <w:t>niñas y los niños menores de 5 años en condición de riesgo y vulnerabilidad</w:t>
      </w:r>
      <w:r>
        <w:rPr>
          <w:rFonts w:cs="Arial"/>
        </w:rPr>
        <w:t>.</w:t>
      </w:r>
    </w:p>
    <w:p w:rsidR="008A56FD" w:rsidRPr="007526DC" w:rsidRDefault="008A56FD" w:rsidP="008A56FD">
      <w:pPr>
        <w:spacing w:after="0" w:line="240" w:lineRule="auto"/>
        <w:jc w:val="both"/>
        <w:rPr>
          <w:rFonts w:cs="Arial"/>
        </w:rPr>
      </w:pPr>
    </w:p>
    <w:p w:rsidR="008A56FD" w:rsidRDefault="008A56FD" w:rsidP="008A56FD">
      <w:pPr>
        <w:spacing w:after="0" w:line="240" w:lineRule="auto"/>
        <w:jc w:val="both"/>
        <w:rPr>
          <w:rFonts w:cs="Arial"/>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 xml:space="preserve">iene presencia en </w:t>
      </w:r>
      <w:r>
        <w:rPr>
          <w:rFonts w:cs="Arial"/>
        </w:rPr>
        <w:t xml:space="preserve">Atlántico, Caldas, Córdoba, La Guajira, </w:t>
      </w:r>
      <w:r w:rsidRPr="00721B5C">
        <w:rPr>
          <w:rFonts w:cs="Arial"/>
        </w:rPr>
        <w:t xml:space="preserve">Norte </w:t>
      </w:r>
      <w:r>
        <w:rPr>
          <w:rFonts w:cs="Arial"/>
        </w:rPr>
        <w:t xml:space="preserve">de Santander, </w:t>
      </w:r>
      <w:r w:rsidRPr="00721B5C">
        <w:rPr>
          <w:rFonts w:cs="Arial"/>
        </w:rPr>
        <w:t xml:space="preserve">Quindío </w:t>
      </w:r>
      <w:r>
        <w:rPr>
          <w:rFonts w:cs="Arial"/>
        </w:rPr>
        <w:t xml:space="preserve">y </w:t>
      </w:r>
      <w:r w:rsidRPr="00721B5C">
        <w:rPr>
          <w:rFonts w:cs="Arial"/>
        </w:rPr>
        <w:t>Santander</w:t>
      </w:r>
      <w:r>
        <w:rPr>
          <w:rFonts w:cs="Arial"/>
        </w:rPr>
        <w:t>.</w:t>
      </w:r>
    </w:p>
    <w:p w:rsidR="008A56FD" w:rsidRDefault="008A56FD" w:rsidP="008A56FD">
      <w:pPr>
        <w:spacing w:after="0" w:line="240" w:lineRule="auto"/>
        <w:jc w:val="both"/>
        <w:rPr>
          <w:rFonts w:cs="Arial"/>
        </w:rPr>
      </w:pPr>
    </w:p>
    <w:p w:rsidR="008A56FD"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w:t>
      </w: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6"/>
        <w:gridCol w:w="1417"/>
        <w:gridCol w:w="1560"/>
        <w:gridCol w:w="2614"/>
        <w:gridCol w:w="2108"/>
      </w:tblGrid>
      <w:tr w:rsidR="008A56FD" w:rsidRPr="00721B5C" w:rsidTr="002D2A43">
        <w:trPr>
          <w:trHeight w:val="421"/>
          <w:tblHeader/>
        </w:trPr>
        <w:tc>
          <w:tcPr>
            <w:tcW w:w="903" w:type="pct"/>
            <w:shd w:val="clear" w:color="auto" w:fill="76923C" w:themeFill="accent3" w:themeFillShade="BF"/>
            <w:vAlign w:val="center"/>
            <w:hideMark/>
          </w:tcPr>
          <w:p w:rsidR="008A56FD" w:rsidRPr="00AE6BBF" w:rsidRDefault="008A56FD" w:rsidP="009E7475">
            <w:pPr>
              <w:spacing w:after="0" w:line="240" w:lineRule="auto"/>
              <w:jc w:val="center"/>
              <w:rPr>
                <w:rFonts w:cs="Arial"/>
                <w:b/>
                <w:color w:val="FFFFFF" w:themeColor="background1"/>
                <w:sz w:val="18"/>
              </w:rPr>
            </w:pPr>
            <w:r w:rsidRPr="00AE6BBF">
              <w:rPr>
                <w:rFonts w:cs="Arial"/>
                <w:b/>
                <w:color w:val="FFFFFF" w:themeColor="background1"/>
                <w:sz w:val="18"/>
              </w:rPr>
              <w:t>Año</w:t>
            </w:r>
          </w:p>
        </w:tc>
        <w:tc>
          <w:tcPr>
            <w:tcW w:w="754" w:type="pct"/>
            <w:shd w:val="clear" w:color="auto" w:fill="76923C" w:themeFill="accent3" w:themeFillShade="BF"/>
            <w:vAlign w:val="center"/>
            <w:hideMark/>
          </w:tcPr>
          <w:p w:rsidR="008A56FD" w:rsidRPr="00AE6BBF" w:rsidRDefault="008A56FD" w:rsidP="009E7475">
            <w:pPr>
              <w:spacing w:after="0" w:line="240" w:lineRule="auto"/>
              <w:jc w:val="center"/>
              <w:rPr>
                <w:rFonts w:cs="Arial"/>
                <w:b/>
                <w:color w:val="FFFFFF" w:themeColor="background1"/>
                <w:sz w:val="18"/>
              </w:rPr>
            </w:pPr>
            <w:r w:rsidRPr="00AE6BBF">
              <w:rPr>
                <w:rFonts w:cs="Arial"/>
                <w:b/>
                <w:color w:val="FFFFFF" w:themeColor="background1"/>
                <w:sz w:val="18"/>
              </w:rPr>
              <w:t>Unidades</w:t>
            </w:r>
          </w:p>
        </w:tc>
        <w:tc>
          <w:tcPr>
            <w:tcW w:w="830" w:type="pct"/>
            <w:shd w:val="clear" w:color="auto" w:fill="76923C" w:themeFill="accent3" w:themeFillShade="BF"/>
            <w:vAlign w:val="center"/>
            <w:hideMark/>
          </w:tcPr>
          <w:p w:rsidR="008A56FD" w:rsidRPr="00AE6BBF" w:rsidRDefault="008A56FD" w:rsidP="009E7475">
            <w:pPr>
              <w:spacing w:after="0" w:line="240" w:lineRule="auto"/>
              <w:jc w:val="center"/>
              <w:rPr>
                <w:rFonts w:cs="Arial"/>
                <w:b/>
                <w:color w:val="FFFFFF" w:themeColor="background1"/>
                <w:sz w:val="18"/>
              </w:rPr>
            </w:pPr>
            <w:r w:rsidRPr="00AE6BBF">
              <w:rPr>
                <w:rFonts w:cs="Arial"/>
                <w:b/>
                <w:color w:val="FFFFFF" w:themeColor="background1"/>
                <w:sz w:val="18"/>
              </w:rPr>
              <w:t>Beneficiarios</w:t>
            </w:r>
          </w:p>
        </w:tc>
        <w:tc>
          <w:tcPr>
            <w:tcW w:w="1391" w:type="pct"/>
            <w:shd w:val="clear" w:color="auto" w:fill="76923C" w:themeFill="accent3" w:themeFillShade="BF"/>
            <w:vAlign w:val="center"/>
            <w:hideMark/>
          </w:tcPr>
          <w:p w:rsidR="008A56FD" w:rsidRPr="00AE6BBF" w:rsidRDefault="008A56FD" w:rsidP="009E7475">
            <w:pPr>
              <w:spacing w:after="0" w:line="240" w:lineRule="auto"/>
              <w:jc w:val="center"/>
              <w:rPr>
                <w:rFonts w:cs="Arial"/>
                <w:b/>
                <w:color w:val="FFFFFF" w:themeColor="background1"/>
                <w:sz w:val="18"/>
              </w:rPr>
            </w:pPr>
            <w:r w:rsidRPr="00AE6BBF">
              <w:rPr>
                <w:rFonts w:cs="Arial"/>
                <w:b/>
                <w:color w:val="FFFFFF" w:themeColor="background1"/>
                <w:sz w:val="18"/>
              </w:rPr>
              <w:t>Beneficiarios Desplazados por la Violencia</w:t>
            </w:r>
          </w:p>
        </w:tc>
        <w:tc>
          <w:tcPr>
            <w:tcW w:w="1122" w:type="pct"/>
            <w:shd w:val="clear" w:color="auto" w:fill="76923C" w:themeFill="accent3" w:themeFillShade="BF"/>
            <w:vAlign w:val="center"/>
            <w:hideMark/>
          </w:tcPr>
          <w:p w:rsidR="008A56FD" w:rsidRPr="00AE6BBF" w:rsidRDefault="008A56FD" w:rsidP="009E7475">
            <w:pPr>
              <w:spacing w:after="0" w:line="240" w:lineRule="auto"/>
              <w:jc w:val="center"/>
              <w:rPr>
                <w:rFonts w:cs="Arial"/>
                <w:b/>
                <w:color w:val="FFFFFF" w:themeColor="background1"/>
                <w:sz w:val="18"/>
              </w:rPr>
            </w:pPr>
            <w:r w:rsidRPr="00AE6BBF">
              <w:rPr>
                <w:rFonts w:cs="Arial"/>
                <w:b/>
                <w:color w:val="FFFFFF" w:themeColor="background1"/>
                <w:sz w:val="18"/>
              </w:rPr>
              <w:t>Inversión – Recursos Apropiados</w:t>
            </w:r>
          </w:p>
        </w:tc>
      </w:tr>
      <w:tr w:rsidR="008A56FD" w:rsidRPr="00721B5C" w:rsidTr="002D2A43">
        <w:trPr>
          <w:trHeight w:val="445"/>
        </w:trPr>
        <w:tc>
          <w:tcPr>
            <w:tcW w:w="903" w:type="pct"/>
            <w:vAlign w:val="center"/>
            <w:hideMark/>
          </w:tcPr>
          <w:p w:rsidR="008A56FD" w:rsidRPr="00584AA1" w:rsidRDefault="008A56FD" w:rsidP="009E7475">
            <w:pPr>
              <w:spacing w:after="0" w:line="240" w:lineRule="auto"/>
              <w:jc w:val="center"/>
              <w:rPr>
                <w:rFonts w:cs="Arial"/>
                <w:sz w:val="18"/>
              </w:rPr>
            </w:pPr>
            <w:r w:rsidRPr="00584AA1">
              <w:rPr>
                <w:rFonts w:cs="Arial"/>
                <w:sz w:val="18"/>
              </w:rPr>
              <w:t>2016</w:t>
            </w:r>
          </w:p>
        </w:tc>
        <w:tc>
          <w:tcPr>
            <w:tcW w:w="754" w:type="pct"/>
            <w:vAlign w:val="center"/>
            <w:hideMark/>
          </w:tcPr>
          <w:p w:rsidR="008A56FD" w:rsidRPr="00584AA1" w:rsidRDefault="008A56FD" w:rsidP="009E7475">
            <w:pPr>
              <w:spacing w:after="0" w:line="240" w:lineRule="auto"/>
              <w:jc w:val="center"/>
              <w:rPr>
                <w:rFonts w:cs="Arial"/>
                <w:sz w:val="18"/>
              </w:rPr>
            </w:pPr>
            <w:r w:rsidRPr="00584AA1">
              <w:rPr>
                <w:rFonts w:cs="Arial"/>
                <w:sz w:val="18"/>
              </w:rPr>
              <w:t>1.889</w:t>
            </w:r>
          </w:p>
        </w:tc>
        <w:tc>
          <w:tcPr>
            <w:tcW w:w="830" w:type="pct"/>
            <w:vAlign w:val="center"/>
            <w:hideMark/>
          </w:tcPr>
          <w:p w:rsidR="008A56FD" w:rsidRPr="00584AA1" w:rsidRDefault="008A56FD" w:rsidP="009E7475">
            <w:pPr>
              <w:spacing w:after="0" w:line="240" w:lineRule="auto"/>
              <w:jc w:val="center"/>
              <w:rPr>
                <w:rFonts w:cs="Arial"/>
                <w:sz w:val="18"/>
              </w:rPr>
            </w:pPr>
            <w:r w:rsidRPr="00584AA1">
              <w:rPr>
                <w:rFonts w:cs="Arial"/>
                <w:sz w:val="18"/>
              </w:rPr>
              <w:t>23.871</w:t>
            </w:r>
          </w:p>
        </w:tc>
        <w:tc>
          <w:tcPr>
            <w:tcW w:w="1391" w:type="pct"/>
            <w:vAlign w:val="center"/>
            <w:hideMark/>
          </w:tcPr>
          <w:p w:rsidR="008A56FD" w:rsidRPr="00584AA1" w:rsidRDefault="008A56FD" w:rsidP="009E7475">
            <w:pPr>
              <w:spacing w:after="0" w:line="240" w:lineRule="auto"/>
              <w:jc w:val="center"/>
              <w:rPr>
                <w:rFonts w:cs="Arial"/>
                <w:sz w:val="18"/>
              </w:rPr>
            </w:pPr>
            <w:r w:rsidRPr="00584AA1">
              <w:rPr>
                <w:rFonts w:cs="Arial"/>
                <w:sz w:val="18"/>
              </w:rPr>
              <w:t>80</w:t>
            </w:r>
          </w:p>
        </w:tc>
        <w:tc>
          <w:tcPr>
            <w:tcW w:w="1122" w:type="pct"/>
            <w:vAlign w:val="center"/>
            <w:hideMark/>
          </w:tcPr>
          <w:p w:rsidR="008A56FD" w:rsidRPr="00584AA1" w:rsidRDefault="008A56FD" w:rsidP="009E7475">
            <w:pPr>
              <w:spacing w:after="0" w:line="240" w:lineRule="auto"/>
              <w:jc w:val="center"/>
              <w:rPr>
                <w:rFonts w:cs="Arial"/>
                <w:sz w:val="18"/>
              </w:rPr>
            </w:pPr>
            <w:r w:rsidRPr="00584AA1">
              <w:rPr>
                <w:rFonts w:cs="Arial"/>
                <w:sz w:val="18"/>
              </w:rPr>
              <w:t>3.4546.302.408</w:t>
            </w:r>
          </w:p>
        </w:tc>
      </w:tr>
    </w:tbl>
    <w:p w:rsidR="008A56FD" w:rsidRPr="00D23FA4" w:rsidRDefault="008A56FD" w:rsidP="008A56FD">
      <w:pPr>
        <w:spacing w:after="0" w:line="240" w:lineRule="auto"/>
        <w:jc w:val="both"/>
        <w:rPr>
          <w:rFonts w:cs="Arial"/>
          <w:sz w:val="18"/>
          <w:lang w:eastAsia="es-ES"/>
        </w:rPr>
      </w:pPr>
      <w:r w:rsidRPr="00DA54E3">
        <w:rPr>
          <w:rFonts w:cs="Arial"/>
          <w:b/>
          <w:sz w:val="16"/>
          <w:lang w:eastAsia="es-ES"/>
        </w:rPr>
        <w:t>Fuente:</w:t>
      </w:r>
      <w:r w:rsidRPr="00D21160">
        <w:rPr>
          <w:rFonts w:cs="Arial"/>
          <w:sz w:val="16"/>
          <w:lang w:eastAsia="es-ES"/>
        </w:rPr>
        <w:t xml:space="preserve"> Metas Sociales y Financieras, reporte preliminar cierre vigencia 2016 corte 23 de enero de 2017</w:t>
      </w:r>
      <w:r w:rsidRPr="00D23FA4">
        <w:rPr>
          <w:rFonts w:cs="Arial"/>
          <w:sz w:val="18"/>
          <w:lang w:eastAsia="es-ES"/>
        </w:rPr>
        <w:t>.</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D21160" w:rsidRDefault="00D21160" w:rsidP="00D21160">
      <w:pPr>
        <w:spacing w:after="0" w:line="240" w:lineRule="auto"/>
        <w:jc w:val="both"/>
        <w:rPr>
          <w:rFonts w:cs="Arial"/>
          <w:sz w:val="16"/>
          <w:lang w:val="es-CO" w:eastAsia="es-ES"/>
        </w:rPr>
      </w:pPr>
    </w:p>
    <w:p w:rsidR="00DA54E3" w:rsidRDefault="00DA54E3" w:rsidP="00D21160">
      <w:pPr>
        <w:spacing w:after="0" w:line="240" w:lineRule="auto"/>
        <w:jc w:val="both"/>
        <w:rPr>
          <w:rFonts w:cs="Arial"/>
          <w:sz w:val="16"/>
          <w:lang w:val="es-CO" w:eastAsia="es-ES"/>
        </w:rPr>
      </w:pPr>
    </w:p>
    <w:p w:rsidR="00DA54E3" w:rsidRDefault="00DA54E3" w:rsidP="00D21160">
      <w:pPr>
        <w:spacing w:after="0" w:line="240" w:lineRule="auto"/>
        <w:jc w:val="both"/>
        <w:rPr>
          <w:rFonts w:cs="Arial"/>
          <w:sz w:val="16"/>
          <w:lang w:val="es-CO" w:eastAsia="es-ES"/>
        </w:rPr>
      </w:pPr>
    </w:p>
    <w:p w:rsidR="00DA54E3" w:rsidRDefault="00DA54E3" w:rsidP="00D21160">
      <w:pPr>
        <w:spacing w:after="0" w:line="240" w:lineRule="auto"/>
        <w:jc w:val="both"/>
        <w:rPr>
          <w:rFonts w:cs="Arial"/>
          <w:sz w:val="16"/>
          <w:lang w:val="es-CO" w:eastAsia="es-ES"/>
        </w:rPr>
      </w:pPr>
    </w:p>
    <w:p w:rsidR="00DA54E3" w:rsidRPr="00D21160" w:rsidRDefault="00DA54E3" w:rsidP="00D21160">
      <w:pPr>
        <w:spacing w:after="0" w:line="240" w:lineRule="auto"/>
        <w:jc w:val="both"/>
        <w:rPr>
          <w:rFonts w:cs="Arial"/>
          <w:sz w:val="16"/>
          <w:lang w:val="es-CO" w:eastAsia="es-ES"/>
        </w:rPr>
      </w:pPr>
    </w:p>
    <w:p w:rsidR="008A56FD" w:rsidRPr="00AF6668" w:rsidRDefault="008A56FD" w:rsidP="00470DCA">
      <w:pPr>
        <w:pStyle w:val="Prrafodelista"/>
        <w:numPr>
          <w:ilvl w:val="0"/>
          <w:numId w:val="228"/>
        </w:numPr>
        <w:rPr>
          <w:u w:val="single"/>
        </w:rPr>
      </w:pPr>
      <w:bookmarkStart w:id="27" w:name="_Toc473308896"/>
      <w:bookmarkStart w:id="28" w:name="_Toc473309972"/>
      <w:r w:rsidRPr="00AF6668">
        <w:rPr>
          <w:b/>
          <w:u w:val="single"/>
        </w:rPr>
        <w:lastRenderedPageBreak/>
        <w:t>Hogares Comunitarios de Bienestar Múltiples</w:t>
      </w:r>
      <w:bookmarkEnd w:id="27"/>
      <w:bookmarkEnd w:id="28"/>
    </w:p>
    <w:p w:rsidR="008A56FD" w:rsidRPr="00D23FA4" w:rsidRDefault="008A56FD" w:rsidP="008A56FD">
      <w:pPr>
        <w:spacing w:after="0" w:line="240" w:lineRule="auto"/>
        <w:jc w:val="both"/>
        <w:rPr>
          <w:rFonts w:cs="Arial"/>
        </w:rPr>
      </w:pPr>
      <w:r w:rsidRPr="00D23FA4">
        <w:rPr>
          <w:rFonts w:cs="Arial"/>
        </w:rPr>
        <w:t xml:space="preserve">Forma de atención que agrupa un determinado número de Hogares Comunitarios de Bienestar de acuerdo con la capacidad instalada de infraestructura. Funcionan en equipamientos construidos o adecuados para tal fin. En este caso el Centro Zonal respectivo también verifica el cumplimiento del estándar técnico en cuanto a espacios. </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jc w:val="both"/>
        <w:rPr>
          <w:rFonts w:cs="Arial"/>
        </w:rPr>
      </w:pPr>
      <w:r w:rsidRPr="00D23FA4">
        <w:rPr>
          <w:rFonts w:cs="Arial"/>
        </w:rPr>
        <w:t>Mediante esta forma de atención se garantiza el servicio de educación inicial, cuidado y nutrición a niñas y niños menores de 5 años en medio institucional, en el marco de la atención integral y diferencial a través de acciones pedagógicas, de cuidado calificado y nutrición, así como la realización de gestiones para promover los derechos de salud, protección y participación que permitan favorecer su desarrollo integral.</w:t>
      </w:r>
    </w:p>
    <w:p w:rsidR="008A56FD" w:rsidRPr="00D23FA4" w:rsidRDefault="008A56FD" w:rsidP="008A56FD">
      <w:pPr>
        <w:spacing w:after="0" w:line="240" w:lineRule="auto"/>
        <w:jc w:val="both"/>
        <w:rPr>
          <w:rFonts w:cs="Arial"/>
        </w:rPr>
      </w:pP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hasta los 4 años y 11 meses.</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lang w:val="es-CO" w:eastAsia="es-CO"/>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 xml:space="preserve">iene presencia en Atlántico, Cauca, Boyacá, Cundinamarca y Chocó. </w:t>
      </w:r>
    </w:p>
    <w:p w:rsidR="008A56FD" w:rsidRPr="00D23FA4" w:rsidRDefault="008A56FD" w:rsidP="008A56FD">
      <w:pPr>
        <w:spacing w:after="0" w:line="240" w:lineRule="auto"/>
        <w:ind w:left="708"/>
        <w:jc w:val="both"/>
        <w:rPr>
          <w:rFonts w:cs="Arial"/>
          <w:lang w:val="es-CO" w:eastAsia="es-CO"/>
        </w:rPr>
      </w:pPr>
    </w:p>
    <w:p w:rsidR="008A56FD" w:rsidRPr="00D23FA4"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w:t>
      </w:r>
    </w:p>
    <w:tbl>
      <w:tblPr>
        <w:tblStyle w:val="Tablaconcuadrcula"/>
        <w:tblW w:w="4966"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7"/>
        <w:gridCol w:w="1700"/>
        <w:gridCol w:w="2840"/>
        <w:gridCol w:w="3094"/>
      </w:tblGrid>
      <w:tr w:rsidR="008A56FD" w:rsidRPr="00D23FA4" w:rsidTr="000F4D65">
        <w:trPr>
          <w:trHeight w:val="497"/>
          <w:tblHeader/>
          <w:jc w:val="center"/>
        </w:trPr>
        <w:tc>
          <w:tcPr>
            <w:tcW w:w="909"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iCs/>
                <w:color w:val="FFFFFF" w:themeColor="background1"/>
                <w:sz w:val="18"/>
                <w:szCs w:val="18"/>
                <w:lang w:val="es-CO" w:eastAsia="es-CO"/>
              </w:rPr>
            </w:pPr>
            <w:r w:rsidRPr="00AE6BBF">
              <w:rPr>
                <w:rFonts w:eastAsia="Times New Roman" w:cs="Arial"/>
                <w:b/>
                <w:iCs/>
                <w:color w:val="FFFFFF" w:themeColor="background1"/>
                <w:sz w:val="18"/>
                <w:szCs w:val="18"/>
                <w:lang w:val="es-CO" w:eastAsia="es-CO"/>
              </w:rPr>
              <w:t>Año</w:t>
            </w:r>
          </w:p>
        </w:tc>
        <w:tc>
          <w:tcPr>
            <w:tcW w:w="911"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Beneficiarios</w:t>
            </w:r>
          </w:p>
        </w:tc>
        <w:tc>
          <w:tcPr>
            <w:tcW w:w="1522" w:type="pct"/>
            <w:shd w:val="clear" w:color="auto" w:fill="76923C" w:themeFill="accent3" w:themeFillShade="BF"/>
            <w:vAlign w:val="center"/>
            <w:hideMark/>
          </w:tcPr>
          <w:p w:rsid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 xml:space="preserve">Beneficiarios Desplazados </w:t>
            </w:r>
          </w:p>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por la Violencia</w:t>
            </w:r>
          </w:p>
        </w:tc>
        <w:tc>
          <w:tcPr>
            <w:tcW w:w="1658"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Inversión – Recursos Apropiados</w:t>
            </w:r>
          </w:p>
        </w:tc>
      </w:tr>
      <w:tr w:rsidR="008A56FD" w:rsidRPr="00D23FA4" w:rsidTr="000F4D65">
        <w:trPr>
          <w:trHeight w:val="416"/>
          <w:jc w:val="center"/>
        </w:trPr>
        <w:tc>
          <w:tcPr>
            <w:tcW w:w="909"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91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515</w:t>
            </w:r>
          </w:p>
        </w:tc>
        <w:tc>
          <w:tcPr>
            <w:tcW w:w="1522"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25</w:t>
            </w:r>
          </w:p>
        </w:tc>
        <w:tc>
          <w:tcPr>
            <w:tcW w:w="1658"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$ 818.809.033</w:t>
            </w:r>
          </w:p>
        </w:tc>
      </w:tr>
    </w:tbl>
    <w:p w:rsidR="008A56FD" w:rsidRPr="00AE6BBF" w:rsidRDefault="008A56FD" w:rsidP="008A56FD">
      <w:pPr>
        <w:spacing w:after="0" w:line="240" w:lineRule="auto"/>
        <w:jc w:val="both"/>
        <w:rPr>
          <w:rFonts w:cs="Arial"/>
          <w:sz w:val="16"/>
          <w:szCs w:val="16"/>
          <w:lang w:eastAsia="es-ES"/>
        </w:rPr>
      </w:pPr>
      <w:r w:rsidRPr="00AE6BBF">
        <w:rPr>
          <w:rFonts w:cs="Arial"/>
          <w:b/>
          <w:sz w:val="16"/>
          <w:szCs w:val="16"/>
          <w:lang w:eastAsia="es-ES"/>
        </w:rPr>
        <w:t>Fuente:</w:t>
      </w:r>
      <w:r w:rsidRPr="00AE6BBF">
        <w:rPr>
          <w:rFonts w:cs="Arial"/>
          <w:sz w:val="16"/>
          <w:szCs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F6668" w:rsidRDefault="008A56FD" w:rsidP="00470DCA">
      <w:pPr>
        <w:pStyle w:val="Prrafodelista"/>
        <w:numPr>
          <w:ilvl w:val="0"/>
          <w:numId w:val="229"/>
        </w:numPr>
        <w:rPr>
          <w:rFonts w:eastAsiaTheme="majorEastAsia"/>
        </w:rPr>
      </w:pPr>
      <w:bookmarkStart w:id="29" w:name="_Toc473308897"/>
      <w:bookmarkStart w:id="30" w:name="_Toc473309973"/>
      <w:r w:rsidRPr="00AF6668">
        <w:rPr>
          <w:rFonts w:eastAsiaTheme="majorEastAsia"/>
          <w:b/>
          <w:u w:val="single"/>
        </w:rPr>
        <w:t>Hogares Comunitarios Empresariales (HCE)</w:t>
      </w:r>
      <w:bookmarkEnd w:id="29"/>
      <w:bookmarkEnd w:id="30"/>
    </w:p>
    <w:p w:rsidR="008A56FD" w:rsidRPr="00D23FA4" w:rsidRDefault="008A56FD" w:rsidP="008A56FD">
      <w:pPr>
        <w:spacing w:after="0" w:line="240" w:lineRule="auto"/>
        <w:jc w:val="both"/>
        <w:rPr>
          <w:rFonts w:cs="Arial"/>
          <w:lang w:eastAsia="es-ES"/>
        </w:rPr>
      </w:pPr>
      <w:r w:rsidRPr="00D23FA4">
        <w:rPr>
          <w:rFonts w:cs="Arial"/>
          <w:lang w:eastAsia="es-ES"/>
        </w:rPr>
        <w:t xml:space="preserve">Forma de atención que se presta en un sitio especialmente adecuado por una empresa, para la atención de los hijos de los trabajadores de más bajos ingresos, con el apoyo y cofinanciación de las empresas donde éstos laboran. Esta modalidad agrupa más de 2 Hogares Comunitarios Familiares. El ICBF aporta el costo establecido para los </w:t>
      </w:r>
      <w:r w:rsidRPr="00D23FA4">
        <w:rPr>
          <w:rFonts w:cs="Arial"/>
        </w:rPr>
        <w:t>Hogares Comunitarios de Bienestar</w:t>
      </w:r>
      <w:r w:rsidRPr="00D23FA4">
        <w:rPr>
          <w:rFonts w:cs="Arial"/>
          <w:lang w:eastAsia="es-ES"/>
        </w:rPr>
        <w:t xml:space="preserve">. En esta forma de atención, el valor/cupo/mes es superior al costo definido por el ICBF, dada la cofinanciación de la empresa (instalaciones, dotación, coordinador pedagógico, servicios generales y en algunos casos el complemento al aporte salarial de los agentes educativos, complemento en raciones entre otros). </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desde los 6 meses hasta los 4 años y 11 meses hijos de trabajadores de más bajos ingresos de la Empresa.</w:t>
      </w:r>
    </w:p>
    <w:p w:rsidR="008A56FD" w:rsidRPr="00D23FA4" w:rsidRDefault="008A56FD" w:rsidP="008A56FD">
      <w:pPr>
        <w:spacing w:after="0" w:line="240" w:lineRule="auto"/>
        <w:ind w:left="708"/>
        <w:jc w:val="both"/>
        <w:rPr>
          <w:rFonts w:cs="Arial"/>
          <w:i/>
          <w:lang w:eastAsia="es-ES"/>
        </w:rPr>
      </w:pPr>
    </w:p>
    <w:p w:rsidR="008A56FD" w:rsidRPr="00D23FA4" w:rsidRDefault="008A56FD" w:rsidP="008A56FD">
      <w:pPr>
        <w:spacing w:after="0" w:line="240" w:lineRule="auto"/>
        <w:jc w:val="both"/>
        <w:rPr>
          <w:rFonts w:cs="Arial"/>
          <w:lang w:val="es-CO" w:eastAsia="es-CO"/>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 xml:space="preserve">iene presencia en Antioquia, Bogotá, Cundinamarca, Nariño, Risaralda, Tolima y Valle del Cauca. </w:t>
      </w:r>
    </w:p>
    <w:p w:rsidR="008A56FD" w:rsidRPr="00D23FA4" w:rsidRDefault="008A56FD" w:rsidP="008A56FD">
      <w:pPr>
        <w:spacing w:after="0" w:line="240" w:lineRule="auto"/>
        <w:jc w:val="both"/>
        <w:rPr>
          <w:rFonts w:cs="Arial"/>
          <w:lang w:val="es-CO" w:eastAsia="es-CO"/>
        </w:rPr>
      </w:pPr>
    </w:p>
    <w:p w:rsidR="00DA54E3" w:rsidRDefault="00DA54E3" w:rsidP="008A56FD">
      <w:pPr>
        <w:spacing w:after="0" w:line="240" w:lineRule="auto"/>
        <w:jc w:val="both"/>
        <w:rPr>
          <w:rFonts w:cs="Arial"/>
          <w:b/>
          <w:i/>
          <w:lang w:val="es-CO" w:eastAsia="es-CO"/>
        </w:rPr>
      </w:pPr>
    </w:p>
    <w:p w:rsidR="00DA54E3" w:rsidRDefault="00DA54E3" w:rsidP="008A56FD">
      <w:pPr>
        <w:spacing w:after="0" w:line="240" w:lineRule="auto"/>
        <w:jc w:val="both"/>
        <w:rPr>
          <w:rFonts w:cs="Arial"/>
          <w:b/>
          <w:i/>
          <w:lang w:val="es-CO" w:eastAsia="es-CO"/>
        </w:rPr>
      </w:pPr>
    </w:p>
    <w:p w:rsidR="00DA54E3" w:rsidRDefault="00DA54E3" w:rsidP="008A56FD">
      <w:pPr>
        <w:spacing w:after="0" w:line="240" w:lineRule="auto"/>
        <w:jc w:val="both"/>
        <w:rPr>
          <w:rFonts w:cs="Arial"/>
          <w:b/>
          <w:i/>
          <w:lang w:val="es-CO" w:eastAsia="es-CO"/>
        </w:rPr>
      </w:pPr>
    </w:p>
    <w:p w:rsidR="00DA54E3" w:rsidRDefault="00DA54E3" w:rsidP="008A56FD">
      <w:pPr>
        <w:spacing w:after="0" w:line="240" w:lineRule="auto"/>
        <w:jc w:val="both"/>
        <w:rPr>
          <w:rFonts w:cs="Arial"/>
          <w:b/>
          <w:i/>
          <w:lang w:val="es-CO" w:eastAsia="es-CO"/>
        </w:rPr>
      </w:pPr>
    </w:p>
    <w:p w:rsidR="00DA54E3" w:rsidRDefault="00DA54E3" w:rsidP="008A56FD">
      <w:pPr>
        <w:spacing w:after="0" w:line="240" w:lineRule="auto"/>
        <w:jc w:val="both"/>
        <w:rPr>
          <w:rFonts w:cs="Arial"/>
          <w:b/>
          <w:i/>
          <w:lang w:val="es-CO" w:eastAsia="es-CO"/>
        </w:rPr>
      </w:pPr>
    </w:p>
    <w:p w:rsidR="008A56FD" w:rsidRDefault="008A56FD" w:rsidP="008A56FD">
      <w:pPr>
        <w:spacing w:after="0" w:line="240" w:lineRule="auto"/>
        <w:jc w:val="both"/>
        <w:rPr>
          <w:rFonts w:cs="Arial"/>
          <w:b/>
          <w:lang w:val="es-CO" w:eastAsia="es-ES"/>
        </w:rPr>
      </w:pPr>
      <w:r w:rsidRPr="00D23FA4">
        <w:rPr>
          <w:rFonts w:cs="Arial"/>
          <w:b/>
          <w:i/>
          <w:lang w:val="es-CO" w:eastAsia="es-CO"/>
        </w:rPr>
        <w:lastRenderedPageBreak/>
        <w:t>Cobertura e Inversión</w:t>
      </w:r>
      <w:r w:rsidR="00AE6BBF">
        <w:rPr>
          <w:rFonts w:cs="Arial"/>
          <w:b/>
          <w:lang w:val="es-CO" w:eastAsia="es-ES"/>
        </w:rPr>
        <w:t>:</w:t>
      </w:r>
    </w:p>
    <w:tbl>
      <w:tblPr>
        <w:tblStyle w:val="Tablaconcuadrcula"/>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838"/>
        <w:gridCol w:w="1629"/>
        <w:gridCol w:w="2766"/>
        <w:gridCol w:w="3162"/>
      </w:tblGrid>
      <w:tr w:rsidR="008A56FD" w:rsidRPr="00D23FA4" w:rsidTr="002D2A43">
        <w:trPr>
          <w:trHeight w:val="504"/>
          <w:tblHeader/>
        </w:trPr>
        <w:tc>
          <w:tcPr>
            <w:tcW w:w="978"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iCs/>
                <w:color w:val="FFFFFF" w:themeColor="background1"/>
                <w:sz w:val="18"/>
                <w:szCs w:val="18"/>
                <w:lang w:val="es-CO" w:eastAsia="es-CO"/>
              </w:rPr>
            </w:pPr>
            <w:r w:rsidRPr="00AE6BBF">
              <w:rPr>
                <w:rFonts w:eastAsia="Times New Roman" w:cs="Arial"/>
                <w:b/>
                <w:iCs/>
                <w:color w:val="FFFFFF" w:themeColor="background1"/>
                <w:sz w:val="18"/>
                <w:szCs w:val="18"/>
                <w:lang w:val="es-CO" w:eastAsia="es-CO"/>
              </w:rPr>
              <w:t>Año</w:t>
            </w:r>
          </w:p>
        </w:tc>
        <w:tc>
          <w:tcPr>
            <w:tcW w:w="867"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Beneficiarios</w:t>
            </w:r>
          </w:p>
        </w:tc>
        <w:tc>
          <w:tcPr>
            <w:tcW w:w="1472"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Beneficiarios Desplazados por la Violencia</w:t>
            </w:r>
          </w:p>
        </w:tc>
        <w:tc>
          <w:tcPr>
            <w:tcW w:w="1683" w:type="pct"/>
            <w:shd w:val="clear" w:color="auto" w:fill="76923C" w:themeFill="accent3" w:themeFillShade="BF"/>
            <w:vAlign w:val="center"/>
            <w:hideMark/>
          </w:tcPr>
          <w:p w:rsidR="008A56FD" w:rsidRPr="00AE6BBF" w:rsidRDefault="008A56FD" w:rsidP="009E7475">
            <w:pPr>
              <w:spacing w:after="0" w:line="240" w:lineRule="auto"/>
              <w:jc w:val="center"/>
              <w:rPr>
                <w:rFonts w:eastAsia="Times New Roman" w:cs="Arial"/>
                <w:b/>
                <w:color w:val="FFFFFF" w:themeColor="background1"/>
                <w:sz w:val="18"/>
                <w:szCs w:val="18"/>
                <w:lang w:val="es-CO" w:eastAsia="es-CO"/>
              </w:rPr>
            </w:pPr>
            <w:r w:rsidRPr="00AE6BBF">
              <w:rPr>
                <w:rFonts w:eastAsia="Times New Roman" w:cs="Arial"/>
                <w:b/>
                <w:color w:val="FFFFFF" w:themeColor="background1"/>
                <w:sz w:val="18"/>
                <w:szCs w:val="18"/>
                <w:lang w:val="es-CO" w:eastAsia="es-CO"/>
              </w:rPr>
              <w:t>Inversión – Recursos Apropiados</w:t>
            </w:r>
          </w:p>
        </w:tc>
      </w:tr>
      <w:tr w:rsidR="008A56FD" w:rsidRPr="00D23FA4" w:rsidTr="002D2A43">
        <w:trPr>
          <w:trHeight w:val="519"/>
        </w:trPr>
        <w:tc>
          <w:tcPr>
            <w:tcW w:w="978"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867"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1.266</w:t>
            </w:r>
          </w:p>
        </w:tc>
        <w:tc>
          <w:tcPr>
            <w:tcW w:w="1472"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33</w:t>
            </w:r>
          </w:p>
        </w:tc>
        <w:tc>
          <w:tcPr>
            <w:tcW w:w="1683"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$1.953.043.858</w:t>
            </w:r>
          </w:p>
        </w:tc>
      </w:tr>
    </w:tbl>
    <w:p w:rsidR="008A56FD" w:rsidRPr="00D23FA4" w:rsidRDefault="008A56FD" w:rsidP="008A56FD">
      <w:pPr>
        <w:spacing w:after="0" w:line="240" w:lineRule="auto"/>
        <w:jc w:val="both"/>
        <w:rPr>
          <w:rFonts w:cs="Arial"/>
          <w:sz w:val="16"/>
          <w:lang w:eastAsia="es-ES"/>
        </w:rPr>
      </w:pPr>
      <w:r w:rsidRPr="00636F20">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7B1F82">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F6668" w:rsidRDefault="008A56FD" w:rsidP="00470DCA">
      <w:pPr>
        <w:pStyle w:val="Prrafodelista"/>
        <w:numPr>
          <w:ilvl w:val="0"/>
          <w:numId w:val="230"/>
        </w:numPr>
        <w:rPr>
          <w:rFonts w:eastAsiaTheme="majorEastAsia"/>
          <w:b/>
          <w:i/>
          <w:u w:val="single"/>
        </w:rPr>
      </w:pPr>
      <w:bookmarkStart w:id="31" w:name="_Toc473308898"/>
      <w:bookmarkStart w:id="32" w:name="_Toc473309974"/>
      <w:r w:rsidRPr="00AF6668">
        <w:rPr>
          <w:rFonts w:eastAsiaTheme="majorEastAsia"/>
          <w:b/>
          <w:u w:val="single"/>
        </w:rPr>
        <w:t>Jardines Sociales</w:t>
      </w:r>
      <w:bookmarkEnd w:id="31"/>
      <w:bookmarkEnd w:id="32"/>
    </w:p>
    <w:p w:rsidR="008A56FD" w:rsidRPr="00D23FA4" w:rsidRDefault="008A56FD" w:rsidP="008A56FD">
      <w:pPr>
        <w:spacing w:after="0" w:line="240" w:lineRule="auto"/>
        <w:jc w:val="both"/>
        <w:rPr>
          <w:rFonts w:cs="Arial"/>
          <w:lang w:eastAsia="es-ES"/>
        </w:rPr>
      </w:pPr>
      <w:r w:rsidRPr="00D23FA4">
        <w:rPr>
          <w:rFonts w:cs="Arial"/>
          <w:lang w:eastAsia="es-ES"/>
        </w:rPr>
        <w:t>Forma de atención que agrupa hasta treinta y dos (32) Hogares Comunitarios Familiares. Funcionan en un sitio especialmente construido para este fin. Son administrados y cofinanciados por Cajas de Compensación Familiar, Fundaciones, Organizaciones No Gubernamentales y Organismos de Cooperación, entre otros; implicando la participación de equipos interdisciplinarios y agentes educativos, a través de convenios interadministrativos.</w:t>
      </w:r>
    </w:p>
    <w:p w:rsidR="008A56FD" w:rsidRPr="00D23FA4" w:rsidRDefault="008A56FD" w:rsidP="008A56FD">
      <w:pPr>
        <w:spacing w:after="0" w:line="240" w:lineRule="auto"/>
        <w:ind w:left="708"/>
        <w:jc w:val="both"/>
        <w:rPr>
          <w:rFonts w:cs="Arial"/>
          <w:lang w:eastAsia="es-ES"/>
        </w:rPr>
      </w:pPr>
      <w:r w:rsidRPr="00D23FA4">
        <w:rPr>
          <w:rFonts w:cs="Arial"/>
          <w:lang w:eastAsia="es-ES"/>
        </w:rPr>
        <w:t xml:space="preserve"> </w:t>
      </w: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hasta los 4 años y 11 meses.</w:t>
      </w:r>
    </w:p>
    <w:p w:rsidR="008A56FD" w:rsidRPr="00D23FA4" w:rsidRDefault="008A56FD" w:rsidP="008A56FD">
      <w:pPr>
        <w:spacing w:after="0" w:line="240" w:lineRule="auto"/>
        <w:ind w:left="708"/>
        <w:jc w:val="both"/>
        <w:rPr>
          <w:rFonts w:cs="Arial"/>
          <w:i/>
          <w:color w:val="0070C0"/>
          <w:lang w:eastAsia="es-ES"/>
        </w:rPr>
      </w:pPr>
    </w:p>
    <w:p w:rsidR="008A56FD" w:rsidRPr="00D23FA4" w:rsidRDefault="008A56FD" w:rsidP="008A56FD">
      <w:pPr>
        <w:spacing w:after="0" w:line="240" w:lineRule="auto"/>
        <w:jc w:val="both"/>
        <w:rPr>
          <w:rFonts w:cs="Arial"/>
          <w:lang w:val="es-CO" w:eastAsia="es-CO"/>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iene presencia en Antioquia, Atlántico, Cundinamarca, Nariño, Santander y Quindío.</w:t>
      </w:r>
    </w:p>
    <w:p w:rsidR="008A56FD" w:rsidRPr="00D23FA4" w:rsidRDefault="008A56FD" w:rsidP="008A56FD">
      <w:pPr>
        <w:spacing w:after="0" w:line="240" w:lineRule="auto"/>
        <w:ind w:left="708"/>
        <w:jc w:val="both"/>
        <w:rPr>
          <w:rFonts w:cs="Arial"/>
          <w:lang w:val="es-CO" w:eastAsia="es-CO"/>
        </w:rPr>
      </w:pPr>
    </w:p>
    <w:p w:rsidR="008A56FD" w:rsidRPr="00D23FA4" w:rsidRDefault="008A56FD" w:rsidP="008A56FD">
      <w:pPr>
        <w:spacing w:after="0" w:line="240" w:lineRule="auto"/>
        <w:jc w:val="both"/>
        <w:rPr>
          <w:rFonts w:cs="Arial"/>
          <w:b/>
          <w:lang w:val="es-CO" w:eastAsia="es-ES"/>
        </w:rPr>
      </w:pPr>
      <w:r w:rsidRPr="00D23FA4">
        <w:rPr>
          <w:rFonts w:cs="Arial"/>
          <w:b/>
          <w:i/>
          <w:lang w:val="es-CO" w:eastAsia="es-CO"/>
        </w:rPr>
        <w:t>Cobertura e Inversión:</w:t>
      </w:r>
    </w:p>
    <w:tbl>
      <w:tblPr>
        <w:tblStyle w:val="Tablaconcuadrcula"/>
        <w:tblW w:w="4985"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838"/>
        <w:gridCol w:w="1701"/>
        <w:gridCol w:w="3381"/>
        <w:gridCol w:w="2447"/>
      </w:tblGrid>
      <w:tr w:rsidR="008A56FD" w:rsidRPr="00D23FA4" w:rsidTr="002D2A43">
        <w:trPr>
          <w:trHeight w:val="541"/>
          <w:tblHeader/>
        </w:trPr>
        <w:tc>
          <w:tcPr>
            <w:tcW w:w="981" w:type="pct"/>
            <w:shd w:val="clear" w:color="auto" w:fill="76923C" w:themeFill="accent3" w:themeFillShade="BF"/>
            <w:vAlign w:val="center"/>
            <w:hideMark/>
          </w:tcPr>
          <w:p w:rsidR="008A56FD" w:rsidRPr="00636F20" w:rsidRDefault="008A56FD" w:rsidP="009E7475">
            <w:pPr>
              <w:spacing w:after="0" w:line="240" w:lineRule="auto"/>
              <w:jc w:val="center"/>
              <w:rPr>
                <w:rFonts w:cs="Arial"/>
                <w:b/>
                <w:color w:val="FFFFFF" w:themeColor="background1"/>
                <w:sz w:val="18"/>
                <w:szCs w:val="18"/>
              </w:rPr>
            </w:pPr>
            <w:r w:rsidRPr="00636F20">
              <w:rPr>
                <w:rFonts w:cs="Arial"/>
                <w:b/>
                <w:color w:val="FFFFFF" w:themeColor="background1"/>
                <w:sz w:val="18"/>
                <w:szCs w:val="18"/>
              </w:rPr>
              <w:t>Año</w:t>
            </w:r>
          </w:p>
        </w:tc>
        <w:tc>
          <w:tcPr>
            <w:tcW w:w="908" w:type="pct"/>
            <w:shd w:val="clear" w:color="auto" w:fill="76923C" w:themeFill="accent3" w:themeFillShade="BF"/>
            <w:vAlign w:val="center"/>
            <w:hideMark/>
          </w:tcPr>
          <w:p w:rsidR="008A56FD" w:rsidRPr="00636F20" w:rsidRDefault="008A56FD" w:rsidP="009E7475">
            <w:pPr>
              <w:spacing w:after="0" w:line="240" w:lineRule="auto"/>
              <w:jc w:val="center"/>
              <w:rPr>
                <w:rFonts w:cs="Arial"/>
                <w:b/>
                <w:color w:val="FFFFFF" w:themeColor="background1"/>
                <w:sz w:val="18"/>
                <w:szCs w:val="18"/>
              </w:rPr>
            </w:pPr>
            <w:r w:rsidRPr="00636F20">
              <w:rPr>
                <w:rFonts w:cs="Arial"/>
                <w:b/>
                <w:color w:val="FFFFFF" w:themeColor="background1"/>
                <w:sz w:val="18"/>
                <w:szCs w:val="18"/>
              </w:rPr>
              <w:t>Beneficiarios</w:t>
            </w:r>
          </w:p>
        </w:tc>
        <w:tc>
          <w:tcPr>
            <w:tcW w:w="1805" w:type="pct"/>
            <w:shd w:val="clear" w:color="auto" w:fill="76923C" w:themeFill="accent3" w:themeFillShade="BF"/>
            <w:vAlign w:val="center"/>
            <w:hideMark/>
          </w:tcPr>
          <w:p w:rsidR="008A56FD" w:rsidRPr="00636F20" w:rsidRDefault="008A56FD" w:rsidP="009E7475">
            <w:pPr>
              <w:spacing w:after="0" w:line="240" w:lineRule="auto"/>
              <w:jc w:val="center"/>
              <w:rPr>
                <w:rFonts w:cs="Arial"/>
                <w:b/>
                <w:color w:val="FFFFFF" w:themeColor="background1"/>
                <w:sz w:val="18"/>
                <w:szCs w:val="18"/>
              </w:rPr>
            </w:pPr>
            <w:r w:rsidRPr="00636F20">
              <w:rPr>
                <w:rFonts w:cs="Arial"/>
                <w:b/>
                <w:color w:val="FFFFFF" w:themeColor="background1"/>
                <w:sz w:val="18"/>
                <w:szCs w:val="18"/>
              </w:rPr>
              <w:t>Beneficiarios Desplazados por la Violencia</w:t>
            </w:r>
          </w:p>
        </w:tc>
        <w:tc>
          <w:tcPr>
            <w:tcW w:w="1306" w:type="pct"/>
            <w:shd w:val="clear" w:color="auto" w:fill="76923C" w:themeFill="accent3" w:themeFillShade="BF"/>
            <w:vAlign w:val="center"/>
            <w:hideMark/>
          </w:tcPr>
          <w:p w:rsidR="008A56FD" w:rsidRPr="00636F20" w:rsidRDefault="008A56FD" w:rsidP="009E7475">
            <w:pPr>
              <w:spacing w:after="0" w:line="240" w:lineRule="auto"/>
              <w:jc w:val="center"/>
              <w:rPr>
                <w:rFonts w:cs="Arial"/>
                <w:b/>
                <w:color w:val="FFFFFF" w:themeColor="background1"/>
                <w:sz w:val="18"/>
                <w:szCs w:val="18"/>
              </w:rPr>
            </w:pPr>
            <w:r w:rsidRPr="00636F20">
              <w:rPr>
                <w:rFonts w:eastAsia="Times New Roman" w:cs="Arial"/>
                <w:b/>
                <w:color w:val="FFFFFF" w:themeColor="background1"/>
                <w:sz w:val="18"/>
                <w:szCs w:val="18"/>
                <w:lang w:val="es-CO" w:eastAsia="es-CO"/>
              </w:rPr>
              <w:t>Inversión – Recursos Apropiados</w:t>
            </w:r>
          </w:p>
        </w:tc>
      </w:tr>
      <w:tr w:rsidR="008A56FD" w:rsidRPr="00D23FA4" w:rsidTr="002D2A43">
        <w:trPr>
          <w:trHeight w:val="418"/>
        </w:trPr>
        <w:tc>
          <w:tcPr>
            <w:tcW w:w="981"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908"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8.015</w:t>
            </w:r>
          </w:p>
        </w:tc>
        <w:tc>
          <w:tcPr>
            <w:tcW w:w="1805"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3613</w:t>
            </w:r>
          </w:p>
        </w:tc>
        <w:tc>
          <w:tcPr>
            <w:tcW w:w="1306"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$14.787.684.266</w:t>
            </w:r>
          </w:p>
        </w:tc>
      </w:tr>
    </w:tbl>
    <w:p w:rsidR="008A56FD" w:rsidRPr="00D23FA4" w:rsidRDefault="008A56FD" w:rsidP="008A56FD">
      <w:pPr>
        <w:spacing w:after="0" w:line="240" w:lineRule="auto"/>
        <w:jc w:val="both"/>
        <w:rPr>
          <w:rFonts w:cs="Arial"/>
          <w:sz w:val="16"/>
          <w:lang w:eastAsia="es-ES"/>
        </w:rPr>
      </w:pPr>
      <w:r w:rsidRPr="00636F20">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D21160">
        <w:rPr>
          <w:i/>
          <w:iCs/>
          <w:sz w:val="16"/>
        </w:rPr>
        <w:t>Nota: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F6668" w:rsidRDefault="008A56FD" w:rsidP="00470DCA">
      <w:pPr>
        <w:pStyle w:val="Prrafodelista"/>
        <w:numPr>
          <w:ilvl w:val="0"/>
          <w:numId w:val="231"/>
        </w:numPr>
        <w:rPr>
          <w:rFonts w:eastAsiaTheme="majorEastAsia"/>
          <w:b/>
          <w:u w:val="single"/>
        </w:rPr>
      </w:pPr>
      <w:bookmarkStart w:id="33" w:name="_Toc473308899"/>
      <w:bookmarkStart w:id="34" w:name="_Toc473309975"/>
      <w:r w:rsidRPr="00AF6668">
        <w:rPr>
          <w:rFonts w:eastAsiaTheme="majorEastAsia"/>
          <w:b/>
          <w:u w:val="single"/>
        </w:rPr>
        <w:t>Atención en Centros de Reclusión</w:t>
      </w:r>
      <w:bookmarkEnd w:id="33"/>
      <w:bookmarkEnd w:id="34"/>
    </w:p>
    <w:p w:rsidR="008A56FD" w:rsidRPr="00D23FA4" w:rsidRDefault="008A56FD" w:rsidP="008A56FD">
      <w:pPr>
        <w:spacing w:after="0" w:line="240" w:lineRule="auto"/>
        <w:jc w:val="both"/>
        <w:rPr>
          <w:rFonts w:cs="Arial"/>
          <w:b/>
          <w:i/>
          <w:lang w:eastAsia="es-ES"/>
        </w:rPr>
      </w:pPr>
      <w:r w:rsidRPr="00D23FA4">
        <w:rPr>
          <w:rFonts w:cs="Arial"/>
          <w:lang w:eastAsia="es-ES"/>
        </w:rPr>
        <w:t xml:space="preserve">Esta modalidad brinda atención integral a niños y niñas desde su gestación hasta los tres (3) años de edad, que permanecen con sus madres internas en los establecimientos de reclusión, así como a madres gestantes y lactantes internas en dichos establecimientos. </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 xml:space="preserve">Esta modalidad se desarrolla mediante acciones y procesos pedagógicos que contribuyen a mejorar y mantener su estado nutricional, apoyar su desarrollo integral y a fortalecer los vínculos afectivos con sus familias y cuidadores. </w:t>
      </w:r>
    </w:p>
    <w:p w:rsidR="008A56FD" w:rsidRPr="00D23FA4" w:rsidRDefault="008A56FD" w:rsidP="008A56FD">
      <w:pPr>
        <w:spacing w:after="0" w:line="240" w:lineRule="auto"/>
        <w:ind w:left="708"/>
        <w:jc w:val="both"/>
        <w:rPr>
          <w:rFonts w:cs="Arial"/>
          <w:lang w:eastAsia="es-ES"/>
        </w:rPr>
      </w:pPr>
      <w:r w:rsidRPr="00D23FA4">
        <w:rPr>
          <w:rFonts w:cs="Arial"/>
          <w:lang w:eastAsia="es-ES"/>
        </w:rPr>
        <w:t xml:space="preserve"> </w:t>
      </w: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menores de 3 años, madres gestantes y lactantes de centros de reclusión para mujeres.</w:t>
      </w:r>
    </w:p>
    <w:p w:rsidR="008A56FD" w:rsidRPr="00D23FA4" w:rsidRDefault="008A56FD" w:rsidP="008A56FD">
      <w:pPr>
        <w:spacing w:after="0" w:line="240" w:lineRule="auto"/>
        <w:ind w:left="708"/>
        <w:jc w:val="both"/>
        <w:rPr>
          <w:rFonts w:cs="Arial"/>
          <w:i/>
          <w:lang w:eastAsia="es-ES"/>
        </w:rPr>
      </w:pPr>
    </w:p>
    <w:p w:rsidR="008A56FD" w:rsidRPr="00D23FA4" w:rsidRDefault="008A56FD" w:rsidP="008A56FD">
      <w:pPr>
        <w:spacing w:after="0" w:line="240" w:lineRule="auto"/>
        <w:jc w:val="both"/>
        <w:rPr>
          <w:rFonts w:cs="Arial"/>
          <w:lang w:val="es-CO" w:eastAsia="es-CO"/>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iene presencia en establecimientos de reclusión del orden nacional en Jamundí, Bogotá, Pereira, Popayán, Ibagué, Medellín, Bucaramanga, Cúcuta y Barranquilla.</w:t>
      </w:r>
    </w:p>
    <w:p w:rsidR="008A56FD" w:rsidRPr="00D23FA4" w:rsidRDefault="008A56FD" w:rsidP="008A56FD">
      <w:pPr>
        <w:spacing w:after="0" w:line="240" w:lineRule="auto"/>
        <w:jc w:val="both"/>
        <w:rPr>
          <w:rFonts w:cs="Arial"/>
          <w:i/>
          <w:lang w:val="es-CO" w:eastAsia="es-CO"/>
        </w:rPr>
      </w:pPr>
    </w:p>
    <w:p w:rsidR="00DA54E3" w:rsidRDefault="00DA54E3" w:rsidP="008A56FD">
      <w:pPr>
        <w:spacing w:after="0" w:line="240" w:lineRule="auto"/>
        <w:jc w:val="both"/>
        <w:rPr>
          <w:rFonts w:cs="Arial"/>
          <w:b/>
          <w:i/>
          <w:lang w:val="es-CO" w:eastAsia="es-CO"/>
        </w:rPr>
      </w:pPr>
    </w:p>
    <w:p w:rsidR="002D2A43" w:rsidRDefault="002D2A43" w:rsidP="008A56FD">
      <w:pPr>
        <w:spacing w:after="0" w:line="240" w:lineRule="auto"/>
        <w:jc w:val="both"/>
        <w:rPr>
          <w:rFonts w:cs="Arial"/>
          <w:b/>
          <w:i/>
          <w:lang w:val="es-CO" w:eastAsia="es-CO"/>
        </w:rPr>
      </w:pPr>
    </w:p>
    <w:p w:rsidR="008A56FD" w:rsidRDefault="008A56FD" w:rsidP="008A56FD">
      <w:pPr>
        <w:spacing w:after="0" w:line="240" w:lineRule="auto"/>
        <w:jc w:val="both"/>
        <w:rPr>
          <w:rFonts w:cs="Arial"/>
          <w:b/>
          <w:lang w:val="es-CO" w:eastAsia="es-ES"/>
        </w:rPr>
      </w:pPr>
      <w:r w:rsidRPr="00D23FA4">
        <w:rPr>
          <w:rFonts w:cs="Arial"/>
          <w:b/>
          <w:i/>
          <w:lang w:val="es-CO" w:eastAsia="es-CO"/>
        </w:rPr>
        <w:lastRenderedPageBreak/>
        <w:t>Cobertura e Inversión</w:t>
      </w:r>
      <w:r w:rsidR="00636F20">
        <w:rPr>
          <w:rFonts w:cs="Arial"/>
          <w:b/>
          <w:lang w:val="es-CO" w:eastAsia="es-ES"/>
        </w:rPr>
        <w:t>:</w:t>
      </w:r>
    </w:p>
    <w:tbl>
      <w:tblPr>
        <w:tblStyle w:val="Tablaconcuadrcula"/>
        <w:tblW w:w="4988"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47"/>
        <w:gridCol w:w="3117"/>
        <w:gridCol w:w="3708"/>
      </w:tblGrid>
      <w:tr w:rsidR="008A56FD" w:rsidRPr="00D23FA4" w:rsidTr="000F4D65">
        <w:trPr>
          <w:trHeight w:val="459"/>
          <w:tblHeader/>
          <w:jc w:val="center"/>
        </w:trPr>
        <w:tc>
          <w:tcPr>
            <w:tcW w:w="1359"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iCs/>
                <w:color w:val="FFFFFF" w:themeColor="background1"/>
                <w:sz w:val="18"/>
                <w:szCs w:val="18"/>
                <w:lang w:val="es-CO" w:eastAsia="es-CO"/>
              </w:rPr>
            </w:pPr>
            <w:r w:rsidRPr="00636F20">
              <w:rPr>
                <w:rFonts w:eastAsia="Times New Roman" w:cs="Arial"/>
                <w:b/>
                <w:iCs/>
                <w:color w:val="FFFFFF" w:themeColor="background1"/>
                <w:sz w:val="18"/>
                <w:szCs w:val="18"/>
                <w:lang w:val="es-CO" w:eastAsia="es-CO"/>
              </w:rPr>
              <w:t>Año</w:t>
            </w:r>
          </w:p>
        </w:tc>
        <w:tc>
          <w:tcPr>
            <w:tcW w:w="1663"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w:t>
            </w:r>
          </w:p>
        </w:tc>
        <w:tc>
          <w:tcPr>
            <w:tcW w:w="1978"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Inversión – Recursos Apropiados</w:t>
            </w:r>
          </w:p>
        </w:tc>
      </w:tr>
      <w:tr w:rsidR="008A56FD" w:rsidRPr="00D23FA4" w:rsidTr="000F4D65">
        <w:trPr>
          <w:trHeight w:val="447"/>
          <w:jc w:val="center"/>
        </w:trPr>
        <w:tc>
          <w:tcPr>
            <w:tcW w:w="1359"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1663"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sz w:val="18"/>
                <w:szCs w:val="18"/>
                <w:lang w:eastAsia="es-ES"/>
              </w:rPr>
              <w:t>167</w:t>
            </w:r>
          </w:p>
        </w:tc>
        <w:tc>
          <w:tcPr>
            <w:tcW w:w="1978"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eastAsia="Times New Roman" w:cs="Arial"/>
                <w:sz w:val="18"/>
                <w:szCs w:val="18"/>
                <w:lang w:val="es-CO" w:eastAsia="es-CO"/>
              </w:rPr>
              <w:t xml:space="preserve">$ </w:t>
            </w:r>
            <w:r w:rsidRPr="00D23FA4">
              <w:rPr>
                <w:rFonts w:cs="Arial"/>
                <w:color w:val="000000"/>
                <w:sz w:val="18"/>
                <w:szCs w:val="18"/>
                <w:lang w:eastAsia="es-ES"/>
              </w:rPr>
              <w:t>460.416.914</w:t>
            </w:r>
          </w:p>
        </w:tc>
      </w:tr>
    </w:tbl>
    <w:p w:rsidR="008A56FD" w:rsidRPr="00383637" w:rsidRDefault="008A56FD" w:rsidP="008A56FD">
      <w:pPr>
        <w:spacing w:after="0" w:line="240" w:lineRule="auto"/>
        <w:jc w:val="both"/>
        <w:rPr>
          <w:rFonts w:cs="Arial"/>
          <w:sz w:val="14"/>
          <w:lang w:eastAsia="es-ES"/>
        </w:rPr>
      </w:pPr>
      <w:r w:rsidRPr="00636F20">
        <w:rPr>
          <w:rFonts w:cs="Arial"/>
          <w:b/>
          <w:sz w:val="16"/>
          <w:szCs w:val="16"/>
          <w:lang w:eastAsia="es-ES"/>
        </w:rPr>
        <w:t>Fuente:</w:t>
      </w:r>
      <w:r w:rsidRPr="00636F20">
        <w:rPr>
          <w:rFonts w:cs="Arial"/>
          <w:sz w:val="16"/>
          <w:szCs w:val="16"/>
          <w:lang w:eastAsia="es-ES"/>
        </w:rPr>
        <w:t xml:space="preserve"> Metas Sociales y Financieras, reporte preliminar cierre vigencia 2016 corte 23 de enero de 2017</w:t>
      </w:r>
      <w:r w:rsidRPr="00383637">
        <w:rPr>
          <w:rFonts w:cs="Arial"/>
          <w:sz w:val="14"/>
          <w:lang w:eastAsia="es-ES"/>
        </w:rPr>
        <w:t>.</w:t>
      </w:r>
    </w:p>
    <w:p w:rsidR="00D21160" w:rsidRPr="00D21160" w:rsidRDefault="00D21160" w:rsidP="00D21160">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eastAsia="es-ES"/>
        </w:rPr>
        <w:t xml:space="preserve">Adicional a lo anterior, en el año 2016 se realizó un programa piloto para dos nuevos </w:t>
      </w:r>
      <w:r w:rsidRPr="00D23FA4">
        <w:rPr>
          <w:rFonts w:cs="Arial"/>
          <w:lang w:val="es-CO" w:eastAsia="es-ES"/>
        </w:rPr>
        <w:t>servicios en Modalidad Integral, los cuales se presentan a continuación:</w:t>
      </w:r>
    </w:p>
    <w:p w:rsidR="008A56FD" w:rsidRDefault="008A56FD" w:rsidP="00AF6668">
      <w:pPr>
        <w:rPr>
          <w:lang w:val="es-CO" w:eastAsia="es-ES"/>
        </w:rPr>
      </w:pPr>
    </w:p>
    <w:p w:rsidR="008A56FD" w:rsidRPr="00AF6668" w:rsidRDefault="008A56FD" w:rsidP="00470DCA">
      <w:pPr>
        <w:pStyle w:val="Prrafodelista"/>
        <w:numPr>
          <w:ilvl w:val="0"/>
          <w:numId w:val="232"/>
        </w:numPr>
        <w:rPr>
          <w:rFonts w:eastAsiaTheme="majorEastAsia"/>
        </w:rPr>
      </w:pPr>
      <w:bookmarkStart w:id="35" w:name="_Toc473308900"/>
      <w:bookmarkStart w:id="36" w:name="_Toc473309976"/>
      <w:r w:rsidRPr="00AF6668">
        <w:rPr>
          <w:rFonts w:eastAsiaTheme="majorEastAsia"/>
          <w:b/>
          <w:u w:val="single"/>
        </w:rPr>
        <w:t>Grado transición con atención integral</w:t>
      </w:r>
      <w:bookmarkEnd w:id="35"/>
      <w:bookmarkEnd w:id="36"/>
    </w:p>
    <w:p w:rsidR="008A56FD" w:rsidRPr="00025AFA" w:rsidRDefault="008A56FD" w:rsidP="008A56FD">
      <w:pPr>
        <w:autoSpaceDE w:val="0"/>
        <w:autoSpaceDN w:val="0"/>
        <w:adjustRightInd w:val="0"/>
        <w:spacing w:after="0" w:line="240" w:lineRule="auto"/>
        <w:jc w:val="both"/>
        <w:rPr>
          <w:rFonts w:cs="Arial"/>
          <w:bCs/>
          <w:lang w:val="es-CO" w:eastAsia="es-CO"/>
        </w:rPr>
      </w:pPr>
      <w:r w:rsidRPr="00025AFA">
        <w:rPr>
          <w:rFonts w:cs="Arial"/>
          <w:bCs/>
          <w:lang w:val="es-CO" w:eastAsia="es-CO"/>
        </w:rPr>
        <w:t>El servicio de Preescolar Integral se organiza a partir de la estructura de los establecimientos educativos, los cuales tienen distribuidos sus grupos del preescolar en una o varias de sus sedes. Para los casos del servicio en media jornada, es posible que los grupos de mañana y tarde compartan la misma aula entre ellos.</w:t>
      </w:r>
    </w:p>
    <w:p w:rsidR="008A56FD" w:rsidRPr="00025AFA" w:rsidRDefault="008A56FD" w:rsidP="008A56FD">
      <w:pPr>
        <w:autoSpaceDE w:val="0"/>
        <w:autoSpaceDN w:val="0"/>
        <w:adjustRightInd w:val="0"/>
        <w:spacing w:after="0" w:line="240" w:lineRule="auto"/>
        <w:jc w:val="both"/>
        <w:rPr>
          <w:rFonts w:cs="Arial"/>
          <w:bCs/>
          <w:lang w:val="es-CO" w:eastAsia="es-CO"/>
        </w:rPr>
      </w:pPr>
    </w:p>
    <w:p w:rsidR="008A56FD" w:rsidRDefault="008A56FD" w:rsidP="008A56FD">
      <w:pPr>
        <w:autoSpaceDE w:val="0"/>
        <w:autoSpaceDN w:val="0"/>
        <w:adjustRightInd w:val="0"/>
        <w:spacing w:after="0" w:line="240" w:lineRule="auto"/>
        <w:jc w:val="both"/>
        <w:rPr>
          <w:rFonts w:cs="Arial"/>
          <w:bCs/>
          <w:lang w:val="es-CO" w:eastAsia="es-CO"/>
        </w:rPr>
      </w:pPr>
      <w:r w:rsidRPr="00025AFA">
        <w:rPr>
          <w:rFonts w:cs="Arial"/>
          <w:bCs/>
          <w:lang w:val="es-CO" w:eastAsia="es-CO"/>
        </w:rPr>
        <w:t>Para la implementación del servicio se utilizan los espacios disponibles en cada sede para el desarrollo de las actividades educativas. El sector educativo brinda educación de calidad en el nivel preescolar a nivel nacional, para esto cuenta con los recursos de la canasta educativa, los cuales se complementan con recursos del ICBF, de modo que a partir de dicho esquema se garantice la educación inicial en el marco de la atención integral para los niños del grado transición.</w:t>
      </w:r>
    </w:p>
    <w:p w:rsidR="00F62AFB" w:rsidRPr="00025AFA" w:rsidRDefault="00F62AFB" w:rsidP="008A56FD">
      <w:pPr>
        <w:autoSpaceDE w:val="0"/>
        <w:autoSpaceDN w:val="0"/>
        <w:adjustRightInd w:val="0"/>
        <w:spacing w:after="0" w:line="240" w:lineRule="auto"/>
        <w:jc w:val="both"/>
        <w:rPr>
          <w:rFonts w:cs="Arial"/>
          <w:bCs/>
          <w:lang w:val="es-CO" w:eastAsia="es-CO"/>
        </w:rPr>
      </w:pPr>
    </w:p>
    <w:p w:rsidR="008A56FD" w:rsidRPr="00025AFA" w:rsidRDefault="008A56FD" w:rsidP="008A56FD">
      <w:pPr>
        <w:spacing w:after="0" w:line="240" w:lineRule="auto"/>
        <w:jc w:val="both"/>
        <w:rPr>
          <w:rFonts w:cs="Arial"/>
          <w:lang w:eastAsia="es-ES"/>
        </w:rPr>
      </w:pPr>
      <w:r w:rsidRPr="00025AFA">
        <w:rPr>
          <w:rFonts w:cs="Arial"/>
          <w:lang w:eastAsia="es-ES"/>
        </w:rPr>
        <w:t xml:space="preserve">Los procesos de identificación e inscripción se adelantan de conformidad con el proceso de cobertura de las Secretarías de Educación de las entidades territoriales certificadas, atendiendo a las solicitudes de cupo durante toda la vigencia. </w:t>
      </w:r>
    </w:p>
    <w:p w:rsidR="008A56FD" w:rsidRPr="00025AFA" w:rsidRDefault="008A56FD" w:rsidP="008A56FD">
      <w:pPr>
        <w:spacing w:after="0" w:line="240" w:lineRule="auto"/>
        <w:ind w:left="708"/>
        <w:jc w:val="both"/>
        <w:rPr>
          <w:rFonts w:cs="Arial"/>
          <w:i/>
          <w:lang w:eastAsia="es-ES"/>
        </w:rPr>
      </w:pPr>
    </w:p>
    <w:p w:rsidR="008A56FD" w:rsidRPr="00025AFA" w:rsidRDefault="008A56FD" w:rsidP="008A56FD">
      <w:pPr>
        <w:spacing w:after="0" w:line="240" w:lineRule="auto"/>
        <w:jc w:val="both"/>
        <w:rPr>
          <w:rFonts w:cs="Arial"/>
          <w:lang w:val="es-MX" w:eastAsia="es-ES"/>
        </w:rPr>
      </w:pPr>
      <w:r w:rsidRPr="00025AFA">
        <w:rPr>
          <w:rFonts w:cs="Arial"/>
          <w:b/>
          <w:i/>
          <w:lang w:eastAsia="es-ES"/>
        </w:rPr>
        <w:t>Población Objetivo</w:t>
      </w:r>
      <w:r w:rsidRPr="00025AFA">
        <w:rPr>
          <w:rFonts w:cs="Arial"/>
          <w:b/>
          <w:lang w:eastAsia="es-ES"/>
        </w:rPr>
        <w:t>:</w:t>
      </w:r>
      <w:r w:rsidRPr="00025AFA">
        <w:rPr>
          <w:rFonts w:cs="Arial"/>
          <w:lang w:eastAsia="es-ES"/>
        </w:rPr>
        <w:t xml:space="preserve"> niñas y niños entre los 5 y 6 años de edad matriculados en preescolar.</w:t>
      </w:r>
    </w:p>
    <w:p w:rsidR="008A56FD" w:rsidRPr="00025AFA" w:rsidRDefault="008A56FD" w:rsidP="008A56FD">
      <w:pPr>
        <w:spacing w:after="0" w:line="240" w:lineRule="auto"/>
        <w:ind w:left="708"/>
        <w:jc w:val="both"/>
        <w:rPr>
          <w:rFonts w:cs="Arial"/>
          <w:i/>
          <w:lang w:eastAsia="es-ES"/>
        </w:rPr>
      </w:pPr>
    </w:p>
    <w:p w:rsidR="008A56FD" w:rsidRDefault="008A56FD" w:rsidP="008A56FD">
      <w:pPr>
        <w:spacing w:after="0" w:line="240" w:lineRule="auto"/>
        <w:jc w:val="both"/>
        <w:rPr>
          <w:rFonts w:cs="Arial"/>
          <w:b/>
          <w:lang w:val="es-CO" w:eastAsia="es-ES"/>
        </w:rPr>
      </w:pPr>
      <w:r w:rsidRPr="00025AFA">
        <w:rPr>
          <w:rFonts w:cs="Arial"/>
          <w:b/>
          <w:i/>
          <w:lang w:val="es-CO" w:eastAsia="es-CO"/>
        </w:rPr>
        <w:t>Cobertura e Inversión</w:t>
      </w:r>
      <w:r w:rsidR="00636F20">
        <w:rPr>
          <w:rFonts w:cs="Arial"/>
          <w:b/>
          <w:lang w:val="es-CO" w:eastAsia="es-ES"/>
        </w:rPr>
        <w:t>:</w:t>
      </w:r>
    </w:p>
    <w:tbl>
      <w:tblPr>
        <w:tblStyle w:val="Tablaconcuadrcula"/>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7"/>
        <w:gridCol w:w="1843"/>
        <w:gridCol w:w="3018"/>
        <w:gridCol w:w="2837"/>
      </w:tblGrid>
      <w:tr w:rsidR="008A56FD" w:rsidRPr="00025AFA" w:rsidTr="002D2A43">
        <w:trPr>
          <w:trHeight w:val="557"/>
          <w:tblHeader/>
          <w:jc w:val="center"/>
        </w:trPr>
        <w:tc>
          <w:tcPr>
            <w:tcW w:w="903"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iCs/>
                <w:color w:val="FFFFFF" w:themeColor="background1"/>
                <w:sz w:val="18"/>
                <w:szCs w:val="18"/>
                <w:lang w:val="es-CO" w:eastAsia="es-CO"/>
              </w:rPr>
            </w:pPr>
            <w:r w:rsidRPr="00636F20">
              <w:rPr>
                <w:rFonts w:eastAsia="Times New Roman" w:cs="Arial"/>
                <w:b/>
                <w:iCs/>
                <w:color w:val="FFFFFF" w:themeColor="background1"/>
                <w:sz w:val="18"/>
                <w:szCs w:val="18"/>
                <w:lang w:val="es-CO" w:eastAsia="es-CO"/>
              </w:rPr>
              <w:t>Año</w:t>
            </w:r>
          </w:p>
        </w:tc>
        <w:tc>
          <w:tcPr>
            <w:tcW w:w="981"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w:t>
            </w:r>
          </w:p>
        </w:tc>
        <w:tc>
          <w:tcPr>
            <w:tcW w:w="1606" w:type="pct"/>
            <w:shd w:val="clear" w:color="auto" w:fill="76923C" w:themeFill="accent3" w:themeFillShade="BF"/>
            <w:vAlign w:val="center"/>
            <w:hideMark/>
          </w:tcPr>
          <w:p w:rsid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 xml:space="preserve">Beneficiarios Desplazados </w:t>
            </w:r>
          </w:p>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por la Violencia</w:t>
            </w:r>
          </w:p>
        </w:tc>
        <w:tc>
          <w:tcPr>
            <w:tcW w:w="1510"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Inversión – Recursos Apropiados</w:t>
            </w:r>
          </w:p>
        </w:tc>
      </w:tr>
      <w:tr w:rsidR="008A56FD" w:rsidRPr="00D23FA4" w:rsidTr="002D2A43">
        <w:trPr>
          <w:trHeight w:val="486"/>
          <w:jc w:val="center"/>
        </w:trPr>
        <w:tc>
          <w:tcPr>
            <w:tcW w:w="903" w:type="pct"/>
            <w:vAlign w:val="center"/>
            <w:hideMark/>
          </w:tcPr>
          <w:p w:rsidR="008A56FD" w:rsidRPr="00025AFA" w:rsidRDefault="008A56FD" w:rsidP="009E7475">
            <w:pPr>
              <w:spacing w:after="0" w:line="240" w:lineRule="auto"/>
              <w:jc w:val="center"/>
              <w:rPr>
                <w:rFonts w:eastAsia="Times New Roman" w:cs="Arial"/>
                <w:iCs/>
                <w:sz w:val="18"/>
                <w:szCs w:val="18"/>
                <w:lang w:val="es-CO" w:eastAsia="es-CO"/>
              </w:rPr>
            </w:pPr>
            <w:r w:rsidRPr="00025AFA">
              <w:rPr>
                <w:rFonts w:eastAsia="Times New Roman" w:cs="Arial"/>
                <w:iCs/>
                <w:sz w:val="18"/>
                <w:szCs w:val="18"/>
                <w:lang w:val="es-CO" w:eastAsia="es-CO"/>
              </w:rPr>
              <w:t>2016</w:t>
            </w:r>
          </w:p>
        </w:tc>
        <w:tc>
          <w:tcPr>
            <w:tcW w:w="981" w:type="pct"/>
            <w:vAlign w:val="center"/>
            <w:hideMark/>
          </w:tcPr>
          <w:p w:rsidR="008A56FD" w:rsidRPr="00025AFA" w:rsidRDefault="008A56FD" w:rsidP="009E7475">
            <w:pPr>
              <w:spacing w:after="0" w:line="240" w:lineRule="auto"/>
              <w:jc w:val="center"/>
              <w:rPr>
                <w:rFonts w:eastAsia="Times New Roman" w:cs="Arial"/>
                <w:sz w:val="18"/>
                <w:szCs w:val="18"/>
                <w:lang w:val="es-CO" w:eastAsia="es-CO"/>
              </w:rPr>
            </w:pPr>
            <w:r w:rsidRPr="00025AFA">
              <w:rPr>
                <w:rFonts w:cs="Arial"/>
                <w:color w:val="000000"/>
                <w:sz w:val="18"/>
                <w:szCs w:val="18"/>
                <w:lang w:eastAsia="es-ES"/>
              </w:rPr>
              <w:t>24.270</w:t>
            </w:r>
          </w:p>
        </w:tc>
        <w:tc>
          <w:tcPr>
            <w:tcW w:w="1606" w:type="pct"/>
            <w:vAlign w:val="center"/>
            <w:hideMark/>
          </w:tcPr>
          <w:p w:rsidR="008A56FD" w:rsidRPr="00025AFA" w:rsidRDefault="008A56FD" w:rsidP="009E7475">
            <w:pPr>
              <w:spacing w:after="0" w:line="240" w:lineRule="auto"/>
              <w:jc w:val="center"/>
              <w:rPr>
                <w:rFonts w:eastAsia="Times New Roman" w:cs="Arial"/>
                <w:sz w:val="18"/>
                <w:szCs w:val="18"/>
                <w:lang w:val="es-CO" w:eastAsia="es-CO"/>
              </w:rPr>
            </w:pPr>
            <w:r w:rsidRPr="00025AFA">
              <w:rPr>
                <w:rFonts w:cs="Arial"/>
                <w:color w:val="000000"/>
                <w:sz w:val="18"/>
                <w:szCs w:val="18"/>
                <w:lang w:eastAsia="es-ES"/>
              </w:rPr>
              <w:t>1.964</w:t>
            </w:r>
          </w:p>
        </w:tc>
        <w:tc>
          <w:tcPr>
            <w:tcW w:w="1510"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025AFA">
              <w:rPr>
                <w:rFonts w:cs="Arial"/>
                <w:color w:val="000000"/>
                <w:sz w:val="18"/>
                <w:szCs w:val="18"/>
                <w:lang w:eastAsia="es-ES"/>
              </w:rPr>
              <w:t>$ 3.170.910.832</w:t>
            </w:r>
          </w:p>
        </w:tc>
      </w:tr>
    </w:tbl>
    <w:p w:rsidR="008A56FD" w:rsidRDefault="008A56FD" w:rsidP="008A56FD">
      <w:pPr>
        <w:spacing w:after="0" w:line="240" w:lineRule="auto"/>
        <w:jc w:val="both"/>
        <w:rPr>
          <w:rFonts w:cs="Arial"/>
          <w:sz w:val="16"/>
          <w:lang w:eastAsia="es-ES"/>
        </w:rPr>
      </w:pPr>
      <w:r w:rsidRPr="00636F20">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D182A" w:rsidRDefault="008A56FD" w:rsidP="00470DCA">
      <w:pPr>
        <w:pStyle w:val="Prrafodelista"/>
        <w:numPr>
          <w:ilvl w:val="0"/>
          <w:numId w:val="234"/>
        </w:numPr>
        <w:rPr>
          <w:rFonts w:eastAsiaTheme="majorEastAsia"/>
          <w:b/>
        </w:rPr>
      </w:pPr>
      <w:bookmarkStart w:id="37" w:name="_Toc473308901"/>
      <w:bookmarkStart w:id="38" w:name="_Toc473309977"/>
      <w:r w:rsidRPr="00AD182A">
        <w:rPr>
          <w:b/>
          <w:iCs/>
          <w:u w:val="single"/>
        </w:rPr>
        <w:t>Modalidad Propia intercultural para Comunidades Étnicas y rurales</w:t>
      </w:r>
      <w:bookmarkEnd w:id="37"/>
      <w:bookmarkEnd w:id="38"/>
    </w:p>
    <w:p w:rsidR="008A56FD" w:rsidRPr="00D23FA4" w:rsidRDefault="008A56FD" w:rsidP="008A56FD">
      <w:pPr>
        <w:spacing w:after="0" w:line="240" w:lineRule="auto"/>
        <w:jc w:val="both"/>
        <w:rPr>
          <w:rFonts w:cs="Arial"/>
          <w:lang w:eastAsia="es-ES"/>
        </w:rPr>
      </w:pPr>
      <w:r w:rsidRPr="00D23FA4">
        <w:rPr>
          <w:rFonts w:cs="Arial"/>
          <w:lang w:eastAsia="es-ES"/>
        </w:rPr>
        <w:t xml:space="preserve">Esta modalidad de atención está dirigida a mujeres gestantes y niños y niñas en primera infancia de comunidades étnicas y rurales (dispersos o no), que requieren de una atención integral, oportuna, con pertinencia y calidad, acorde a las particularidades de sus territorios y su identidad cultural. </w:t>
      </w:r>
    </w:p>
    <w:p w:rsidR="008A56FD" w:rsidRPr="00D23FA4" w:rsidRDefault="008A56FD" w:rsidP="008A56FD">
      <w:pPr>
        <w:spacing w:after="0" w:line="240" w:lineRule="auto"/>
        <w:jc w:val="both"/>
        <w:rPr>
          <w:rFonts w:cs="Arial"/>
          <w:lang w:eastAsia="es-ES"/>
        </w:rPr>
      </w:pPr>
      <w:r w:rsidRPr="00D23FA4">
        <w:rPr>
          <w:rFonts w:cs="Arial"/>
          <w:shd w:val="clear" w:color="auto" w:fill="FFFFFF"/>
          <w:lang w:eastAsia="es-ES"/>
        </w:rPr>
        <w:lastRenderedPageBreak/>
        <w:t>Las comunidades en donde se desarrollará la operación de esta modalidad serán definidas bajo dos (2) criterios: 1) priorizados por el ICBF para dar respuesta a Autos de la Corte Constitucional, medidas cautelares de la Corte Interamericana de Derecho Humanos y emergencias humanitarias, entre otras disposiciones y 2) por demanda de las comunidades étnicas y rurales que soliciten al ICBF el desarrollo de la modalidad bajo los procedimientos y presupuesto definidos para este fin por el Instituto.</w:t>
      </w:r>
    </w:p>
    <w:p w:rsidR="008A56FD" w:rsidRPr="00D23FA4" w:rsidRDefault="008A56FD" w:rsidP="008A56FD">
      <w:pPr>
        <w:spacing w:after="0" w:line="240" w:lineRule="auto"/>
        <w:ind w:left="708"/>
        <w:jc w:val="both"/>
        <w:rPr>
          <w:rFonts w:cs="Arial"/>
          <w:i/>
          <w:lang w:eastAsia="es-ES"/>
        </w:rPr>
      </w:pPr>
    </w:p>
    <w:p w:rsidR="008A56FD" w:rsidRPr="00D23FA4" w:rsidRDefault="008A56FD" w:rsidP="008A56FD">
      <w:pPr>
        <w:spacing w:after="0" w:line="240" w:lineRule="auto"/>
        <w:jc w:val="both"/>
        <w:rPr>
          <w:rFonts w:cs="Arial"/>
          <w:shd w:val="clear" w:color="auto" w:fill="FFFFFF"/>
          <w:lang w:eastAsia="es-ES"/>
        </w:rPr>
      </w:pPr>
      <w:r w:rsidRPr="00D23FA4">
        <w:rPr>
          <w:rFonts w:cs="Arial"/>
          <w:b/>
          <w:i/>
          <w:lang w:eastAsia="es-ES"/>
        </w:rPr>
        <w:t>Población Objetivo:</w:t>
      </w:r>
      <w:r w:rsidRPr="00D23FA4">
        <w:rPr>
          <w:rFonts w:cs="Arial"/>
          <w:shd w:val="clear" w:color="auto" w:fill="FFFFFF"/>
          <w:lang w:eastAsia="es-ES"/>
        </w:rPr>
        <w:t xml:space="preserve"> mujeres gestantes y niños y niñas en primera infancia de comunidades étnicas y rurales (dispersos o no). </w:t>
      </w:r>
      <w:r w:rsidRPr="00D23FA4">
        <w:rPr>
          <w:rFonts w:cs="Arial"/>
          <w:lang w:val="es-CO" w:eastAsia="es-ES"/>
        </w:rPr>
        <w:t>Actualmente se implementa un plan piloto en La Guajira y Guaviare.</w:t>
      </w:r>
    </w:p>
    <w:p w:rsidR="008A56FD" w:rsidRPr="00D23FA4" w:rsidRDefault="008A56FD" w:rsidP="008A56FD">
      <w:pPr>
        <w:spacing w:after="0" w:line="240" w:lineRule="auto"/>
        <w:jc w:val="both"/>
        <w:rPr>
          <w:rFonts w:cs="Arial"/>
          <w:shd w:val="clear" w:color="auto" w:fill="FFFFFF"/>
          <w:lang w:eastAsia="es-ES"/>
        </w:rPr>
      </w:pPr>
    </w:p>
    <w:p w:rsidR="008A56FD" w:rsidRDefault="008A56FD" w:rsidP="008A56FD">
      <w:pPr>
        <w:spacing w:after="0" w:line="240" w:lineRule="auto"/>
        <w:jc w:val="both"/>
        <w:rPr>
          <w:rFonts w:cs="Arial"/>
          <w:lang w:val="es-CO" w:eastAsia="es-ES"/>
        </w:rPr>
      </w:pPr>
      <w:r w:rsidRPr="00D23FA4">
        <w:rPr>
          <w:rFonts w:cs="Arial"/>
          <w:b/>
          <w:i/>
          <w:lang w:val="es-CO" w:eastAsia="es-CO"/>
        </w:rPr>
        <w:t>Cobertura e Inversión</w:t>
      </w:r>
      <w:r w:rsidRPr="00D23FA4">
        <w:rPr>
          <w:rFonts w:cs="Arial"/>
          <w:b/>
          <w:lang w:val="es-CO" w:eastAsia="es-ES"/>
        </w:rPr>
        <w:t>:</w:t>
      </w:r>
    </w:p>
    <w:tbl>
      <w:tblPr>
        <w:tblStyle w:val="Tablaconcuadrcula"/>
        <w:tblW w:w="4999"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7"/>
        <w:gridCol w:w="1561"/>
        <w:gridCol w:w="3541"/>
        <w:gridCol w:w="2594"/>
      </w:tblGrid>
      <w:tr w:rsidR="008A56FD" w:rsidRPr="00D23FA4" w:rsidTr="002D2A43">
        <w:trPr>
          <w:trHeight w:val="545"/>
          <w:tblHeader/>
        </w:trPr>
        <w:tc>
          <w:tcPr>
            <w:tcW w:w="903"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iCs/>
                <w:color w:val="FFFFFF" w:themeColor="background1"/>
                <w:sz w:val="18"/>
                <w:szCs w:val="18"/>
                <w:lang w:val="es-CO" w:eastAsia="es-CO"/>
              </w:rPr>
            </w:pPr>
            <w:r w:rsidRPr="00636F20">
              <w:rPr>
                <w:rFonts w:eastAsia="Times New Roman" w:cs="Arial"/>
                <w:b/>
                <w:iCs/>
                <w:color w:val="FFFFFF" w:themeColor="background1"/>
                <w:sz w:val="18"/>
                <w:szCs w:val="18"/>
                <w:lang w:val="es-CO" w:eastAsia="es-CO"/>
              </w:rPr>
              <w:t>Año</w:t>
            </w:r>
          </w:p>
        </w:tc>
        <w:tc>
          <w:tcPr>
            <w:tcW w:w="831"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w:t>
            </w:r>
          </w:p>
        </w:tc>
        <w:tc>
          <w:tcPr>
            <w:tcW w:w="1885"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 Desplazados por la Violencia</w:t>
            </w:r>
          </w:p>
        </w:tc>
        <w:tc>
          <w:tcPr>
            <w:tcW w:w="1381"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Inversión – Recursos Apropiados</w:t>
            </w:r>
          </w:p>
        </w:tc>
      </w:tr>
      <w:tr w:rsidR="008A56FD" w:rsidRPr="00D23FA4" w:rsidTr="002D2A43">
        <w:trPr>
          <w:trHeight w:val="503"/>
        </w:trPr>
        <w:tc>
          <w:tcPr>
            <w:tcW w:w="903" w:type="pct"/>
            <w:vAlign w:val="center"/>
            <w:hideMark/>
          </w:tcPr>
          <w:p w:rsidR="008A56FD" w:rsidRPr="00D23FA4" w:rsidRDefault="008A56FD" w:rsidP="009E7475">
            <w:pPr>
              <w:spacing w:after="0" w:line="240" w:lineRule="auto"/>
              <w:jc w:val="center"/>
              <w:rPr>
                <w:rFonts w:eastAsia="Times New Roman" w:cs="Arial"/>
                <w:iCs/>
                <w:sz w:val="18"/>
                <w:szCs w:val="18"/>
                <w:lang w:val="es-CO" w:eastAsia="es-CO"/>
              </w:rPr>
            </w:pPr>
            <w:r w:rsidRPr="00D23FA4">
              <w:rPr>
                <w:rFonts w:eastAsia="Times New Roman" w:cs="Arial"/>
                <w:iCs/>
                <w:sz w:val="18"/>
                <w:szCs w:val="18"/>
                <w:lang w:val="es-CO" w:eastAsia="es-CO"/>
              </w:rPr>
              <w:t>2016</w:t>
            </w:r>
          </w:p>
        </w:tc>
        <w:tc>
          <w:tcPr>
            <w:tcW w:w="831"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5.612</w:t>
            </w:r>
          </w:p>
        </w:tc>
        <w:tc>
          <w:tcPr>
            <w:tcW w:w="1885"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1.582</w:t>
            </w:r>
          </w:p>
        </w:tc>
        <w:tc>
          <w:tcPr>
            <w:tcW w:w="1381"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$ 1.002.212.312</w:t>
            </w:r>
          </w:p>
        </w:tc>
      </w:tr>
    </w:tbl>
    <w:p w:rsidR="008A56FD" w:rsidRPr="00636F20" w:rsidRDefault="008A56FD" w:rsidP="008A56FD">
      <w:pPr>
        <w:spacing w:after="0" w:line="240" w:lineRule="auto"/>
        <w:jc w:val="both"/>
        <w:rPr>
          <w:rFonts w:cs="Arial"/>
          <w:sz w:val="16"/>
          <w:szCs w:val="16"/>
          <w:lang w:eastAsia="es-ES"/>
        </w:rPr>
      </w:pPr>
      <w:r w:rsidRPr="00636F20">
        <w:rPr>
          <w:rFonts w:cs="Arial"/>
          <w:b/>
          <w:sz w:val="16"/>
          <w:szCs w:val="16"/>
          <w:lang w:eastAsia="es-ES"/>
        </w:rPr>
        <w:t>Fuente:</w:t>
      </w:r>
      <w:r w:rsidRPr="00636F20">
        <w:rPr>
          <w:rFonts w:cs="Arial"/>
          <w:sz w:val="16"/>
          <w:szCs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D23FA4" w:rsidRDefault="008A56FD" w:rsidP="00AD182A">
      <w:pPr>
        <w:rPr>
          <w:rFonts w:eastAsiaTheme="majorEastAsia"/>
          <w:b/>
        </w:rPr>
      </w:pPr>
      <w:bookmarkStart w:id="39" w:name="_Toc473308902"/>
      <w:bookmarkStart w:id="40" w:name="_Toc473309978"/>
      <w:r w:rsidRPr="00D23FA4">
        <w:rPr>
          <w:rFonts w:eastAsiaTheme="majorEastAsia"/>
          <w:b/>
        </w:rPr>
        <w:t>Convenios Especiales</w:t>
      </w:r>
      <w:bookmarkEnd w:id="39"/>
      <w:bookmarkEnd w:id="40"/>
    </w:p>
    <w:p w:rsidR="008A56FD" w:rsidRPr="00D23FA4" w:rsidRDefault="008A56FD" w:rsidP="008A56FD">
      <w:pPr>
        <w:spacing w:after="0" w:line="240" w:lineRule="auto"/>
        <w:jc w:val="both"/>
        <w:rPr>
          <w:rFonts w:cs="Arial"/>
          <w:lang w:eastAsia="es-ES"/>
        </w:rPr>
      </w:pPr>
      <w:r w:rsidRPr="00D23FA4">
        <w:rPr>
          <w:rFonts w:cs="Arial"/>
          <w:lang w:eastAsia="es-ES"/>
        </w:rPr>
        <w:t xml:space="preserve">Para fortalecer los servicios que se brindan en el marco de la Estrategia de Cero a Siempre, la Dirección de Primera Infancia del ICBF realiza alianzas público-privadas y con entidades territoriales. En el año 2016, se realizaron convenios de canasta local con las Alcaldías de Barranquilla, Bogotá, Cali y Medellín, con la Gobernación de Antioquia y convenios especiales con la Fundación Carulla - AEIOTU y con la Corporación Infancia y Desarrollo. </w:t>
      </w:r>
    </w:p>
    <w:p w:rsidR="008A56FD" w:rsidRPr="00D23FA4"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D23FA4">
        <w:rPr>
          <w:rFonts w:cs="Arial"/>
          <w:lang w:eastAsia="es-ES"/>
        </w:rPr>
        <w:t>A continuación, se presentan los datos de atención de los Convenios Especiales:</w:t>
      </w:r>
    </w:p>
    <w:p w:rsidR="00636F20" w:rsidRPr="00D23FA4" w:rsidRDefault="00636F20" w:rsidP="008A56FD">
      <w:pPr>
        <w:spacing w:after="0" w:line="240" w:lineRule="auto"/>
        <w:jc w:val="both"/>
        <w:rPr>
          <w:rFonts w:cs="Arial"/>
          <w:lang w:eastAsia="es-ES"/>
        </w:rPr>
      </w:pPr>
    </w:p>
    <w:tbl>
      <w:tblPr>
        <w:tblStyle w:val="Tablaconcuadrcula"/>
        <w:tblpPr w:leftFromText="141" w:rightFromText="141" w:vertAnchor="text" w:horzAnchor="margin" w:tblpXSpec="center" w:tblpY="117"/>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121"/>
        <w:gridCol w:w="1419"/>
        <w:gridCol w:w="1843"/>
        <w:gridCol w:w="2125"/>
        <w:gridCol w:w="1887"/>
      </w:tblGrid>
      <w:tr w:rsidR="00636F20" w:rsidRPr="00D23FA4" w:rsidTr="00636F20">
        <w:trPr>
          <w:trHeight w:val="20"/>
        </w:trPr>
        <w:tc>
          <w:tcPr>
            <w:tcW w:w="1128"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iCs/>
                <w:color w:val="FFFFFF" w:themeColor="background1"/>
                <w:sz w:val="18"/>
                <w:szCs w:val="18"/>
                <w:lang w:val="es-CO" w:eastAsia="es-CO"/>
              </w:rPr>
            </w:pPr>
            <w:r w:rsidRPr="00636F20">
              <w:rPr>
                <w:rFonts w:eastAsia="Times New Roman" w:cs="Arial"/>
                <w:b/>
                <w:iCs/>
                <w:color w:val="FFFFFF" w:themeColor="background1"/>
                <w:sz w:val="18"/>
                <w:szCs w:val="18"/>
                <w:lang w:val="es-CO" w:eastAsia="es-CO"/>
              </w:rPr>
              <w:t>Convenio</w:t>
            </w:r>
          </w:p>
        </w:tc>
        <w:tc>
          <w:tcPr>
            <w:tcW w:w="755"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Unidades</w:t>
            </w:r>
          </w:p>
        </w:tc>
        <w:tc>
          <w:tcPr>
            <w:tcW w:w="981"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w:t>
            </w:r>
          </w:p>
        </w:tc>
        <w:tc>
          <w:tcPr>
            <w:tcW w:w="1131"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Beneficiarios Desplazados por la Violencia</w:t>
            </w:r>
          </w:p>
        </w:tc>
        <w:tc>
          <w:tcPr>
            <w:tcW w:w="1004" w:type="pct"/>
            <w:shd w:val="clear" w:color="auto" w:fill="76923C" w:themeFill="accent3" w:themeFillShade="BF"/>
            <w:vAlign w:val="center"/>
            <w:hideMark/>
          </w:tcPr>
          <w:p w:rsidR="008A56FD" w:rsidRPr="00636F20" w:rsidRDefault="008A56FD" w:rsidP="009E7475">
            <w:pPr>
              <w:spacing w:after="0" w:line="240" w:lineRule="auto"/>
              <w:jc w:val="center"/>
              <w:rPr>
                <w:rFonts w:eastAsia="Times New Roman" w:cs="Arial"/>
                <w:b/>
                <w:color w:val="FFFFFF" w:themeColor="background1"/>
                <w:sz w:val="18"/>
                <w:szCs w:val="18"/>
                <w:lang w:val="es-CO" w:eastAsia="es-CO"/>
              </w:rPr>
            </w:pPr>
            <w:r w:rsidRPr="00636F20">
              <w:rPr>
                <w:rFonts w:eastAsia="Times New Roman" w:cs="Arial"/>
                <w:b/>
                <w:color w:val="FFFFFF" w:themeColor="background1"/>
                <w:sz w:val="18"/>
                <w:szCs w:val="18"/>
                <w:lang w:val="es-CO" w:eastAsia="es-CO"/>
              </w:rPr>
              <w:t>Inversión – Recursos Apropiados</w:t>
            </w:r>
          </w:p>
        </w:tc>
      </w:tr>
      <w:tr w:rsidR="008A56FD" w:rsidRPr="00D23FA4" w:rsidTr="00636F20">
        <w:trPr>
          <w:trHeight w:val="20"/>
        </w:trPr>
        <w:tc>
          <w:tcPr>
            <w:tcW w:w="1128" w:type="pct"/>
            <w:vAlign w:val="center"/>
            <w:hideMark/>
          </w:tcPr>
          <w:p w:rsidR="008A56FD" w:rsidRPr="002D2A43" w:rsidRDefault="008A56FD" w:rsidP="005829E0">
            <w:pPr>
              <w:spacing w:after="0" w:line="240" w:lineRule="auto"/>
              <w:rPr>
                <w:rFonts w:eastAsia="Times New Roman" w:cs="Arial"/>
                <w:iCs/>
                <w:sz w:val="18"/>
                <w:szCs w:val="18"/>
                <w:lang w:val="es-CO" w:eastAsia="es-CO"/>
              </w:rPr>
            </w:pPr>
            <w:r w:rsidRPr="002D2A43">
              <w:rPr>
                <w:rFonts w:cs="Arial"/>
                <w:sz w:val="18"/>
                <w:szCs w:val="18"/>
                <w:lang w:eastAsia="es-ES"/>
              </w:rPr>
              <w:t>Especial- Institucional</w:t>
            </w:r>
          </w:p>
        </w:tc>
        <w:tc>
          <w:tcPr>
            <w:tcW w:w="755"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710</w:t>
            </w:r>
          </w:p>
        </w:tc>
        <w:tc>
          <w:tcPr>
            <w:tcW w:w="981"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110.681</w:t>
            </w:r>
          </w:p>
        </w:tc>
        <w:tc>
          <w:tcPr>
            <w:tcW w:w="1131"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4.105</w:t>
            </w:r>
          </w:p>
        </w:tc>
        <w:tc>
          <w:tcPr>
            <w:tcW w:w="1004" w:type="pct"/>
            <w:vAlign w:val="center"/>
            <w:hideMark/>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$ 85.432.539.444</w:t>
            </w:r>
          </w:p>
        </w:tc>
      </w:tr>
      <w:tr w:rsidR="008A56FD" w:rsidRPr="00D23FA4" w:rsidTr="00636F20">
        <w:trPr>
          <w:trHeight w:val="20"/>
        </w:trPr>
        <w:tc>
          <w:tcPr>
            <w:tcW w:w="1128" w:type="pct"/>
            <w:vAlign w:val="center"/>
          </w:tcPr>
          <w:p w:rsidR="008A56FD" w:rsidRPr="002D2A43" w:rsidRDefault="008A56FD" w:rsidP="005829E0">
            <w:pPr>
              <w:spacing w:after="0" w:line="240" w:lineRule="auto"/>
              <w:rPr>
                <w:rFonts w:eastAsia="Times New Roman" w:cs="Arial"/>
                <w:iCs/>
                <w:sz w:val="18"/>
                <w:szCs w:val="18"/>
                <w:lang w:val="es-CO" w:eastAsia="es-CO"/>
              </w:rPr>
            </w:pPr>
            <w:r w:rsidRPr="002D2A43">
              <w:rPr>
                <w:rFonts w:cs="Arial"/>
                <w:sz w:val="18"/>
                <w:szCs w:val="18"/>
                <w:lang w:eastAsia="es-ES"/>
              </w:rPr>
              <w:t>Especial- Familiar</w:t>
            </w:r>
          </w:p>
        </w:tc>
        <w:tc>
          <w:tcPr>
            <w:tcW w:w="755"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1.572</w:t>
            </w:r>
          </w:p>
        </w:tc>
        <w:tc>
          <w:tcPr>
            <w:tcW w:w="98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129.632</w:t>
            </w:r>
          </w:p>
        </w:tc>
        <w:tc>
          <w:tcPr>
            <w:tcW w:w="113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16.977</w:t>
            </w:r>
          </w:p>
        </w:tc>
        <w:tc>
          <w:tcPr>
            <w:tcW w:w="1004"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$ 95.493.842.745</w:t>
            </w:r>
          </w:p>
        </w:tc>
      </w:tr>
      <w:tr w:rsidR="008A56FD" w:rsidRPr="00D23FA4" w:rsidTr="00636F20">
        <w:trPr>
          <w:trHeight w:val="20"/>
        </w:trPr>
        <w:tc>
          <w:tcPr>
            <w:tcW w:w="1128" w:type="pct"/>
            <w:vAlign w:val="center"/>
          </w:tcPr>
          <w:p w:rsidR="008A56FD" w:rsidRPr="002D2A43" w:rsidRDefault="008A56FD" w:rsidP="005829E0">
            <w:pPr>
              <w:spacing w:after="0" w:line="240" w:lineRule="auto"/>
              <w:rPr>
                <w:rFonts w:eastAsia="Times New Roman" w:cs="Arial"/>
                <w:iCs/>
                <w:sz w:val="18"/>
                <w:szCs w:val="18"/>
                <w:lang w:val="es-CO" w:eastAsia="es-CO"/>
              </w:rPr>
            </w:pPr>
            <w:r w:rsidRPr="002D2A43">
              <w:rPr>
                <w:rFonts w:cs="Arial"/>
                <w:sz w:val="18"/>
                <w:szCs w:val="18"/>
                <w:lang w:eastAsia="es-ES"/>
              </w:rPr>
              <w:t>Especial- Comunitario</w:t>
            </w:r>
          </w:p>
        </w:tc>
        <w:tc>
          <w:tcPr>
            <w:tcW w:w="755"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3.450</w:t>
            </w:r>
          </w:p>
        </w:tc>
        <w:tc>
          <w:tcPr>
            <w:tcW w:w="98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44.786</w:t>
            </w:r>
          </w:p>
        </w:tc>
        <w:tc>
          <w:tcPr>
            <w:tcW w:w="1131"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777</w:t>
            </w:r>
          </w:p>
        </w:tc>
        <w:tc>
          <w:tcPr>
            <w:tcW w:w="1004" w:type="pct"/>
            <w:vAlign w:val="center"/>
          </w:tcPr>
          <w:p w:rsidR="008A56FD" w:rsidRPr="00D23FA4" w:rsidRDefault="008A56FD" w:rsidP="009E7475">
            <w:pPr>
              <w:spacing w:after="0" w:line="240" w:lineRule="auto"/>
              <w:jc w:val="center"/>
              <w:rPr>
                <w:rFonts w:eastAsia="Times New Roman" w:cs="Arial"/>
                <w:sz w:val="18"/>
                <w:szCs w:val="18"/>
                <w:lang w:val="es-CO" w:eastAsia="es-CO"/>
              </w:rPr>
            </w:pPr>
            <w:r w:rsidRPr="00D23FA4">
              <w:rPr>
                <w:rFonts w:cs="Arial"/>
                <w:color w:val="000000"/>
                <w:sz w:val="18"/>
                <w:szCs w:val="18"/>
                <w:lang w:eastAsia="es-ES"/>
              </w:rPr>
              <w:t>$ 12.380.986.328</w:t>
            </w:r>
          </w:p>
        </w:tc>
      </w:tr>
    </w:tbl>
    <w:p w:rsidR="008A56FD" w:rsidRPr="00887DAE" w:rsidRDefault="008A56FD" w:rsidP="008A56FD">
      <w:pPr>
        <w:spacing w:after="0" w:line="240" w:lineRule="auto"/>
        <w:jc w:val="both"/>
        <w:rPr>
          <w:rFonts w:cs="Arial"/>
          <w:sz w:val="16"/>
          <w:lang w:eastAsia="es-ES"/>
        </w:rPr>
      </w:pPr>
      <w:r w:rsidRPr="00636F20">
        <w:rPr>
          <w:rFonts w:cs="Arial"/>
          <w:b/>
          <w:sz w:val="16"/>
          <w:lang w:eastAsia="es-ES"/>
        </w:rPr>
        <w:t>Fuente:</w:t>
      </w:r>
      <w:r w:rsidRPr="00887DAE">
        <w:rPr>
          <w:rFonts w:cs="Arial"/>
          <w:sz w:val="16"/>
          <w:lang w:eastAsia="es-ES"/>
        </w:rPr>
        <w:t xml:space="preserve"> Metas Sociales y Financieras, reporte preliminar cierre vigencia 2016 corte 23 de enero de 2017.</w:t>
      </w:r>
    </w:p>
    <w:p w:rsidR="00D21160" w:rsidRPr="00D21160" w:rsidRDefault="00D21160" w:rsidP="00D21160">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D21160" w:rsidRPr="00D21160" w:rsidRDefault="00D21160" w:rsidP="00D21160">
      <w:pPr>
        <w:spacing w:after="0" w:line="240" w:lineRule="auto"/>
        <w:jc w:val="both"/>
        <w:rPr>
          <w:rFonts w:cs="Arial"/>
          <w:sz w:val="16"/>
          <w:lang w:val="es-CO" w:eastAsia="es-ES"/>
        </w:rPr>
      </w:pPr>
    </w:p>
    <w:p w:rsidR="008A56FD" w:rsidRPr="00AD182A" w:rsidRDefault="008A56FD" w:rsidP="00AD182A">
      <w:pPr>
        <w:ind w:firstLine="708"/>
        <w:rPr>
          <w:rFonts w:eastAsiaTheme="majorEastAsia"/>
          <w:b/>
        </w:rPr>
      </w:pPr>
      <w:bookmarkStart w:id="41" w:name="_Toc473496475"/>
      <w:r w:rsidRPr="00AD182A">
        <w:rPr>
          <w:rFonts w:eastAsiaTheme="majorEastAsia"/>
          <w:b/>
        </w:rPr>
        <w:t>Modalidad Familiar</w:t>
      </w:r>
      <w:bookmarkEnd w:id="41"/>
    </w:p>
    <w:p w:rsidR="008A56FD" w:rsidRPr="00D23FA4" w:rsidRDefault="008A56FD" w:rsidP="008A56FD">
      <w:pPr>
        <w:spacing w:after="0" w:line="240" w:lineRule="auto"/>
        <w:jc w:val="both"/>
        <w:rPr>
          <w:rFonts w:cs="Arial"/>
          <w:lang w:eastAsia="es-ES"/>
        </w:rPr>
      </w:pPr>
      <w:r w:rsidRPr="00D23FA4">
        <w:rPr>
          <w:rFonts w:cs="Arial"/>
          <w:lang w:eastAsia="es-ES"/>
        </w:rPr>
        <w:t xml:space="preserve">Esta modalidad busca en esencia promover el desarrollo integral de los niños y las niñas desde su gestación hasta los 5 años y 11 meses años a través de acciones pedagógicas, formación y acompañamiento a familias y cuidadores, y a mujeres gestantes y madres lactantes. Adicionalmente, se adelantan acciones de articulación interinstitucional y fortalecimiento de la gestión para la garantía, seguimiento y promoción de derechos e interés superior del niño. </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lastRenderedPageBreak/>
        <w:t>Esta modalidad se desarrolla mediante diferentes formas de atención, definidas a partir de las necesidades e intereses de las niñas, los niños y sus familias como entorno protector deseable.</w:t>
      </w:r>
    </w:p>
    <w:p w:rsidR="008A56FD" w:rsidRPr="00D23FA4" w:rsidRDefault="008A56FD" w:rsidP="00AD182A">
      <w:pPr>
        <w:rPr>
          <w:lang w:eastAsia="es-ES"/>
        </w:rPr>
      </w:pPr>
    </w:p>
    <w:p w:rsidR="008A56FD" w:rsidRPr="00AD182A" w:rsidRDefault="008A56FD" w:rsidP="00470DCA">
      <w:pPr>
        <w:pStyle w:val="Prrafodelista"/>
        <w:numPr>
          <w:ilvl w:val="0"/>
          <w:numId w:val="235"/>
        </w:numPr>
        <w:rPr>
          <w:rFonts w:eastAsiaTheme="majorEastAsia"/>
          <w:b/>
          <w:lang w:eastAsia="es-ES"/>
        </w:rPr>
      </w:pPr>
      <w:bookmarkStart w:id="42" w:name="_Toc473308904"/>
      <w:bookmarkStart w:id="43" w:name="_Toc473309980"/>
      <w:bookmarkStart w:id="44" w:name="_Toc473496476"/>
      <w:r w:rsidRPr="00AD182A">
        <w:rPr>
          <w:b/>
          <w:iCs/>
        </w:rPr>
        <w:t>Desarrollo Infantil en medio familiar</w:t>
      </w:r>
      <w:bookmarkEnd w:id="42"/>
      <w:bookmarkEnd w:id="43"/>
      <w:bookmarkEnd w:id="44"/>
      <w:r w:rsidRPr="00AD182A">
        <w:rPr>
          <w:rFonts w:eastAsiaTheme="majorEastAsia"/>
          <w:b/>
          <w:lang w:eastAsia="es-ES"/>
        </w:rPr>
        <w:t xml:space="preserve"> </w:t>
      </w:r>
    </w:p>
    <w:p w:rsidR="008A56FD" w:rsidRPr="00D23FA4" w:rsidRDefault="008A56FD" w:rsidP="008A56FD">
      <w:pPr>
        <w:spacing w:after="0" w:line="240" w:lineRule="auto"/>
        <w:jc w:val="both"/>
        <w:rPr>
          <w:rFonts w:cs="Arial"/>
          <w:lang w:eastAsia="es-ES"/>
        </w:rPr>
      </w:pPr>
      <w:r w:rsidRPr="00D23FA4">
        <w:rPr>
          <w:rFonts w:cs="Arial"/>
          <w:lang w:eastAsia="es-ES"/>
        </w:rPr>
        <w:t>Se orienta a través de acciones pedagógicas con niñas y niños de primera infancia y las acciones educativas dirigidas a las familias. Así mismo, establece como eje el acompañamiento y fortalecimiento de los miembros de la familia y cuidadores para potenciar el desarrollo integral de las niñas y los niños.</w:t>
      </w:r>
    </w:p>
    <w:p w:rsidR="008A56FD" w:rsidRPr="00D23FA4" w:rsidRDefault="008A56FD" w:rsidP="008A56FD">
      <w:pPr>
        <w:spacing w:after="0" w:line="240" w:lineRule="auto"/>
        <w:jc w:val="both"/>
        <w:rPr>
          <w:rFonts w:cs="Arial"/>
          <w:i/>
          <w:u w:val="single"/>
          <w:lang w:eastAsia="es-ES"/>
        </w:rPr>
      </w:pPr>
    </w:p>
    <w:p w:rsidR="008A56FD" w:rsidRPr="00D23FA4" w:rsidRDefault="008A56FD" w:rsidP="008A56FD">
      <w:pPr>
        <w:spacing w:after="0" w:line="240" w:lineRule="auto"/>
        <w:jc w:val="both"/>
        <w:rPr>
          <w:rFonts w:cs="Arial"/>
          <w:lang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está dirigida prioritariamente a niñas y niños menores de 2 años, mujeres gestantes y madres lactantes. Sin perjuicio de lo anterior, se atienden niñas y niños mayores de dos años y menores de cinco años y/o hasta su ingreso al grado de transición, que no formen parte del Programa Familia Mujer e Infancia –FAMI, ni de cualquier otra modalidad de educación inicial.</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CO"/>
        </w:rPr>
      </w:pPr>
      <w:r w:rsidRPr="00D23FA4">
        <w:rPr>
          <w:rFonts w:cs="Arial"/>
          <w:b/>
          <w:i/>
          <w:lang w:eastAsia="es-CO"/>
        </w:rPr>
        <w:t>Cobertura:</w:t>
      </w:r>
      <w:r w:rsidRPr="00D23FA4">
        <w:rPr>
          <w:rFonts w:cs="Arial"/>
          <w:i/>
          <w:lang w:eastAsia="es-CO"/>
        </w:rPr>
        <w:t xml:space="preserve"> </w:t>
      </w:r>
      <w:r w:rsidRPr="00D23FA4">
        <w:rPr>
          <w:rFonts w:cs="Arial"/>
          <w:lang w:eastAsia="es-CO"/>
        </w:rPr>
        <w:t>tiene presencia en todos los departamentos del país.</w:t>
      </w:r>
    </w:p>
    <w:p w:rsidR="008A56FD" w:rsidRPr="00D23FA4" w:rsidRDefault="008A56FD" w:rsidP="008A56FD">
      <w:pPr>
        <w:spacing w:after="0" w:line="240" w:lineRule="auto"/>
        <w:ind w:left="708"/>
        <w:jc w:val="both"/>
        <w:rPr>
          <w:rFonts w:cs="Arial"/>
          <w:lang w:eastAsia="es-CO"/>
        </w:rPr>
      </w:pPr>
    </w:p>
    <w:p w:rsidR="008A56FD" w:rsidRPr="00D23FA4"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w:t>
      </w:r>
    </w:p>
    <w:tbl>
      <w:tblPr>
        <w:tblStyle w:val="Tablaconcuadrcula"/>
        <w:tblW w:w="4989"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96"/>
        <w:gridCol w:w="1843"/>
        <w:gridCol w:w="2998"/>
        <w:gridCol w:w="2837"/>
      </w:tblGrid>
      <w:tr w:rsidR="008A56FD" w:rsidRPr="00D23FA4" w:rsidTr="002D2A43">
        <w:trPr>
          <w:trHeight w:val="601"/>
          <w:tblHeader/>
        </w:trPr>
        <w:tc>
          <w:tcPr>
            <w:tcW w:w="905" w:type="pct"/>
            <w:shd w:val="clear" w:color="auto" w:fill="76923C" w:themeFill="accent3" w:themeFillShade="BF"/>
            <w:vAlign w:val="center"/>
            <w:hideMark/>
          </w:tcPr>
          <w:p w:rsidR="008A56FD" w:rsidRPr="006146A1" w:rsidRDefault="008A56FD" w:rsidP="009E7475">
            <w:pPr>
              <w:spacing w:after="0" w:line="240" w:lineRule="auto"/>
              <w:jc w:val="center"/>
              <w:rPr>
                <w:rFonts w:eastAsia="Times New Roman" w:cs="Arial"/>
                <w:b/>
                <w:iCs/>
                <w:color w:val="FFFFFF" w:themeColor="background1"/>
                <w:sz w:val="18"/>
                <w:szCs w:val="20"/>
                <w:lang w:val="es-CO" w:eastAsia="es-CO"/>
              </w:rPr>
            </w:pPr>
            <w:r w:rsidRPr="006146A1">
              <w:rPr>
                <w:rFonts w:eastAsia="Times New Roman" w:cs="Arial"/>
                <w:b/>
                <w:iCs/>
                <w:color w:val="FFFFFF" w:themeColor="background1"/>
                <w:sz w:val="18"/>
                <w:szCs w:val="20"/>
                <w:lang w:val="es-CO" w:eastAsia="es-CO"/>
              </w:rPr>
              <w:t>Año</w:t>
            </w:r>
          </w:p>
        </w:tc>
        <w:tc>
          <w:tcPr>
            <w:tcW w:w="983" w:type="pct"/>
            <w:shd w:val="clear" w:color="auto" w:fill="76923C" w:themeFill="accent3" w:themeFillShade="BF"/>
            <w:vAlign w:val="center"/>
            <w:hideMark/>
          </w:tcPr>
          <w:p w:rsidR="008A56FD" w:rsidRPr="006146A1" w:rsidRDefault="008A56FD" w:rsidP="009E7475">
            <w:pPr>
              <w:spacing w:after="0" w:line="240" w:lineRule="auto"/>
              <w:jc w:val="center"/>
              <w:rPr>
                <w:rFonts w:eastAsia="Times New Roman" w:cs="Arial"/>
                <w:b/>
                <w:color w:val="FFFFFF" w:themeColor="background1"/>
                <w:sz w:val="18"/>
                <w:szCs w:val="20"/>
                <w:lang w:val="es-CO" w:eastAsia="es-CO"/>
              </w:rPr>
            </w:pPr>
            <w:r w:rsidRPr="006146A1">
              <w:rPr>
                <w:rFonts w:eastAsia="Times New Roman" w:cs="Arial"/>
                <w:b/>
                <w:color w:val="FFFFFF" w:themeColor="background1"/>
                <w:sz w:val="18"/>
                <w:szCs w:val="20"/>
                <w:lang w:val="es-CO" w:eastAsia="es-CO"/>
              </w:rPr>
              <w:t>Beneficiarios</w:t>
            </w:r>
          </w:p>
        </w:tc>
        <w:tc>
          <w:tcPr>
            <w:tcW w:w="1599" w:type="pct"/>
            <w:shd w:val="clear" w:color="auto" w:fill="76923C" w:themeFill="accent3" w:themeFillShade="BF"/>
            <w:vAlign w:val="center"/>
            <w:hideMark/>
          </w:tcPr>
          <w:p w:rsidR="002D2A43" w:rsidRDefault="008A56FD" w:rsidP="009E7475">
            <w:pPr>
              <w:spacing w:after="0" w:line="240" w:lineRule="auto"/>
              <w:jc w:val="center"/>
              <w:rPr>
                <w:rFonts w:eastAsia="Times New Roman" w:cs="Arial"/>
                <w:b/>
                <w:color w:val="FFFFFF" w:themeColor="background1"/>
                <w:sz w:val="18"/>
                <w:szCs w:val="20"/>
                <w:lang w:val="es-CO" w:eastAsia="es-CO"/>
              </w:rPr>
            </w:pPr>
            <w:r w:rsidRPr="006146A1">
              <w:rPr>
                <w:rFonts w:eastAsia="Times New Roman" w:cs="Arial"/>
                <w:b/>
                <w:color w:val="FFFFFF" w:themeColor="background1"/>
                <w:sz w:val="18"/>
                <w:szCs w:val="20"/>
                <w:lang w:val="es-CO" w:eastAsia="es-CO"/>
              </w:rPr>
              <w:t xml:space="preserve">Beneficiarios Desplazados </w:t>
            </w:r>
          </w:p>
          <w:p w:rsidR="008A56FD" w:rsidRPr="006146A1" w:rsidRDefault="008A56FD" w:rsidP="009E7475">
            <w:pPr>
              <w:spacing w:after="0" w:line="240" w:lineRule="auto"/>
              <w:jc w:val="center"/>
              <w:rPr>
                <w:rFonts w:eastAsia="Times New Roman" w:cs="Arial"/>
                <w:b/>
                <w:color w:val="FFFFFF" w:themeColor="background1"/>
                <w:sz w:val="18"/>
                <w:szCs w:val="20"/>
                <w:lang w:val="es-CO" w:eastAsia="es-CO"/>
              </w:rPr>
            </w:pPr>
            <w:r w:rsidRPr="006146A1">
              <w:rPr>
                <w:rFonts w:eastAsia="Times New Roman" w:cs="Arial"/>
                <w:b/>
                <w:color w:val="FFFFFF" w:themeColor="background1"/>
                <w:sz w:val="18"/>
                <w:szCs w:val="20"/>
                <w:lang w:val="es-CO" w:eastAsia="es-CO"/>
              </w:rPr>
              <w:t>por la Violencia</w:t>
            </w:r>
          </w:p>
        </w:tc>
        <w:tc>
          <w:tcPr>
            <w:tcW w:w="1513" w:type="pct"/>
            <w:shd w:val="clear" w:color="auto" w:fill="76923C" w:themeFill="accent3" w:themeFillShade="BF"/>
            <w:vAlign w:val="center"/>
            <w:hideMark/>
          </w:tcPr>
          <w:p w:rsidR="008A56FD" w:rsidRPr="006146A1" w:rsidRDefault="008A56FD" w:rsidP="009E7475">
            <w:pPr>
              <w:spacing w:after="0" w:line="240" w:lineRule="auto"/>
              <w:jc w:val="center"/>
              <w:rPr>
                <w:rFonts w:eastAsia="Times New Roman" w:cs="Arial"/>
                <w:b/>
                <w:color w:val="FFFFFF" w:themeColor="background1"/>
                <w:sz w:val="18"/>
                <w:szCs w:val="20"/>
                <w:lang w:val="es-CO" w:eastAsia="es-CO"/>
              </w:rPr>
            </w:pPr>
            <w:r w:rsidRPr="006146A1">
              <w:rPr>
                <w:rFonts w:eastAsia="Times New Roman" w:cs="Arial"/>
                <w:b/>
                <w:color w:val="FFFFFF" w:themeColor="background1"/>
                <w:sz w:val="18"/>
                <w:szCs w:val="18"/>
                <w:lang w:val="es-CO" w:eastAsia="es-CO"/>
              </w:rPr>
              <w:t>Inversión – Recursos Apropiados</w:t>
            </w:r>
          </w:p>
        </w:tc>
      </w:tr>
      <w:tr w:rsidR="008A56FD" w:rsidRPr="00D23FA4" w:rsidTr="002D2A43">
        <w:trPr>
          <w:trHeight w:val="504"/>
        </w:trPr>
        <w:tc>
          <w:tcPr>
            <w:tcW w:w="905" w:type="pct"/>
            <w:vAlign w:val="center"/>
            <w:hideMark/>
          </w:tcPr>
          <w:p w:rsidR="008A56FD" w:rsidRPr="00D23FA4" w:rsidRDefault="008A56FD" w:rsidP="009E7475">
            <w:pPr>
              <w:spacing w:after="0" w:line="240" w:lineRule="auto"/>
              <w:jc w:val="center"/>
              <w:rPr>
                <w:rFonts w:eastAsia="Times New Roman" w:cs="Arial"/>
                <w:iCs/>
                <w:sz w:val="18"/>
                <w:szCs w:val="20"/>
                <w:lang w:val="es-CO" w:eastAsia="es-CO"/>
              </w:rPr>
            </w:pPr>
            <w:r w:rsidRPr="00D23FA4">
              <w:rPr>
                <w:rFonts w:eastAsia="Times New Roman" w:cs="Arial"/>
                <w:iCs/>
                <w:sz w:val="18"/>
                <w:szCs w:val="20"/>
                <w:lang w:val="es-CO" w:eastAsia="es-CO"/>
              </w:rPr>
              <w:t>2016</w:t>
            </w:r>
          </w:p>
        </w:tc>
        <w:tc>
          <w:tcPr>
            <w:tcW w:w="983" w:type="pct"/>
            <w:vAlign w:val="center"/>
          </w:tcPr>
          <w:p w:rsidR="008A56FD" w:rsidRPr="00D23FA4" w:rsidRDefault="008A56FD" w:rsidP="009E7475">
            <w:pPr>
              <w:spacing w:after="0" w:line="240" w:lineRule="auto"/>
              <w:jc w:val="center"/>
              <w:rPr>
                <w:rFonts w:eastAsia="Times New Roman" w:cs="Arial"/>
                <w:sz w:val="18"/>
                <w:szCs w:val="20"/>
                <w:lang w:val="es-CO" w:eastAsia="es-CO"/>
              </w:rPr>
            </w:pPr>
            <w:r w:rsidRPr="00D23FA4">
              <w:rPr>
                <w:rFonts w:eastAsia="Times New Roman" w:cs="Arial"/>
                <w:sz w:val="18"/>
                <w:szCs w:val="20"/>
                <w:lang w:val="es-CO" w:eastAsia="es-CO"/>
              </w:rPr>
              <w:t>561.665</w:t>
            </w:r>
          </w:p>
        </w:tc>
        <w:tc>
          <w:tcPr>
            <w:tcW w:w="1599" w:type="pct"/>
            <w:vAlign w:val="center"/>
          </w:tcPr>
          <w:p w:rsidR="008A56FD" w:rsidRPr="00D23FA4" w:rsidRDefault="008A56FD" w:rsidP="009E7475">
            <w:pPr>
              <w:spacing w:after="0" w:line="240" w:lineRule="auto"/>
              <w:jc w:val="center"/>
              <w:rPr>
                <w:rFonts w:eastAsia="Times New Roman" w:cs="Arial"/>
                <w:sz w:val="18"/>
                <w:szCs w:val="20"/>
                <w:lang w:val="es-CO" w:eastAsia="es-CO"/>
              </w:rPr>
            </w:pPr>
            <w:r w:rsidRPr="00D23FA4">
              <w:rPr>
                <w:rFonts w:eastAsia="Times New Roman" w:cs="Arial"/>
                <w:sz w:val="18"/>
                <w:szCs w:val="20"/>
                <w:lang w:val="es-CO" w:eastAsia="es-CO"/>
              </w:rPr>
              <w:t>189.435</w:t>
            </w:r>
          </w:p>
        </w:tc>
        <w:tc>
          <w:tcPr>
            <w:tcW w:w="1513" w:type="pct"/>
            <w:vAlign w:val="center"/>
          </w:tcPr>
          <w:p w:rsidR="008A56FD" w:rsidRPr="00D23FA4" w:rsidRDefault="008A56FD" w:rsidP="009E7475">
            <w:pPr>
              <w:spacing w:after="0" w:line="240" w:lineRule="auto"/>
              <w:jc w:val="center"/>
              <w:rPr>
                <w:rFonts w:eastAsia="Times New Roman" w:cs="Arial"/>
                <w:sz w:val="18"/>
                <w:szCs w:val="20"/>
                <w:lang w:val="es-CO" w:eastAsia="es-CO"/>
              </w:rPr>
            </w:pPr>
            <w:r w:rsidRPr="00D23FA4">
              <w:rPr>
                <w:rFonts w:cs="Arial"/>
                <w:color w:val="000000"/>
                <w:sz w:val="18"/>
                <w:szCs w:val="18"/>
                <w:lang w:eastAsia="es-ES"/>
              </w:rPr>
              <w:t xml:space="preserve">$ </w:t>
            </w:r>
            <w:r w:rsidRPr="00D23FA4">
              <w:rPr>
                <w:rFonts w:eastAsia="Times New Roman" w:cs="Arial"/>
                <w:sz w:val="18"/>
                <w:szCs w:val="20"/>
                <w:lang w:val="es-CO" w:eastAsia="es-CO"/>
              </w:rPr>
              <w:t>987.528.333.748</w:t>
            </w:r>
          </w:p>
        </w:tc>
      </w:tr>
    </w:tbl>
    <w:p w:rsidR="008A56FD" w:rsidRPr="00D23FA4" w:rsidRDefault="008A56FD" w:rsidP="008A56FD">
      <w:pPr>
        <w:spacing w:after="0" w:line="240" w:lineRule="auto"/>
        <w:jc w:val="both"/>
        <w:rPr>
          <w:rFonts w:cs="Arial"/>
          <w:sz w:val="16"/>
          <w:lang w:eastAsia="es-ES"/>
        </w:rPr>
      </w:pPr>
      <w:r w:rsidRPr="002D2A43">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EE3C3F" w:rsidRPr="00D21160" w:rsidRDefault="00EE3C3F" w:rsidP="00EE3C3F">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8A56FD" w:rsidRPr="00700951" w:rsidRDefault="008A56FD" w:rsidP="00700951">
      <w:pPr>
        <w:pStyle w:val="Prrafodelista"/>
        <w:numPr>
          <w:ilvl w:val="2"/>
          <w:numId w:val="239"/>
        </w:numPr>
        <w:spacing w:after="0" w:line="240" w:lineRule="auto"/>
        <w:jc w:val="both"/>
        <w:outlineLvl w:val="1"/>
        <w:rPr>
          <w:rFonts w:cs="Arial"/>
          <w:b/>
        </w:rPr>
      </w:pPr>
      <w:bookmarkStart w:id="45" w:name="_Toc473581402"/>
      <w:r w:rsidRPr="00700951">
        <w:rPr>
          <w:rFonts w:cs="Arial"/>
          <w:b/>
        </w:rPr>
        <w:t>Atención Tradicional</w:t>
      </w:r>
      <w:bookmarkEnd w:id="45"/>
    </w:p>
    <w:p w:rsidR="00700951" w:rsidRDefault="00700951" w:rsidP="008A56FD">
      <w:pPr>
        <w:spacing w:after="0" w:line="240" w:lineRule="auto"/>
        <w:jc w:val="both"/>
        <w:rPr>
          <w:rFonts w:eastAsia="Times New Roman" w:cs="Arial"/>
          <w:lang w:val="es-CO" w:eastAsia="es-CO"/>
        </w:rPr>
      </w:pPr>
    </w:p>
    <w:p w:rsidR="008A56FD" w:rsidRDefault="008A56FD" w:rsidP="008A56FD">
      <w:pPr>
        <w:spacing w:after="0" w:line="240" w:lineRule="auto"/>
        <w:jc w:val="both"/>
        <w:rPr>
          <w:rFonts w:eastAsia="Times New Roman" w:cs="Arial"/>
          <w:lang w:val="es-CO" w:eastAsia="es-CO"/>
        </w:rPr>
      </w:pPr>
      <w:r w:rsidRPr="00516340">
        <w:rPr>
          <w:rFonts w:eastAsia="Times New Roman" w:cs="Arial"/>
          <w:lang w:val="es-CO" w:eastAsia="es-CO"/>
        </w:rPr>
        <w:t xml:space="preserve">Adicionalmente, a la atención integral prestada a las niñas y niños del país, la Dirección de Primera Infancia del ICBF da cobertura en su atención dentro del marco institucional a la atención tradicional, prestando servicios en materia de cuidado, nutrición y </w:t>
      </w:r>
      <w:r w:rsidRPr="007430E9">
        <w:rPr>
          <w:rFonts w:eastAsia="Times New Roman" w:cs="Arial"/>
          <w:lang w:val="es-CO" w:eastAsia="es-CO"/>
        </w:rPr>
        <w:t xml:space="preserve">protección a </w:t>
      </w:r>
      <w:r w:rsidRPr="00633CC1">
        <w:rPr>
          <w:rFonts w:eastAsia="Times New Roman" w:cs="Arial"/>
          <w:lang w:eastAsia="es-CO"/>
        </w:rPr>
        <w:t>831.490</w:t>
      </w:r>
      <w:r>
        <w:rPr>
          <w:rFonts w:eastAsia="Times New Roman" w:cs="Arial"/>
          <w:lang w:eastAsia="es-CO"/>
        </w:rPr>
        <w:t xml:space="preserve"> </w:t>
      </w:r>
      <w:r w:rsidRPr="007430E9">
        <w:rPr>
          <w:rFonts w:eastAsia="Times New Roman" w:cs="Arial"/>
          <w:lang w:val="es-CO" w:eastAsia="es-CO"/>
        </w:rPr>
        <w:t xml:space="preserve">niños y niñas en el país. </w:t>
      </w:r>
    </w:p>
    <w:p w:rsidR="008A56FD" w:rsidRPr="00516340" w:rsidRDefault="008A56FD" w:rsidP="008A56FD">
      <w:pPr>
        <w:spacing w:after="0" w:line="240" w:lineRule="auto"/>
        <w:jc w:val="both"/>
        <w:rPr>
          <w:rFonts w:eastAsia="Times New Roman" w:cs="Arial"/>
          <w:lang w:val="es-CO" w:eastAsia="es-CO"/>
        </w:rPr>
      </w:pPr>
    </w:p>
    <w:p w:rsidR="008A56FD" w:rsidRDefault="008A56FD" w:rsidP="008A56FD">
      <w:pPr>
        <w:spacing w:after="0" w:line="240" w:lineRule="auto"/>
        <w:jc w:val="both"/>
        <w:rPr>
          <w:rFonts w:eastAsia="Times New Roman" w:cs="Arial"/>
          <w:lang w:val="es-CO" w:eastAsia="es-CO"/>
        </w:rPr>
      </w:pPr>
      <w:r w:rsidRPr="00516340">
        <w:rPr>
          <w:rFonts w:eastAsia="Times New Roman" w:cs="Arial"/>
          <w:lang w:val="es-CO" w:eastAsia="es-CO"/>
        </w:rPr>
        <w:t>A continuación, se presentan los servicios que ofrece el ICBF en el marco de la atención tradicional a la primera infancia.</w:t>
      </w:r>
    </w:p>
    <w:p w:rsidR="008A56FD" w:rsidRPr="00516340" w:rsidRDefault="008A56FD" w:rsidP="00EC740B">
      <w:pPr>
        <w:rPr>
          <w:lang w:val="es-CO" w:eastAsia="es-CO"/>
        </w:rPr>
      </w:pPr>
    </w:p>
    <w:p w:rsidR="008A56FD" w:rsidRPr="00EC740B" w:rsidRDefault="008A56FD" w:rsidP="00470DCA">
      <w:pPr>
        <w:pStyle w:val="Prrafodelista"/>
        <w:numPr>
          <w:ilvl w:val="0"/>
          <w:numId w:val="236"/>
        </w:numPr>
        <w:rPr>
          <w:b/>
          <w:iCs/>
        </w:rPr>
      </w:pPr>
      <w:bookmarkStart w:id="46" w:name="_Toc473308906"/>
      <w:bookmarkStart w:id="47" w:name="_Toc473309982"/>
      <w:r w:rsidRPr="00EC740B">
        <w:rPr>
          <w:rFonts w:eastAsiaTheme="majorEastAsia"/>
          <w:b/>
          <w:u w:val="single"/>
        </w:rPr>
        <w:t>Hogares Comunitarios de Bienestar - HCB Tradicional</w:t>
      </w:r>
      <w:bookmarkEnd w:id="46"/>
      <w:bookmarkEnd w:id="47"/>
    </w:p>
    <w:p w:rsidR="008A56FD" w:rsidRPr="00D23FA4" w:rsidRDefault="008A56FD" w:rsidP="008A56FD">
      <w:pPr>
        <w:spacing w:after="0" w:line="240" w:lineRule="auto"/>
        <w:jc w:val="both"/>
        <w:rPr>
          <w:rFonts w:eastAsia="Times New Roman" w:cs="Arial"/>
          <w:lang w:val="es-CO" w:eastAsia="es-CO"/>
        </w:rPr>
      </w:pPr>
      <w:r w:rsidRPr="00D23FA4">
        <w:rPr>
          <w:rFonts w:eastAsia="Times New Roman" w:cs="Arial"/>
          <w:lang w:val="es-CO" w:eastAsia="es-CO"/>
        </w:rPr>
        <w:t>Servicio de atención a la primera infancia, cuyo propósito es atender las necesidades básicas de protección, cuidado, nutrición, salud, educación y desarrollo psicosocial de las niñas y los niños en la primera infancia.</w:t>
      </w:r>
    </w:p>
    <w:p w:rsidR="008A56FD" w:rsidRPr="00D23FA4" w:rsidRDefault="008A56FD" w:rsidP="008A56FD">
      <w:pPr>
        <w:spacing w:after="0" w:line="240" w:lineRule="auto"/>
        <w:jc w:val="both"/>
        <w:rPr>
          <w:rFonts w:eastAsia="Times New Roman" w:cs="Arial"/>
          <w:lang w:val="es-CO" w:eastAsia="es-CO"/>
        </w:rPr>
      </w:pPr>
      <w:r w:rsidRPr="00D23FA4">
        <w:rPr>
          <w:rFonts w:eastAsia="Times New Roman" w:cs="Arial"/>
          <w:lang w:val="es-CO" w:eastAsia="es-CO"/>
        </w:rPr>
        <w:t xml:space="preserve"> </w:t>
      </w:r>
    </w:p>
    <w:p w:rsidR="008A56FD" w:rsidRPr="00D23FA4" w:rsidRDefault="008A56FD" w:rsidP="008A56FD">
      <w:pPr>
        <w:spacing w:after="0" w:line="240" w:lineRule="auto"/>
        <w:jc w:val="both"/>
        <w:rPr>
          <w:rFonts w:eastAsia="Times New Roman" w:cs="Arial"/>
          <w:lang w:val="es-CO" w:eastAsia="es-CO"/>
        </w:rPr>
      </w:pPr>
      <w:r w:rsidRPr="00D23FA4">
        <w:rPr>
          <w:rFonts w:eastAsia="Times New Roman" w:cs="Arial"/>
          <w:lang w:val="es-CO" w:eastAsia="es-CO"/>
        </w:rPr>
        <w:t xml:space="preserve">Estos hogares comunitarios funcionan en las viviendas de las madres comunitarias, en espacios aportados por la comunidad o en infraestructuras construidas o adecuadas para tal fin. </w:t>
      </w:r>
    </w:p>
    <w:p w:rsidR="008A56FD" w:rsidRPr="00D23FA4" w:rsidRDefault="008A56FD" w:rsidP="008A56FD">
      <w:pPr>
        <w:spacing w:after="0" w:line="240" w:lineRule="auto"/>
        <w:jc w:val="both"/>
        <w:rPr>
          <w:rFonts w:cs="Arial"/>
          <w:lang w:eastAsia="es-ES"/>
        </w:rPr>
      </w:pPr>
      <w:r w:rsidRPr="00D23FA4">
        <w:rPr>
          <w:rFonts w:cs="Arial"/>
          <w:b/>
          <w:i/>
          <w:lang w:eastAsia="es-ES"/>
        </w:rPr>
        <w:lastRenderedPageBreak/>
        <w:t>Población Objetivo</w:t>
      </w:r>
      <w:r w:rsidRPr="00D23FA4">
        <w:rPr>
          <w:rFonts w:cs="Arial"/>
          <w:b/>
          <w:lang w:eastAsia="es-ES"/>
        </w:rPr>
        <w:t>:</w:t>
      </w:r>
      <w:r w:rsidRPr="00D23FA4">
        <w:rPr>
          <w:rFonts w:cs="Arial"/>
          <w:lang w:eastAsia="es-ES"/>
        </w:rPr>
        <w:t xml:space="preserve"> niñas y niños en la primera infancia desde la gestación hasta los 4 años y 11 meses de edad, pertenecientes a familias clasificadas de acuerdo con los criterios definidos por el ICBF.</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eastAsia="es-CO"/>
        </w:rPr>
      </w:pPr>
      <w:r w:rsidRPr="00D23FA4">
        <w:rPr>
          <w:rFonts w:cs="Arial"/>
          <w:b/>
          <w:i/>
          <w:lang w:eastAsia="es-CO"/>
        </w:rPr>
        <w:t>Cobertura:</w:t>
      </w:r>
      <w:r w:rsidRPr="00D23FA4">
        <w:rPr>
          <w:rFonts w:cs="Arial"/>
          <w:i/>
          <w:lang w:eastAsia="es-CO"/>
        </w:rPr>
        <w:t xml:space="preserve"> </w:t>
      </w:r>
      <w:r w:rsidRPr="00D23FA4">
        <w:rPr>
          <w:rFonts w:cs="Arial"/>
          <w:lang w:eastAsia="es-CO"/>
        </w:rPr>
        <w:t>Tiene presencia en todos los departamentos, excepto en Amazonas.</w:t>
      </w:r>
    </w:p>
    <w:p w:rsidR="008A56FD" w:rsidRPr="00D23FA4" w:rsidRDefault="008A56FD" w:rsidP="008A56FD">
      <w:pPr>
        <w:spacing w:after="0" w:line="240" w:lineRule="auto"/>
        <w:ind w:left="708"/>
        <w:jc w:val="both"/>
        <w:rPr>
          <w:rFonts w:cs="Arial"/>
          <w:lang w:eastAsia="es-CO"/>
        </w:rPr>
      </w:pPr>
    </w:p>
    <w:p w:rsidR="008A56FD"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006146A1">
        <w:rPr>
          <w:rFonts w:cs="Arial"/>
          <w:b/>
          <w:lang w:val="es-CO" w:eastAsia="es-ES"/>
        </w:rPr>
        <w:t>:</w:t>
      </w:r>
    </w:p>
    <w:tbl>
      <w:tblPr>
        <w:tblStyle w:val="Tablaconcuadrcula"/>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556"/>
        <w:gridCol w:w="2125"/>
        <w:gridCol w:w="2839"/>
        <w:gridCol w:w="2875"/>
      </w:tblGrid>
      <w:tr w:rsidR="008A56FD" w:rsidRPr="00D23FA4" w:rsidTr="002D2A43">
        <w:trPr>
          <w:trHeight w:val="746"/>
          <w:tblHeader/>
        </w:trPr>
        <w:tc>
          <w:tcPr>
            <w:tcW w:w="828"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Año</w:t>
            </w:r>
          </w:p>
        </w:tc>
        <w:tc>
          <w:tcPr>
            <w:tcW w:w="1131"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Beneficiarios</w:t>
            </w:r>
          </w:p>
        </w:tc>
        <w:tc>
          <w:tcPr>
            <w:tcW w:w="1511" w:type="pct"/>
            <w:shd w:val="clear" w:color="auto" w:fill="76923C" w:themeFill="accent3" w:themeFillShade="BF"/>
            <w:vAlign w:val="center"/>
          </w:tcPr>
          <w:p w:rsidR="002D2A43"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 xml:space="preserve">Beneficiarios Desplazados </w:t>
            </w:r>
          </w:p>
          <w:p w:rsidR="008A56FD" w:rsidRPr="006146A1"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por la Violencia</w:t>
            </w:r>
          </w:p>
        </w:tc>
        <w:tc>
          <w:tcPr>
            <w:tcW w:w="1530"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Inversión – Recursos Apropiados</w:t>
            </w:r>
          </w:p>
        </w:tc>
      </w:tr>
      <w:tr w:rsidR="008A56FD" w:rsidRPr="00D23FA4" w:rsidTr="002D2A43">
        <w:trPr>
          <w:trHeight w:val="571"/>
        </w:trPr>
        <w:tc>
          <w:tcPr>
            <w:tcW w:w="828"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eastAsia="Times New Roman" w:cs="Arial"/>
                <w:bCs/>
                <w:sz w:val="18"/>
                <w:szCs w:val="18"/>
                <w:lang w:val="es-CO" w:eastAsia="es-CO"/>
              </w:rPr>
              <w:t>2016</w:t>
            </w:r>
          </w:p>
        </w:tc>
        <w:tc>
          <w:tcPr>
            <w:tcW w:w="1131" w:type="pct"/>
            <w:vAlign w:val="center"/>
          </w:tcPr>
          <w:p w:rsidR="008A56FD" w:rsidRPr="00D23FA4" w:rsidRDefault="008A56FD" w:rsidP="009E7475">
            <w:pPr>
              <w:spacing w:after="0" w:line="240" w:lineRule="auto"/>
              <w:jc w:val="center"/>
              <w:rPr>
                <w:rFonts w:cs="Arial"/>
                <w:sz w:val="18"/>
                <w:szCs w:val="18"/>
                <w:lang w:eastAsia="es-ES"/>
              </w:rPr>
            </w:pPr>
            <w:r w:rsidRPr="00D23FA4">
              <w:rPr>
                <w:rFonts w:cs="Arial"/>
                <w:color w:val="000000"/>
                <w:sz w:val="18"/>
                <w:szCs w:val="18"/>
                <w:lang w:eastAsia="es-ES"/>
              </w:rPr>
              <w:t>537.218</w:t>
            </w:r>
          </w:p>
        </w:tc>
        <w:tc>
          <w:tcPr>
            <w:tcW w:w="1511"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114.929</w:t>
            </w:r>
          </w:p>
        </w:tc>
        <w:tc>
          <w:tcPr>
            <w:tcW w:w="1530"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$ 849.015.577.186</w:t>
            </w:r>
          </w:p>
        </w:tc>
      </w:tr>
    </w:tbl>
    <w:p w:rsidR="008A56FD" w:rsidRDefault="008A56FD" w:rsidP="008A56FD">
      <w:pPr>
        <w:spacing w:after="0" w:line="240" w:lineRule="auto"/>
        <w:jc w:val="both"/>
        <w:rPr>
          <w:rFonts w:cs="Arial"/>
          <w:sz w:val="16"/>
          <w:lang w:eastAsia="es-ES"/>
        </w:rPr>
      </w:pPr>
      <w:r w:rsidRPr="006146A1">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EE3C3F" w:rsidRPr="00D21160" w:rsidRDefault="00EE3C3F" w:rsidP="00EE3C3F">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8A56FD" w:rsidRPr="00EC740B" w:rsidRDefault="008A56FD" w:rsidP="00470DCA">
      <w:pPr>
        <w:pStyle w:val="Prrafodelista"/>
        <w:numPr>
          <w:ilvl w:val="0"/>
          <w:numId w:val="237"/>
        </w:numPr>
        <w:rPr>
          <w:b/>
          <w:u w:val="single"/>
          <w:lang w:val="es-CO" w:eastAsia="es-CO"/>
        </w:rPr>
      </w:pPr>
      <w:bookmarkStart w:id="48" w:name="_Toc473308907"/>
      <w:bookmarkStart w:id="49" w:name="_Toc473309983"/>
      <w:r w:rsidRPr="00EC740B">
        <w:rPr>
          <w:b/>
          <w:u w:val="single"/>
          <w:lang w:val="es-CO" w:eastAsia="es-CO"/>
        </w:rPr>
        <w:t>Hogares Comunitarios de Bienestar Agrupados</w:t>
      </w:r>
      <w:bookmarkEnd w:id="48"/>
      <w:bookmarkEnd w:id="49"/>
    </w:p>
    <w:p w:rsidR="008A56FD" w:rsidRPr="00D23FA4" w:rsidRDefault="008A56FD" w:rsidP="008A56FD">
      <w:pPr>
        <w:spacing w:after="0" w:line="240" w:lineRule="auto"/>
        <w:jc w:val="both"/>
        <w:rPr>
          <w:rFonts w:cs="Arial"/>
          <w:lang w:eastAsia="es-ES"/>
        </w:rPr>
      </w:pPr>
      <w:r w:rsidRPr="00D23FA4">
        <w:rPr>
          <w:rFonts w:cs="Arial"/>
          <w:lang w:eastAsia="es-ES"/>
        </w:rPr>
        <w:t xml:space="preserve">Son una forma de atención que agrupa dos o más Hogares Comunitarios Familiares, en una misma planta física, el número de hogares a agrupar dependerá de la capacidad instalada de la infraestructura, con una previa verificación por parte del respectivo centro zonal para otorgar el cumplimiento del estándar técnico. </w:t>
      </w:r>
    </w:p>
    <w:p w:rsidR="008A56FD" w:rsidRPr="00D23FA4" w:rsidRDefault="008A56FD" w:rsidP="008A56FD">
      <w:pPr>
        <w:spacing w:after="0" w:line="240" w:lineRule="auto"/>
        <w:ind w:left="708"/>
        <w:jc w:val="both"/>
        <w:rPr>
          <w:rFonts w:cs="Arial"/>
          <w:lang w:eastAsia="es-ES"/>
        </w:rPr>
      </w:pPr>
    </w:p>
    <w:p w:rsidR="008A56FD" w:rsidRPr="00D23FA4" w:rsidRDefault="008A56FD" w:rsidP="008A56FD">
      <w:pPr>
        <w:spacing w:after="0" w:line="240" w:lineRule="auto"/>
        <w:jc w:val="both"/>
        <w:rPr>
          <w:rFonts w:cs="Arial"/>
          <w:lang w:val="es-MX" w:eastAsia="es-ES"/>
        </w:rPr>
      </w:pPr>
      <w:r w:rsidRPr="00D23FA4">
        <w:rPr>
          <w:rFonts w:cs="Arial"/>
          <w:b/>
          <w:i/>
          <w:lang w:eastAsia="es-ES"/>
        </w:rPr>
        <w:t>Población Objetivo</w:t>
      </w:r>
      <w:r w:rsidRPr="00D23FA4">
        <w:rPr>
          <w:rFonts w:cs="Arial"/>
          <w:b/>
          <w:lang w:eastAsia="es-ES"/>
        </w:rPr>
        <w:t>:</w:t>
      </w:r>
      <w:r w:rsidRPr="00D23FA4">
        <w:rPr>
          <w:rFonts w:cs="Arial"/>
          <w:lang w:eastAsia="es-ES"/>
        </w:rPr>
        <w:t xml:space="preserve"> niñas y niños hasta los 4 años y 11 meses.</w:t>
      </w:r>
    </w:p>
    <w:p w:rsidR="008A56FD" w:rsidRPr="00D23FA4" w:rsidRDefault="008A56FD" w:rsidP="008A56FD">
      <w:pPr>
        <w:spacing w:after="0" w:line="240" w:lineRule="auto"/>
        <w:ind w:left="708"/>
        <w:jc w:val="both"/>
        <w:rPr>
          <w:rFonts w:cs="Arial"/>
          <w:i/>
          <w:lang w:eastAsia="es-ES"/>
        </w:rPr>
      </w:pPr>
    </w:p>
    <w:p w:rsidR="008A56FD" w:rsidRPr="00D23FA4" w:rsidRDefault="008A56FD" w:rsidP="008A56FD">
      <w:pPr>
        <w:spacing w:after="0" w:line="240" w:lineRule="auto"/>
        <w:jc w:val="both"/>
        <w:rPr>
          <w:rFonts w:cs="Arial"/>
          <w:i/>
          <w:u w:val="single"/>
          <w:lang w:eastAsia="es-ES"/>
        </w:rPr>
      </w:pPr>
      <w:r w:rsidRPr="00D23FA4">
        <w:rPr>
          <w:rFonts w:cs="Arial"/>
          <w:b/>
          <w:i/>
          <w:lang w:eastAsia="es-CO"/>
        </w:rPr>
        <w:t>Cobertura:</w:t>
      </w:r>
      <w:r w:rsidRPr="00D23FA4">
        <w:rPr>
          <w:rFonts w:cs="Arial"/>
          <w:i/>
          <w:lang w:eastAsia="es-CO"/>
        </w:rPr>
        <w:t xml:space="preserve"> </w:t>
      </w:r>
      <w:r w:rsidRPr="00D23FA4">
        <w:rPr>
          <w:rFonts w:cs="Arial"/>
          <w:lang w:val="es-CO" w:eastAsia="es-ES"/>
        </w:rPr>
        <w:t>t</w:t>
      </w:r>
      <w:r w:rsidRPr="00D23FA4">
        <w:rPr>
          <w:rFonts w:cs="Arial"/>
          <w:lang w:val="es-CO" w:eastAsia="es-CO"/>
        </w:rPr>
        <w:t xml:space="preserve">iene presencia en </w:t>
      </w:r>
      <w:r w:rsidRPr="00D23FA4">
        <w:rPr>
          <w:rFonts w:cs="Arial"/>
          <w:lang w:eastAsia="es-CO"/>
        </w:rPr>
        <w:t>Antioquia, Bogotá, Bolívar, Boyacá, Caquetá, Casanare, Cauca, Chocó, Cundinamarca, Huila, La Guajira, Magdalena, Meta, Nariño, Norte de Santander, Putumayo, Quindío, Risaralda, Santander, Sucre, Tolima, Valle del Cauca y Vaupés.</w:t>
      </w:r>
    </w:p>
    <w:p w:rsidR="008A56FD" w:rsidRPr="00D23FA4" w:rsidRDefault="008A56FD" w:rsidP="008A56FD">
      <w:pPr>
        <w:spacing w:after="0" w:line="240" w:lineRule="auto"/>
        <w:ind w:left="708"/>
        <w:jc w:val="both"/>
        <w:rPr>
          <w:rFonts w:cs="Arial"/>
          <w:lang w:eastAsia="es-CO"/>
        </w:rPr>
      </w:pPr>
    </w:p>
    <w:p w:rsidR="008A56FD"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006146A1">
        <w:rPr>
          <w:rFonts w:cs="Arial"/>
          <w:b/>
          <w:lang w:val="es-CO" w:eastAsia="es-ES"/>
        </w:rPr>
        <w:t>:</w:t>
      </w:r>
    </w:p>
    <w:tbl>
      <w:tblPr>
        <w:tblStyle w:val="Tablaconcuadrcula"/>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556"/>
        <w:gridCol w:w="2125"/>
        <w:gridCol w:w="2841"/>
        <w:gridCol w:w="2873"/>
      </w:tblGrid>
      <w:tr w:rsidR="008A56FD" w:rsidRPr="00D23FA4" w:rsidTr="002D2A43">
        <w:trPr>
          <w:trHeight w:val="248"/>
          <w:tblHeader/>
        </w:trPr>
        <w:tc>
          <w:tcPr>
            <w:tcW w:w="828"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Año</w:t>
            </w:r>
          </w:p>
        </w:tc>
        <w:tc>
          <w:tcPr>
            <w:tcW w:w="1131"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Beneficiarios</w:t>
            </w:r>
          </w:p>
        </w:tc>
        <w:tc>
          <w:tcPr>
            <w:tcW w:w="1512" w:type="pct"/>
            <w:shd w:val="clear" w:color="auto" w:fill="76923C" w:themeFill="accent3" w:themeFillShade="BF"/>
            <w:vAlign w:val="center"/>
          </w:tcPr>
          <w:p w:rsidR="006146A1"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 xml:space="preserve">Beneficiarios Desplazados </w:t>
            </w:r>
          </w:p>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por la Violencia</w:t>
            </w:r>
          </w:p>
        </w:tc>
        <w:tc>
          <w:tcPr>
            <w:tcW w:w="1529"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Inversión – Recursos Apropiados</w:t>
            </w:r>
          </w:p>
        </w:tc>
      </w:tr>
      <w:tr w:rsidR="008A56FD" w:rsidRPr="00D23FA4" w:rsidTr="002D2A43">
        <w:trPr>
          <w:trHeight w:val="469"/>
        </w:trPr>
        <w:tc>
          <w:tcPr>
            <w:tcW w:w="828"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eastAsia="Times New Roman" w:cs="Arial"/>
                <w:bCs/>
                <w:sz w:val="18"/>
                <w:szCs w:val="18"/>
                <w:lang w:val="es-CO" w:eastAsia="es-CO"/>
              </w:rPr>
              <w:t>2016</w:t>
            </w:r>
          </w:p>
        </w:tc>
        <w:tc>
          <w:tcPr>
            <w:tcW w:w="1131" w:type="pct"/>
            <w:vAlign w:val="center"/>
          </w:tcPr>
          <w:p w:rsidR="008A56FD" w:rsidRPr="00D23FA4" w:rsidRDefault="008A56FD" w:rsidP="009E7475">
            <w:pPr>
              <w:spacing w:after="0" w:line="240" w:lineRule="auto"/>
              <w:jc w:val="center"/>
              <w:rPr>
                <w:rFonts w:cs="Arial"/>
                <w:sz w:val="18"/>
                <w:szCs w:val="18"/>
                <w:lang w:eastAsia="es-ES"/>
              </w:rPr>
            </w:pPr>
            <w:r w:rsidRPr="00D23FA4">
              <w:rPr>
                <w:rFonts w:cs="Arial"/>
                <w:color w:val="000000"/>
                <w:sz w:val="18"/>
                <w:szCs w:val="18"/>
                <w:lang w:eastAsia="es-ES"/>
              </w:rPr>
              <w:t>40.150</w:t>
            </w:r>
          </w:p>
        </w:tc>
        <w:tc>
          <w:tcPr>
            <w:tcW w:w="1512"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15.683</w:t>
            </w:r>
          </w:p>
        </w:tc>
        <w:tc>
          <w:tcPr>
            <w:tcW w:w="1529"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$62.448.047.012</w:t>
            </w:r>
          </w:p>
        </w:tc>
      </w:tr>
    </w:tbl>
    <w:p w:rsidR="008A56FD" w:rsidRPr="00D23FA4" w:rsidRDefault="008A56FD" w:rsidP="008A56FD">
      <w:pPr>
        <w:spacing w:after="0" w:line="240" w:lineRule="auto"/>
        <w:jc w:val="both"/>
        <w:rPr>
          <w:rFonts w:cs="Arial"/>
          <w:sz w:val="16"/>
          <w:lang w:eastAsia="es-ES"/>
        </w:rPr>
      </w:pPr>
      <w:r w:rsidRPr="006146A1">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EE3C3F" w:rsidRPr="00D21160" w:rsidRDefault="00EE3C3F" w:rsidP="00EE3C3F">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8A56FD" w:rsidRPr="00C07FFB" w:rsidRDefault="008A56FD" w:rsidP="00470DCA">
      <w:pPr>
        <w:pStyle w:val="Prrafodelista"/>
        <w:numPr>
          <w:ilvl w:val="0"/>
          <w:numId w:val="238"/>
        </w:numPr>
        <w:rPr>
          <w:rFonts w:eastAsiaTheme="majorEastAsia"/>
          <w:b/>
          <w:u w:val="single"/>
        </w:rPr>
      </w:pPr>
      <w:bookmarkStart w:id="50" w:name="_Toc473308908"/>
      <w:bookmarkStart w:id="51" w:name="_Toc473309984"/>
      <w:r w:rsidRPr="00C07FFB">
        <w:rPr>
          <w:rFonts w:eastAsiaTheme="majorEastAsia"/>
          <w:b/>
          <w:u w:val="single"/>
        </w:rPr>
        <w:t>Hogares Comunitarios de Bienestar (HCB) - Familia Mujer e Infancia, FAMI</w:t>
      </w:r>
      <w:bookmarkEnd w:id="50"/>
      <w:bookmarkEnd w:id="51"/>
    </w:p>
    <w:p w:rsidR="008A56FD" w:rsidRPr="00D23FA4" w:rsidRDefault="008A56FD" w:rsidP="008A56FD">
      <w:pPr>
        <w:spacing w:after="0" w:line="240" w:lineRule="auto"/>
        <w:jc w:val="both"/>
        <w:rPr>
          <w:rFonts w:cs="Arial"/>
          <w:lang w:eastAsia="es-ES"/>
        </w:rPr>
      </w:pPr>
      <w:r w:rsidRPr="00D23FA4">
        <w:rPr>
          <w:rFonts w:cs="Arial"/>
          <w:lang w:eastAsia="es-ES"/>
        </w:rPr>
        <w:t xml:space="preserve">Este servicio corresponde a la modalidad familiar y opera en la casa del agente educativo comunitario (padre o madre comunitaria) o en espacios de la comunidad. </w:t>
      </w:r>
    </w:p>
    <w:p w:rsidR="008A56FD" w:rsidRPr="00D23FA4" w:rsidRDefault="008A56FD" w:rsidP="008A56FD">
      <w:pPr>
        <w:spacing w:after="0" w:line="240" w:lineRule="auto"/>
        <w:ind w:left="708"/>
        <w:jc w:val="both"/>
        <w:rPr>
          <w:rFonts w:eastAsiaTheme="majorEastAsia" w:cs="Arial"/>
          <w:b/>
          <w:i/>
          <w:lang w:val="es-CO"/>
        </w:rPr>
      </w:pPr>
    </w:p>
    <w:p w:rsidR="008A56FD" w:rsidRPr="00D23FA4" w:rsidRDefault="008A56FD" w:rsidP="008A56FD">
      <w:pPr>
        <w:spacing w:after="0" w:line="240" w:lineRule="auto"/>
        <w:jc w:val="both"/>
        <w:rPr>
          <w:rFonts w:eastAsia="Times New Roman" w:cs="Arial"/>
          <w:lang w:val="es-CO" w:eastAsia="es-CO"/>
        </w:rPr>
      </w:pPr>
      <w:r w:rsidRPr="00D23FA4">
        <w:rPr>
          <w:rFonts w:cs="Arial"/>
          <w:b/>
          <w:i/>
          <w:lang w:eastAsia="es-ES"/>
        </w:rPr>
        <w:t>Población Objetivo</w:t>
      </w:r>
      <w:r w:rsidRPr="00D23FA4">
        <w:rPr>
          <w:rFonts w:cs="Arial"/>
          <w:b/>
          <w:lang w:eastAsia="es-ES"/>
        </w:rPr>
        <w:t>:</w:t>
      </w:r>
      <w:r w:rsidRPr="00D23FA4">
        <w:rPr>
          <w:rFonts w:eastAsia="Times New Roman" w:cs="Arial"/>
          <w:lang w:val="es-CO" w:eastAsia="es-CO"/>
        </w:rPr>
        <w:t xml:space="preserve"> niñas y niños desde su gestación hasta los 2 años y a mujeres en período de gestación o en período de lactancia exclusiva y/o al cuidador. </w:t>
      </w:r>
    </w:p>
    <w:p w:rsidR="008A56FD" w:rsidRPr="00D23FA4" w:rsidRDefault="008A56FD" w:rsidP="008A56FD">
      <w:pPr>
        <w:spacing w:after="0" w:line="240" w:lineRule="auto"/>
        <w:ind w:left="708"/>
        <w:jc w:val="both"/>
        <w:rPr>
          <w:rFonts w:cs="Arial"/>
          <w:i/>
          <w:lang w:eastAsia="es-ES"/>
        </w:rPr>
      </w:pPr>
    </w:p>
    <w:p w:rsidR="008A56FD" w:rsidRPr="00D23FA4" w:rsidRDefault="008A56FD" w:rsidP="008A56FD">
      <w:pPr>
        <w:spacing w:after="0" w:line="240" w:lineRule="auto"/>
        <w:jc w:val="both"/>
        <w:rPr>
          <w:rFonts w:cs="Arial"/>
          <w:lang w:eastAsia="es-CO"/>
        </w:rPr>
      </w:pPr>
      <w:r w:rsidRPr="00D23FA4">
        <w:rPr>
          <w:rFonts w:cs="Arial"/>
          <w:b/>
          <w:i/>
          <w:lang w:eastAsia="es-CO"/>
        </w:rPr>
        <w:t>Cobertura:</w:t>
      </w:r>
      <w:r w:rsidRPr="00D23FA4">
        <w:rPr>
          <w:rFonts w:cs="Arial"/>
          <w:i/>
          <w:lang w:eastAsia="es-CO"/>
        </w:rPr>
        <w:t xml:space="preserve"> </w:t>
      </w:r>
      <w:r w:rsidRPr="00D23FA4">
        <w:rPr>
          <w:rFonts w:cs="Arial"/>
          <w:lang w:eastAsia="es-CO"/>
        </w:rPr>
        <w:t xml:space="preserve">se implementa en Antioquia, Arauca, Atlántico, Bogotá, Bolívar, Boyacá, Caldas, Caquetá, Casanare, Cauca, Cesar, Chocó, Córdoba, Cundinamarca, Huila, La Guajira, </w:t>
      </w:r>
      <w:r w:rsidRPr="00D23FA4">
        <w:rPr>
          <w:rFonts w:cs="Arial"/>
          <w:lang w:eastAsia="es-CO"/>
        </w:rPr>
        <w:lastRenderedPageBreak/>
        <w:t>Magdalena, Meta, Nariño, Norte de Santander, Putumayo, Quindío, Risaralda, Santander, Sucre, Tolima, Valle del Cauca y Vichada.</w:t>
      </w:r>
    </w:p>
    <w:p w:rsidR="008A56FD" w:rsidRDefault="008A56FD" w:rsidP="008A56FD">
      <w:pPr>
        <w:spacing w:after="0" w:line="240" w:lineRule="auto"/>
        <w:jc w:val="both"/>
        <w:rPr>
          <w:rFonts w:cs="Arial"/>
          <w:lang w:eastAsia="es-CO"/>
        </w:rPr>
      </w:pPr>
    </w:p>
    <w:p w:rsidR="008A56FD" w:rsidRDefault="008A56FD" w:rsidP="008A56FD">
      <w:pPr>
        <w:spacing w:after="0" w:line="240" w:lineRule="auto"/>
        <w:jc w:val="both"/>
        <w:rPr>
          <w:rFonts w:cs="Arial"/>
          <w:b/>
          <w:lang w:val="es-CO" w:eastAsia="es-ES"/>
        </w:rPr>
      </w:pPr>
      <w:r w:rsidRPr="00D23FA4">
        <w:rPr>
          <w:rFonts w:cs="Arial"/>
          <w:b/>
          <w:i/>
          <w:lang w:val="es-CO" w:eastAsia="es-CO"/>
        </w:rPr>
        <w:t>Cobertura e Inversión</w:t>
      </w:r>
      <w:r w:rsidRPr="00D23FA4">
        <w:rPr>
          <w:rFonts w:cs="Arial"/>
          <w:b/>
          <w:lang w:val="es-CO" w:eastAsia="es-ES"/>
        </w:rPr>
        <w:t>:</w:t>
      </w:r>
    </w:p>
    <w:tbl>
      <w:tblPr>
        <w:tblStyle w:val="Tablaconcuadrcula"/>
        <w:tblW w:w="4992"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696"/>
        <w:gridCol w:w="1844"/>
        <w:gridCol w:w="2990"/>
        <w:gridCol w:w="2850"/>
      </w:tblGrid>
      <w:tr w:rsidR="008A56FD" w:rsidRPr="00D23FA4" w:rsidTr="002D2A43">
        <w:trPr>
          <w:trHeight w:val="175"/>
          <w:tblHeader/>
        </w:trPr>
        <w:tc>
          <w:tcPr>
            <w:tcW w:w="904"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Año</w:t>
            </w:r>
          </w:p>
        </w:tc>
        <w:tc>
          <w:tcPr>
            <w:tcW w:w="983"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Beneficiarios</w:t>
            </w:r>
          </w:p>
        </w:tc>
        <w:tc>
          <w:tcPr>
            <w:tcW w:w="1594" w:type="pct"/>
            <w:shd w:val="clear" w:color="auto" w:fill="76923C" w:themeFill="accent3" w:themeFillShade="BF"/>
            <w:vAlign w:val="center"/>
          </w:tcPr>
          <w:p w:rsidR="002D2A43"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 xml:space="preserve">Beneficiarios Desplazados </w:t>
            </w:r>
          </w:p>
          <w:p w:rsidR="008A56FD" w:rsidRPr="006146A1" w:rsidRDefault="008A56FD" w:rsidP="009E7475">
            <w:pPr>
              <w:spacing w:after="0" w:line="240" w:lineRule="auto"/>
              <w:jc w:val="center"/>
              <w:rPr>
                <w:rFonts w:eastAsia="Times New Roman" w:cs="Arial"/>
                <w:b/>
                <w:bCs/>
                <w:color w:val="FFFFFF" w:themeColor="background1"/>
                <w:sz w:val="18"/>
                <w:szCs w:val="18"/>
                <w:lang w:val="es-CO" w:eastAsia="es-CO"/>
              </w:rPr>
            </w:pPr>
            <w:r w:rsidRPr="006146A1">
              <w:rPr>
                <w:rFonts w:eastAsia="Times New Roman" w:cs="Arial"/>
                <w:b/>
                <w:color w:val="FFFFFF" w:themeColor="background1"/>
                <w:sz w:val="18"/>
                <w:szCs w:val="18"/>
                <w:lang w:val="es-CO" w:eastAsia="es-CO"/>
              </w:rPr>
              <w:t>por la Violencia</w:t>
            </w:r>
          </w:p>
        </w:tc>
        <w:tc>
          <w:tcPr>
            <w:tcW w:w="1519" w:type="pct"/>
            <w:shd w:val="clear" w:color="auto" w:fill="76923C" w:themeFill="accent3" w:themeFillShade="BF"/>
            <w:vAlign w:val="center"/>
          </w:tcPr>
          <w:p w:rsidR="008A56FD" w:rsidRPr="006146A1" w:rsidRDefault="008A56FD" w:rsidP="009E7475">
            <w:pPr>
              <w:spacing w:after="0" w:line="240" w:lineRule="auto"/>
              <w:jc w:val="center"/>
              <w:rPr>
                <w:rFonts w:eastAsia="Times New Roman" w:cs="Arial"/>
                <w:b/>
                <w:color w:val="FFFFFF" w:themeColor="background1"/>
                <w:sz w:val="18"/>
                <w:szCs w:val="18"/>
                <w:lang w:val="es-CO" w:eastAsia="es-CO"/>
              </w:rPr>
            </w:pPr>
            <w:r w:rsidRPr="006146A1">
              <w:rPr>
                <w:rFonts w:eastAsia="Times New Roman" w:cs="Arial"/>
                <w:b/>
                <w:color w:val="FFFFFF" w:themeColor="background1"/>
                <w:sz w:val="18"/>
                <w:szCs w:val="18"/>
                <w:lang w:val="es-CO" w:eastAsia="es-CO"/>
              </w:rPr>
              <w:t>Inversión – Recursos Apropiados</w:t>
            </w:r>
          </w:p>
        </w:tc>
      </w:tr>
      <w:tr w:rsidR="008A56FD" w:rsidRPr="00D23FA4" w:rsidTr="002D2A43">
        <w:trPr>
          <w:trHeight w:val="531"/>
        </w:trPr>
        <w:tc>
          <w:tcPr>
            <w:tcW w:w="904"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eastAsia="Times New Roman" w:cs="Arial"/>
                <w:bCs/>
                <w:sz w:val="18"/>
                <w:szCs w:val="18"/>
                <w:lang w:val="es-CO" w:eastAsia="es-CO"/>
              </w:rPr>
              <w:t>2016</w:t>
            </w:r>
          </w:p>
        </w:tc>
        <w:tc>
          <w:tcPr>
            <w:tcW w:w="983" w:type="pct"/>
            <w:vAlign w:val="center"/>
          </w:tcPr>
          <w:p w:rsidR="008A56FD" w:rsidRPr="00D23FA4" w:rsidRDefault="008A56FD" w:rsidP="009E7475">
            <w:pPr>
              <w:spacing w:after="0" w:line="240" w:lineRule="auto"/>
              <w:jc w:val="center"/>
              <w:rPr>
                <w:rFonts w:cs="Arial"/>
                <w:sz w:val="18"/>
                <w:szCs w:val="18"/>
                <w:lang w:eastAsia="es-ES"/>
              </w:rPr>
            </w:pPr>
            <w:r w:rsidRPr="00D23FA4">
              <w:rPr>
                <w:rFonts w:cs="Arial"/>
                <w:color w:val="000000"/>
                <w:sz w:val="18"/>
                <w:szCs w:val="18"/>
                <w:lang w:eastAsia="es-ES"/>
              </w:rPr>
              <w:t>254.122</w:t>
            </w:r>
          </w:p>
        </w:tc>
        <w:tc>
          <w:tcPr>
            <w:tcW w:w="1594"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46.079</w:t>
            </w:r>
          </w:p>
        </w:tc>
        <w:tc>
          <w:tcPr>
            <w:tcW w:w="1519" w:type="pct"/>
            <w:vAlign w:val="center"/>
          </w:tcPr>
          <w:p w:rsidR="008A56FD" w:rsidRPr="00D23FA4" w:rsidRDefault="008A56FD" w:rsidP="009E7475">
            <w:pPr>
              <w:spacing w:after="0" w:line="240" w:lineRule="auto"/>
              <w:jc w:val="center"/>
              <w:rPr>
                <w:rFonts w:eastAsia="Times New Roman" w:cs="Arial"/>
                <w:bCs/>
                <w:sz w:val="18"/>
                <w:szCs w:val="18"/>
                <w:lang w:val="es-CO" w:eastAsia="es-CO"/>
              </w:rPr>
            </w:pPr>
            <w:r w:rsidRPr="00D23FA4">
              <w:rPr>
                <w:rFonts w:cs="Arial"/>
                <w:color w:val="000000"/>
                <w:sz w:val="18"/>
                <w:szCs w:val="18"/>
                <w:lang w:eastAsia="es-ES"/>
              </w:rPr>
              <w:t>$ 125.953.886.864</w:t>
            </w:r>
          </w:p>
        </w:tc>
      </w:tr>
    </w:tbl>
    <w:p w:rsidR="008A56FD" w:rsidRDefault="008A56FD" w:rsidP="008A56FD">
      <w:pPr>
        <w:spacing w:after="0" w:line="240" w:lineRule="auto"/>
        <w:jc w:val="both"/>
        <w:rPr>
          <w:rFonts w:cs="Arial"/>
          <w:sz w:val="16"/>
          <w:lang w:eastAsia="es-ES"/>
        </w:rPr>
      </w:pPr>
      <w:r w:rsidRPr="006146A1">
        <w:rPr>
          <w:rFonts w:cs="Arial"/>
          <w:b/>
          <w:sz w:val="16"/>
          <w:lang w:eastAsia="es-ES"/>
        </w:rPr>
        <w:t>Fuente:</w:t>
      </w:r>
      <w:r w:rsidRPr="00D23FA4">
        <w:rPr>
          <w:rFonts w:cs="Arial"/>
          <w:sz w:val="16"/>
          <w:lang w:eastAsia="es-ES"/>
        </w:rPr>
        <w:t xml:space="preserve"> Metas Sociales y Financieras, reporte preliminar cierre vigencia 2016 corte 23 de enero de 2017.</w:t>
      </w:r>
    </w:p>
    <w:p w:rsidR="00EE3C3F" w:rsidRPr="00D21160" w:rsidRDefault="00EE3C3F" w:rsidP="00EE3C3F">
      <w:pPr>
        <w:rPr>
          <w:rFonts w:ascii="Calibri" w:hAnsi="Calibri"/>
          <w:i/>
          <w:iCs/>
          <w:sz w:val="16"/>
          <w:lang w:val="es-CO"/>
        </w:rPr>
      </w:pPr>
      <w:r w:rsidRPr="005F336B">
        <w:rPr>
          <w:i/>
          <w:iCs/>
          <w:sz w:val="16"/>
        </w:rPr>
        <w:t>Nota:</w:t>
      </w:r>
      <w:r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8A56FD" w:rsidRPr="00700951" w:rsidRDefault="008A56FD" w:rsidP="00700951">
      <w:pPr>
        <w:pStyle w:val="Prrafodelista"/>
        <w:numPr>
          <w:ilvl w:val="2"/>
          <w:numId w:val="239"/>
        </w:numPr>
        <w:spacing w:after="0" w:line="240" w:lineRule="auto"/>
        <w:jc w:val="both"/>
        <w:outlineLvl w:val="1"/>
        <w:rPr>
          <w:rFonts w:cs="Arial"/>
          <w:b/>
        </w:rPr>
      </w:pPr>
      <w:bookmarkStart w:id="52" w:name="_Toc473581403"/>
      <w:r w:rsidRPr="00700951">
        <w:rPr>
          <w:rFonts w:cs="Arial"/>
          <w:b/>
        </w:rPr>
        <w:t>Fortalecimiento de la gestión de la Dirección de Primera Infancia</w:t>
      </w:r>
      <w:bookmarkEnd w:id="52"/>
    </w:p>
    <w:p w:rsidR="00700951" w:rsidRDefault="00700951" w:rsidP="004F7DFC">
      <w:pPr>
        <w:ind w:left="708" w:firstLine="708"/>
        <w:rPr>
          <w:rFonts w:eastAsiaTheme="majorEastAsia"/>
          <w:b/>
        </w:rPr>
      </w:pPr>
    </w:p>
    <w:p w:rsidR="008A56FD" w:rsidRPr="00AC7655" w:rsidRDefault="008A56FD" w:rsidP="004F7DFC">
      <w:pPr>
        <w:ind w:left="708" w:firstLine="708"/>
        <w:rPr>
          <w:rFonts w:eastAsiaTheme="majorEastAsia"/>
          <w:b/>
        </w:rPr>
      </w:pPr>
      <w:r w:rsidRPr="00AC7655">
        <w:rPr>
          <w:rFonts w:eastAsiaTheme="majorEastAsia"/>
          <w:b/>
        </w:rPr>
        <w:t>Focalización territorial y poblacional</w:t>
      </w:r>
    </w:p>
    <w:p w:rsidR="008A56FD" w:rsidRPr="00D23FA4" w:rsidRDefault="008A56FD" w:rsidP="008A56FD">
      <w:pPr>
        <w:spacing w:after="0" w:line="240" w:lineRule="auto"/>
        <w:jc w:val="both"/>
        <w:rPr>
          <w:rFonts w:cs="Arial"/>
          <w:lang w:eastAsia="es-ES"/>
        </w:rPr>
      </w:pPr>
      <w:r w:rsidRPr="00D23FA4">
        <w:rPr>
          <w:rFonts w:cs="Arial"/>
          <w:lang w:eastAsia="es-ES"/>
        </w:rPr>
        <w:t>La focalización es un instrumento de asignación de recursos, es decir, es un medio de lucha contra la pobreza y la desigualdad. Se busca garantizar que el gasto social se asigne a los grupos de población más pobre y vulnerable. Adicionalmente, se fundamenta en el principio de equidad, y tiene por objetivo reducir las privaciones que enfrenta la población más pobre, priorizando la asignación de recursos a aquellos que padecen dichas privaciones con mayor intensidad.</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El actual modelo busca focalizar en dos sentidos:</w:t>
      </w:r>
    </w:p>
    <w:p w:rsidR="008A56FD" w:rsidRPr="00D23FA4" w:rsidRDefault="008A56FD" w:rsidP="008A56FD">
      <w:pPr>
        <w:spacing w:after="0" w:line="240" w:lineRule="auto"/>
        <w:jc w:val="both"/>
        <w:rPr>
          <w:rFonts w:cs="Arial"/>
          <w:lang w:eastAsia="es-ES"/>
        </w:rPr>
      </w:pPr>
    </w:p>
    <w:p w:rsidR="008A56FD" w:rsidRDefault="008A56FD" w:rsidP="00D712DC">
      <w:pPr>
        <w:numPr>
          <w:ilvl w:val="1"/>
          <w:numId w:val="135"/>
        </w:numPr>
        <w:spacing w:after="0" w:line="240" w:lineRule="auto"/>
        <w:ind w:left="567"/>
        <w:jc w:val="both"/>
        <w:rPr>
          <w:rFonts w:cs="Arial"/>
          <w:lang w:eastAsia="es-ES"/>
        </w:rPr>
      </w:pPr>
      <w:r w:rsidRPr="00D23FA4">
        <w:rPr>
          <w:rFonts w:cs="Arial"/>
          <w:lang w:eastAsia="es-ES"/>
        </w:rPr>
        <w:t>Territorial: Condiciones y criterios del territorio, para oferta pertinente (actual o diferencial) y focos de inversión (ampliación, tránsitos y eventuales reubicación de cupos).</w:t>
      </w:r>
    </w:p>
    <w:p w:rsidR="005F336B" w:rsidRPr="00D23FA4" w:rsidRDefault="005F336B" w:rsidP="005F336B">
      <w:pPr>
        <w:spacing w:after="0" w:line="240" w:lineRule="auto"/>
        <w:ind w:left="567"/>
        <w:jc w:val="both"/>
        <w:rPr>
          <w:rFonts w:cs="Arial"/>
          <w:lang w:eastAsia="es-ES"/>
        </w:rPr>
      </w:pPr>
    </w:p>
    <w:p w:rsidR="008A56FD" w:rsidRPr="00D23FA4" w:rsidRDefault="008A56FD" w:rsidP="00D712DC">
      <w:pPr>
        <w:numPr>
          <w:ilvl w:val="1"/>
          <w:numId w:val="135"/>
        </w:numPr>
        <w:spacing w:after="0" w:line="240" w:lineRule="auto"/>
        <w:ind w:left="567"/>
        <w:jc w:val="both"/>
        <w:rPr>
          <w:rFonts w:cs="Arial"/>
          <w:lang w:eastAsia="es-ES"/>
        </w:rPr>
      </w:pPr>
      <w:r w:rsidRPr="00D23FA4">
        <w:rPr>
          <w:rFonts w:cs="Arial"/>
          <w:lang w:eastAsia="es-ES"/>
        </w:rPr>
        <w:t>Poblacional: Condiciones personales, socioeconómicas, étnicas, de vulnerabilidad, de los beneficiarios.</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Los criterios de focalización utilizados son:</w:t>
      </w:r>
    </w:p>
    <w:p w:rsidR="008A56FD" w:rsidRPr="00D23FA4" w:rsidRDefault="008A56FD" w:rsidP="008A56FD">
      <w:pPr>
        <w:spacing w:after="0" w:line="240" w:lineRule="auto"/>
        <w:jc w:val="both"/>
        <w:rPr>
          <w:rFonts w:cs="Arial"/>
          <w:highlight w:val="yellow"/>
          <w:lang w:eastAsia="es-ES"/>
        </w:rPr>
      </w:pPr>
      <w:r w:rsidRPr="00D23FA4">
        <w:rPr>
          <w:rFonts w:cs="Arial"/>
          <w:noProof/>
          <w:lang w:val="es-CO" w:eastAsia="es-CO"/>
        </w:rPr>
        <w:drawing>
          <wp:inline distT="0" distB="0" distL="0" distR="0" wp14:anchorId="541C3856" wp14:editId="02056CF7">
            <wp:extent cx="6057900" cy="1836420"/>
            <wp:effectExtent l="38100" t="0" r="1905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A56FD" w:rsidRPr="00D23FA4" w:rsidRDefault="008A56FD" w:rsidP="008A56FD">
      <w:pPr>
        <w:spacing w:after="0" w:line="240" w:lineRule="auto"/>
        <w:jc w:val="both"/>
        <w:rPr>
          <w:rFonts w:cs="Arial"/>
          <w:lang w:eastAsia="es-ES"/>
        </w:rPr>
      </w:pPr>
      <w:r w:rsidRPr="00D23FA4">
        <w:rPr>
          <w:rFonts w:cs="Arial"/>
          <w:lang w:eastAsia="es-ES"/>
        </w:rPr>
        <w:t>Para poder focalizar de manera pertinente y oportuna la estrategia cuenta con tres líneas de acción y herramientas para su desarrollo:</w:t>
      </w:r>
    </w:p>
    <w:p w:rsidR="008A56FD" w:rsidRPr="00D23FA4" w:rsidRDefault="008A56FD" w:rsidP="008A56FD">
      <w:pPr>
        <w:spacing w:after="0" w:line="240" w:lineRule="auto"/>
        <w:jc w:val="both"/>
        <w:rPr>
          <w:rFonts w:cs="Arial"/>
          <w:lang w:eastAsia="es-ES"/>
        </w:rPr>
      </w:pPr>
    </w:p>
    <w:tbl>
      <w:tblPr>
        <w:tblStyle w:val="Tablaconcuadrcula"/>
        <w:tblW w:w="9597"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972"/>
        <w:gridCol w:w="2410"/>
        <w:gridCol w:w="2222"/>
        <w:gridCol w:w="1993"/>
      </w:tblGrid>
      <w:tr w:rsidR="008A56FD" w:rsidRPr="00170C38" w:rsidTr="0010429D">
        <w:tc>
          <w:tcPr>
            <w:tcW w:w="2972" w:type="dxa"/>
            <w:shd w:val="clear" w:color="auto" w:fill="76923C" w:themeFill="accent3" w:themeFillShade="BF"/>
            <w:vAlign w:val="center"/>
          </w:tcPr>
          <w:p w:rsidR="008A56FD" w:rsidRPr="006146A1" w:rsidRDefault="0010429D" w:rsidP="009E7475">
            <w:pPr>
              <w:spacing w:after="0" w:line="240" w:lineRule="auto"/>
              <w:jc w:val="center"/>
              <w:rPr>
                <w:rFonts w:cs="Arial"/>
                <w:b/>
                <w:color w:val="FFFFFF" w:themeColor="background1"/>
                <w:sz w:val="18"/>
                <w:szCs w:val="18"/>
                <w:lang w:eastAsia="es-ES"/>
              </w:rPr>
            </w:pPr>
            <w:r>
              <w:rPr>
                <w:rFonts w:cs="Arial"/>
                <w:b/>
                <w:color w:val="FFFFFF" w:themeColor="background1"/>
                <w:sz w:val="18"/>
                <w:szCs w:val="18"/>
                <w:lang w:eastAsia="es-ES"/>
              </w:rPr>
              <w:lastRenderedPageBreak/>
              <w:t>Identificación del T</w:t>
            </w:r>
            <w:r w:rsidRPr="006146A1">
              <w:rPr>
                <w:rFonts w:cs="Arial"/>
                <w:b/>
                <w:color w:val="FFFFFF" w:themeColor="background1"/>
                <w:sz w:val="18"/>
                <w:szCs w:val="18"/>
                <w:lang w:eastAsia="es-ES"/>
              </w:rPr>
              <w:t>erritorio</w:t>
            </w:r>
          </w:p>
        </w:tc>
        <w:tc>
          <w:tcPr>
            <w:tcW w:w="2410" w:type="dxa"/>
            <w:shd w:val="clear" w:color="auto" w:fill="76923C" w:themeFill="accent3" w:themeFillShade="BF"/>
            <w:vAlign w:val="center"/>
          </w:tcPr>
          <w:p w:rsidR="008A56FD" w:rsidRPr="006146A1" w:rsidRDefault="008A56FD" w:rsidP="0010429D">
            <w:pPr>
              <w:spacing w:after="0" w:line="240" w:lineRule="auto"/>
              <w:jc w:val="center"/>
              <w:rPr>
                <w:rFonts w:cs="Arial"/>
                <w:b/>
                <w:color w:val="FFFFFF" w:themeColor="background1"/>
                <w:sz w:val="18"/>
                <w:szCs w:val="18"/>
                <w:lang w:eastAsia="es-ES"/>
              </w:rPr>
            </w:pPr>
            <w:r w:rsidRPr="006146A1">
              <w:rPr>
                <w:rFonts w:cs="Arial"/>
                <w:b/>
                <w:color w:val="FFFFFF" w:themeColor="background1"/>
                <w:sz w:val="18"/>
                <w:szCs w:val="18"/>
                <w:lang w:eastAsia="es-ES"/>
              </w:rPr>
              <w:t xml:space="preserve">Ubicación </w:t>
            </w:r>
            <w:r w:rsidR="0010429D">
              <w:rPr>
                <w:rFonts w:cs="Arial"/>
                <w:b/>
                <w:color w:val="FFFFFF" w:themeColor="background1"/>
                <w:sz w:val="18"/>
                <w:szCs w:val="18"/>
                <w:lang w:eastAsia="es-ES"/>
              </w:rPr>
              <w:t>de l</w:t>
            </w:r>
            <w:r w:rsidR="0010429D" w:rsidRPr="006146A1">
              <w:rPr>
                <w:rFonts w:cs="Arial"/>
                <w:b/>
                <w:color w:val="FFFFFF" w:themeColor="background1"/>
                <w:sz w:val="18"/>
                <w:szCs w:val="18"/>
                <w:lang w:eastAsia="es-ES"/>
              </w:rPr>
              <w:t xml:space="preserve">os Niños </w:t>
            </w:r>
            <w:r w:rsidR="0010429D">
              <w:rPr>
                <w:rFonts w:cs="Arial"/>
                <w:b/>
                <w:color w:val="FFFFFF" w:themeColor="background1"/>
                <w:sz w:val="18"/>
                <w:szCs w:val="18"/>
                <w:lang w:eastAsia="es-ES"/>
              </w:rPr>
              <w:t>y Niñas de 0 A 5 Años en e</w:t>
            </w:r>
            <w:r w:rsidR="0010429D" w:rsidRPr="006146A1">
              <w:rPr>
                <w:rFonts w:cs="Arial"/>
                <w:b/>
                <w:color w:val="FFFFFF" w:themeColor="background1"/>
                <w:sz w:val="18"/>
                <w:szCs w:val="18"/>
                <w:lang w:eastAsia="es-ES"/>
              </w:rPr>
              <w:t>l Territorio</w:t>
            </w:r>
          </w:p>
        </w:tc>
        <w:tc>
          <w:tcPr>
            <w:tcW w:w="2222" w:type="dxa"/>
            <w:shd w:val="clear" w:color="auto" w:fill="76923C" w:themeFill="accent3" w:themeFillShade="BF"/>
            <w:vAlign w:val="center"/>
          </w:tcPr>
          <w:p w:rsidR="008A56FD" w:rsidRPr="006146A1" w:rsidRDefault="008A56FD" w:rsidP="009E7475">
            <w:pPr>
              <w:spacing w:after="0" w:line="240" w:lineRule="auto"/>
              <w:jc w:val="center"/>
              <w:rPr>
                <w:rFonts w:cs="Arial"/>
                <w:b/>
                <w:color w:val="FFFFFF" w:themeColor="background1"/>
                <w:sz w:val="18"/>
                <w:szCs w:val="18"/>
                <w:lang w:eastAsia="es-ES"/>
              </w:rPr>
            </w:pPr>
            <w:r w:rsidRPr="006146A1">
              <w:rPr>
                <w:rFonts w:cs="Arial"/>
                <w:b/>
                <w:color w:val="FFFFFF" w:themeColor="background1"/>
                <w:sz w:val="18"/>
                <w:szCs w:val="18"/>
                <w:lang w:eastAsia="es-ES"/>
              </w:rPr>
              <w:t xml:space="preserve">Tránsito </w:t>
            </w:r>
            <w:r w:rsidR="0010429D">
              <w:rPr>
                <w:rFonts w:cs="Arial"/>
                <w:b/>
                <w:color w:val="FFFFFF" w:themeColor="background1"/>
                <w:sz w:val="18"/>
                <w:szCs w:val="18"/>
                <w:lang w:eastAsia="es-ES"/>
              </w:rPr>
              <w:t>y Ampliación d</w:t>
            </w:r>
            <w:r w:rsidR="0010429D" w:rsidRPr="006146A1">
              <w:rPr>
                <w:rFonts w:cs="Arial"/>
                <w:b/>
                <w:color w:val="FFFFFF" w:themeColor="background1"/>
                <w:sz w:val="18"/>
                <w:szCs w:val="18"/>
                <w:lang w:eastAsia="es-ES"/>
              </w:rPr>
              <w:t>e Cobertura</w:t>
            </w:r>
          </w:p>
        </w:tc>
        <w:tc>
          <w:tcPr>
            <w:tcW w:w="1993" w:type="dxa"/>
            <w:shd w:val="clear" w:color="auto" w:fill="76923C" w:themeFill="accent3" w:themeFillShade="BF"/>
            <w:vAlign w:val="center"/>
          </w:tcPr>
          <w:p w:rsidR="008A56FD" w:rsidRPr="006146A1" w:rsidRDefault="008A56FD" w:rsidP="0010429D">
            <w:pPr>
              <w:spacing w:after="0" w:line="240" w:lineRule="auto"/>
              <w:jc w:val="center"/>
              <w:rPr>
                <w:rFonts w:cs="Arial"/>
                <w:b/>
                <w:color w:val="FFFFFF" w:themeColor="background1"/>
                <w:sz w:val="18"/>
                <w:szCs w:val="18"/>
                <w:lang w:eastAsia="es-ES"/>
              </w:rPr>
            </w:pPr>
            <w:r w:rsidRPr="006146A1">
              <w:rPr>
                <w:rFonts w:cs="Arial"/>
                <w:b/>
                <w:color w:val="FFFFFF" w:themeColor="background1"/>
                <w:sz w:val="18"/>
                <w:szCs w:val="18"/>
                <w:lang w:eastAsia="es-ES"/>
              </w:rPr>
              <w:t xml:space="preserve">Transición </w:t>
            </w:r>
            <w:r w:rsidR="0010429D">
              <w:rPr>
                <w:rFonts w:cs="Arial"/>
                <w:b/>
                <w:color w:val="FFFFFF" w:themeColor="background1"/>
                <w:sz w:val="18"/>
                <w:szCs w:val="18"/>
                <w:lang w:eastAsia="es-ES"/>
              </w:rPr>
              <w:t>a</w:t>
            </w:r>
            <w:r w:rsidR="0010429D" w:rsidRPr="006146A1">
              <w:rPr>
                <w:rFonts w:cs="Arial"/>
                <w:b/>
                <w:color w:val="FFFFFF" w:themeColor="background1"/>
                <w:sz w:val="18"/>
                <w:szCs w:val="18"/>
                <w:lang w:eastAsia="es-ES"/>
              </w:rPr>
              <w:t>l Sistema Educativo</w:t>
            </w:r>
          </w:p>
        </w:tc>
      </w:tr>
      <w:tr w:rsidR="008A56FD" w:rsidRPr="00170C38" w:rsidTr="0010429D">
        <w:tc>
          <w:tcPr>
            <w:tcW w:w="2972" w:type="dxa"/>
          </w:tcPr>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Contextualización departamental, a partir del Índice de Primera Infancia, construido por el observatorio de la Dirección de Planeación.</w:t>
            </w:r>
          </w:p>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Población SISBEN III, Red Unidos y Población Victima de la violencia.</w:t>
            </w:r>
          </w:p>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Georreferenciación de las 100 mil viviendas.</w:t>
            </w:r>
          </w:p>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Componentes del enfoque diferencial.</w:t>
            </w:r>
          </w:p>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Plan de mitigación nutricional.</w:t>
            </w:r>
          </w:p>
          <w:p w:rsidR="008A56FD" w:rsidRPr="006146A1" w:rsidRDefault="008A56FD" w:rsidP="00470DCA">
            <w:pPr>
              <w:numPr>
                <w:ilvl w:val="0"/>
                <w:numId w:val="220"/>
              </w:numPr>
              <w:spacing w:after="0" w:line="240" w:lineRule="auto"/>
              <w:jc w:val="both"/>
              <w:rPr>
                <w:rFonts w:cs="Arial"/>
                <w:sz w:val="18"/>
                <w:szCs w:val="18"/>
                <w:lang w:eastAsia="es-ES"/>
              </w:rPr>
            </w:pPr>
            <w:r w:rsidRPr="006146A1">
              <w:rPr>
                <w:rFonts w:cs="Arial"/>
                <w:sz w:val="18"/>
                <w:szCs w:val="18"/>
                <w:lang w:eastAsia="es-ES"/>
              </w:rPr>
              <w:t>Proceso Administrativo de restablecimiento de derechos.</w:t>
            </w:r>
          </w:p>
        </w:tc>
        <w:tc>
          <w:tcPr>
            <w:tcW w:w="2410" w:type="dxa"/>
          </w:tcPr>
          <w:p w:rsidR="008A56FD" w:rsidRPr="006146A1" w:rsidRDefault="008A56FD" w:rsidP="00470DCA">
            <w:pPr>
              <w:numPr>
                <w:ilvl w:val="0"/>
                <w:numId w:val="221"/>
              </w:numPr>
              <w:spacing w:after="0" w:line="240" w:lineRule="auto"/>
              <w:jc w:val="both"/>
              <w:rPr>
                <w:rFonts w:cs="Arial"/>
                <w:sz w:val="18"/>
                <w:szCs w:val="18"/>
                <w:lang w:eastAsia="es-ES"/>
              </w:rPr>
            </w:pPr>
            <w:r w:rsidRPr="006146A1">
              <w:rPr>
                <w:rFonts w:cs="Arial"/>
                <w:sz w:val="18"/>
                <w:szCs w:val="18"/>
                <w:lang w:eastAsia="es-ES"/>
              </w:rPr>
              <w:t>Ruta de búsqueda activa en el territorio, a través de los Centros Zonales.</w:t>
            </w:r>
          </w:p>
          <w:p w:rsidR="008A56FD" w:rsidRPr="006146A1" w:rsidRDefault="008A56FD" w:rsidP="00470DCA">
            <w:pPr>
              <w:numPr>
                <w:ilvl w:val="0"/>
                <w:numId w:val="221"/>
              </w:numPr>
              <w:spacing w:after="0" w:line="240" w:lineRule="auto"/>
              <w:jc w:val="both"/>
              <w:rPr>
                <w:rFonts w:cs="Arial"/>
                <w:sz w:val="18"/>
                <w:szCs w:val="18"/>
                <w:lang w:eastAsia="es-ES"/>
              </w:rPr>
            </w:pPr>
            <w:r w:rsidRPr="006146A1">
              <w:rPr>
                <w:rFonts w:cs="Arial"/>
                <w:sz w:val="18"/>
                <w:szCs w:val="18"/>
                <w:lang w:eastAsia="es-ES"/>
              </w:rPr>
              <w:t>Articulación con los diferentes actores involucrados (ANSPE – Unidad de Víctimas).</w:t>
            </w:r>
          </w:p>
          <w:p w:rsidR="008A56FD" w:rsidRPr="006146A1" w:rsidRDefault="008A56FD" w:rsidP="00470DCA">
            <w:pPr>
              <w:numPr>
                <w:ilvl w:val="0"/>
                <w:numId w:val="221"/>
              </w:numPr>
              <w:spacing w:after="0" w:line="240" w:lineRule="auto"/>
              <w:jc w:val="both"/>
              <w:rPr>
                <w:rFonts w:cs="Arial"/>
                <w:sz w:val="18"/>
                <w:szCs w:val="18"/>
                <w:lang w:eastAsia="es-ES"/>
              </w:rPr>
            </w:pPr>
            <w:r w:rsidRPr="006146A1">
              <w:rPr>
                <w:rFonts w:cs="Arial"/>
                <w:sz w:val="18"/>
                <w:szCs w:val="18"/>
                <w:lang w:eastAsia="es-ES"/>
              </w:rPr>
              <w:t>Listas de espera.</w:t>
            </w:r>
          </w:p>
        </w:tc>
        <w:tc>
          <w:tcPr>
            <w:tcW w:w="2222" w:type="dxa"/>
          </w:tcPr>
          <w:p w:rsidR="008A56FD" w:rsidRPr="006146A1" w:rsidRDefault="008A56FD" w:rsidP="00470DCA">
            <w:pPr>
              <w:numPr>
                <w:ilvl w:val="0"/>
                <w:numId w:val="222"/>
              </w:numPr>
              <w:spacing w:after="0" w:line="240" w:lineRule="auto"/>
              <w:jc w:val="both"/>
              <w:rPr>
                <w:rFonts w:cs="Arial"/>
                <w:sz w:val="18"/>
                <w:szCs w:val="18"/>
                <w:lang w:eastAsia="es-ES"/>
              </w:rPr>
            </w:pPr>
            <w:r w:rsidRPr="006146A1">
              <w:rPr>
                <w:rFonts w:cs="Arial"/>
                <w:sz w:val="18"/>
                <w:szCs w:val="18"/>
                <w:lang w:eastAsia="es-ES"/>
              </w:rPr>
              <w:t>Identificación de los HCB a transitar. (Información Municipal).</w:t>
            </w:r>
          </w:p>
          <w:p w:rsidR="008A56FD" w:rsidRPr="006146A1" w:rsidRDefault="008A56FD" w:rsidP="00470DCA">
            <w:pPr>
              <w:numPr>
                <w:ilvl w:val="0"/>
                <w:numId w:val="222"/>
              </w:numPr>
              <w:spacing w:after="0" w:line="240" w:lineRule="auto"/>
              <w:jc w:val="both"/>
              <w:rPr>
                <w:rFonts w:cs="Arial"/>
                <w:sz w:val="18"/>
                <w:szCs w:val="18"/>
                <w:lang w:eastAsia="es-ES"/>
              </w:rPr>
            </w:pPr>
            <w:r w:rsidRPr="006146A1">
              <w:rPr>
                <w:rFonts w:cs="Arial"/>
                <w:sz w:val="18"/>
                <w:szCs w:val="18"/>
                <w:lang w:eastAsia="es-ES"/>
              </w:rPr>
              <w:t>Identificación de los CDI: Capacidad de la atención, cobertura actual, número de cupos disponibles para el tránsito y para la ampliación.</w:t>
            </w:r>
          </w:p>
          <w:p w:rsidR="008A56FD" w:rsidRPr="006146A1" w:rsidRDefault="008A56FD" w:rsidP="00470DCA">
            <w:pPr>
              <w:numPr>
                <w:ilvl w:val="0"/>
                <w:numId w:val="222"/>
              </w:numPr>
              <w:spacing w:after="0" w:line="240" w:lineRule="auto"/>
              <w:jc w:val="both"/>
              <w:rPr>
                <w:rFonts w:cs="Arial"/>
                <w:sz w:val="18"/>
                <w:szCs w:val="18"/>
                <w:lang w:eastAsia="es-ES"/>
              </w:rPr>
            </w:pPr>
            <w:r w:rsidRPr="006146A1">
              <w:rPr>
                <w:rFonts w:cs="Arial"/>
                <w:sz w:val="18"/>
                <w:szCs w:val="18"/>
                <w:lang w:eastAsia="es-ES"/>
              </w:rPr>
              <w:t>Identificar concurrencias.</w:t>
            </w:r>
          </w:p>
          <w:p w:rsidR="008A56FD" w:rsidRPr="006146A1" w:rsidRDefault="008A56FD" w:rsidP="00470DCA">
            <w:pPr>
              <w:numPr>
                <w:ilvl w:val="0"/>
                <w:numId w:val="222"/>
              </w:numPr>
              <w:spacing w:after="0" w:line="240" w:lineRule="auto"/>
              <w:jc w:val="both"/>
              <w:rPr>
                <w:rFonts w:cs="Arial"/>
                <w:sz w:val="18"/>
                <w:szCs w:val="18"/>
                <w:lang w:eastAsia="es-ES"/>
              </w:rPr>
            </w:pPr>
            <w:r w:rsidRPr="006146A1">
              <w:rPr>
                <w:rFonts w:cs="Arial"/>
                <w:sz w:val="18"/>
                <w:szCs w:val="18"/>
                <w:lang w:eastAsia="es-ES"/>
              </w:rPr>
              <w:t>Análisis de la oferta actual.</w:t>
            </w:r>
          </w:p>
          <w:p w:rsidR="008A56FD" w:rsidRPr="006146A1" w:rsidRDefault="008A56FD" w:rsidP="00470DCA">
            <w:pPr>
              <w:numPr>
                <w:ilvl w:val="0"/>
                <w:numId w:val="222"/>
              </w:numPr>
              <w:spacing w:after="0" w:line="240" w:lineRule="auto"/>
              <w:jc w:val="both"/>
              <w:rPr>
                <w:rFonts w:cs="Arial"/>
                <w:sz w:val="18"/>
                <w:szCs w:val="18"/>
                <w:lang w:eastAsia="es-ES"/>
              </w:rPr>
            </w:pPr>
            <w:r w:rsidRPr="006146A1">
              <w:rPr>
                <w:rFonts w:cs="Arial"/>
                <w:sz w:val="18"/>
                <w:szCs w:val="18"/>
                <w:lang w:eastAsia="es-ES"/>
              </w:rPr>
              <w:t>Peticiones, quejas y reclamos (PQR).</w:t>
            </w:r>
          </w:p>
        </w:tc>
        <w:tc>
          <w:tcPr>
            <w:tcW w:w="1993" w:type="dxa"/>
          </w:tcPr>
          <w:p w:rsidR="008A56FD" w:rsidRPr="006146A1" w:rsidRDefault="008A56FD" w:rsidP="00470DCA">
            <w:pPr>
              <w:numPr>
                <w:ilvl w:val="0"/>
                <w:numId w:val="223"/>
              </w:numPr>
              <w:spacing w:after="0" w:line="240" w:lineRule="auto"/>
              <w:jc w:val="both"/>
              <w:rPr>
                <w:rFonts w:cs="Arial"/>
                <w:sz w:val="18"/>
                <w:szCs w:val="18"/>
                <w:lang w:eastAsia="es-ES"/>
              </w:rPr>
            </w:pPr>
            <w:r w:rsidRPr="006146A1">
              <w:rPr>
                <w:rFonts w:cs="Arial"/>
                <w:sz w:val="18"/>
                <w:szCs w:val="18"/>
                <w:lang w:eastAsia="es-ES"/>
              </w:rPr>
              <w:t>Niños y niñas que fueron atendidos por el ICBF que debieron transitar a Preescolar.</w:t>
            </w:r>
          </w:p>
          <w:p w:rsidR="008A56FD" w:rsidRPr="006146A1" w:rsidRDefault="008A56FD" w:rsidP="00470DCA">
            <w:pPr>
              <w:numPr>
                <w:ilvl w:val="0"/>
                <w:numId w:val="223"/>
              </w:numPr>
              <w:spacing w:after="0" w:line="240" w:lineRule="auto"/>
              <w:jc w:val="both"/>
              <w:rPr>
                <w:rFonts w:cs="Arial"/>
                <w:sz w:val="18"/>
                <w:szCs w:val="18"/>
                <w:lang w:eastAsia="es-ES"/>
              </w:rPr>
            </w:pPr>
            <w:r w:rsidRPr="006146A1">
              <w:rPr>
                <w:rFonts w:cs="Arial"/>
                <w:sz w:val="18"/>
                <w:szCs w:val="18"/>
                <w:lang w:eastAsia="es-ES"/>
              </w:rPr>
              <w:t>Tablero de control para la estrategia de focalización.</w:t>
            </w:r>
          </w:p>
        </w:tc>
      </w:tr>
      <w:tr w:rsidR="008A56FD" w:rsidRPr="00170C38" w:rsidTr="0010429D">
        <w:tc>
          <w:tcPr>
            <w:tcW w:w="5382" w:type="dxa"/>
            <w:gridSpan w:val="2"/>
            <w:shd w:val="clear" w:color="auto" w:fill="E2EFDA"/>
            <w:vAlign w:val="center"/>
          </w:tcPr>
          <w:p w:rsidR="008A56FD" w:rsidRPr="0010429D" w:rsidRDefault="002D2A43" w:rsidP="009E7475">
            <w:pPr>
              <w:spacing w:after="0" w:line="240" w:lineRule="auto"/>
              <w:jc w:val="center"/>
              <w:rPr>
                <w:rFonts w:cs="Arial"/>
                <w:b/>
                <w:sz w:val="18"/>
                <w:szCs w:val="18"/>
                <w:lang w:eastAsia="es-ES"/>
              </w:rPr>
            </w:pPr>
            <w:r>
              <w:rPr>
                <w:rFonts w:cs="Arial"/>
                <w:b/>
                <w:sz w:val="18"/>
                <w:szCs w:val="18"/>
                <w:lang w:eastAsia="es-ES"/>
              </w:rPr>
              <w:t>Caracterización del T</w:t>
            </w:r>
            <w:r w:rsidR="008A56FD" w:rsidRPr="0010429D">
              <w:rPr>
                <w:rFonts w:cs="Arial"/>
                <w:b/>
                <w:sz w:val="18"/>
                <w:szCs w:val="18"/>
                <w:lang w:eastAsia="es-ES"/>
              </w:rPr>
              <w:t>erritorio</w:t>
            </w:r>
          </w:p>
        </w:tc>
        <w:tc>
          <w:tcPr>
            <w:tcW w:w="2222" w:type="dxa"/>
            <w:shd w:val="clear" w:color="auto" w:fill="E2EFDA"/>
            <w:vAlign w:val="center"/>
          </w:tcPr>
          <w:p w:rsidR="008A56FD" w:rsidRPr="0010429D" w:rsidRDefault="008A56FD" w:rsidP="009E7475">
            <w:pPr>
              <w:spacing w:after="0" w:line="240" w:lineRule="auto"/>
              <w:jc w:val="center"/>
              <w:rPr>
                <w:rFonts w:cs="Arial"/>
                <w:b/>
                <w:sz w:val="18"/>
                <w:szCs w:val="18"/>
                <w:lang w:eastAsia="es-ES"/>
              </w:rPr>
            </w:pPr>
            <w:r w:rsidRPr="0010429D">
              <w:rPr>
                <w:rFonts w:cs="Arial"/>
                <w:b/>
                <w:sz w:val="18"/>
                <w:szCs w:val="18"/>
                <w:lang w:eastAsia="es-ES"/>
              </w:rPr>
              <w:t>Oferta</w:t>
            </w:r>
          </w:p>
        </w:tc>
        <w:tc>
          <w:tcPr>
            <w:tcW w:w="1993" w:type="dxa"/>
            <w:shd w:val="clear" w:color="auto" w:fill="E2EFDA"/>
            <w:vAlign w:val="center"/>
          </w:tcPr>
          <w:p w:rsidR="008A56FD" w:rsidRPr="0010429D" w:rsidRDefault="008A56FD" w:rsidP="009E7475">
            <w:pPr>
              <w:spacing w:after="0" w:line="240" w:lineRule="auto"/>
              <w:jc w:val="center"/>
              <w:rPr>
                <w:rFonts w:cs="Arial"/>
                <w:b/>
                <w:sz w:val="18"/>
                <w:szCs w:val="18"/>
                <w:lang w:eastAsia="es-ES"/>
              </w:rPr>
            </w:pPr>
            <w:r w:rsidRPr="0010429D">
              <w:rPr>
                <w:rFonts w:cs="Arial"/>
                <w:b/>
                <w:sz w:val="18"/>
                <w:szCs w:val="18"/>
                <w:lang w:eastAsia="es-ES"/>
              </w:rPr>
              <w:t>Seguimiento</w:t>
            </w:r>
          </w:p>
        </w:tc>
      </w:tr>
    </w:tbl>
    <w:p w:rsidR="008A56FD" w:rsidRDefault="008A56FD" w:rsidP="008A56FD">
      <w:pPr>
        <w:spacing w:after="0" w:line="240" w:lineRule="auto"/>
        <w:jc w:val="both"/>
        <w:rPr>
          <w:rFonts w:cs="Arial"/>
          <w:lang w:val="es-CO" w:eastAsia="es-ES"/>
        </w:rPr>
      </w:pPr>
    </w:p>
    <w:p w:rsidR="002D2A43" w:rsidRDefault="002D2A43" w:rsidP="0021574B">
      <w:pPr>
        <w:ind w:left="1416"/>
        <w:rPr>
          <w:b/>
        </w:rPr>
      </w:pPr>
    </w:p>
    <w:p w:rsidR="008A56FD" w:rsidRPr="0021574B" w:rsidRDefault="008A56FD" w:rsidP="0021574B">
      <w:pPr>
        <w:ind w:left="1416"/>
        <w:rPr>
          <w:b/>
        </w:rPr>
      </w:pPr>
      <w:r w:rsidRPr="0021574B">
        <w:rPr>
          <w:b/>
        </w:rPr>
        <w:t>Contratación – Banco Nacional de Oferentes de Primera Infancia BNOPI y vigencia 2016</w:t>
      </w:r>
    </w:p>
    <w:p w:rsidR="008A56FD" w:rsidRPr="00D23FA4" w:rsidRDefault="008A56FD" w:rsidP="008A56FD">
      <w:pPr>
        <w:spacing w:after="0" w:line="240" w:lineRule="auto"/>
        <w:jc w:val="both"/>
        <w:rPr>
          <w:rFonts w:cs="Arial"/>
          <w:lang w:eastAsia="es-CO"/>
        </w:rPr>
      </w:pPr>
      <w:r w:rsidRPr="00D23FA4">
        <w:rPr>
          <w:rFonts w:cs="Arial"/>
          <w:lang w:eastAsia="es-ES"/>
        </w:rPr>
        <w:t xml:space="preserve">En aras a garantizar una correcta distribución de la oferta de servicios de atención a la primera infancia en los servicios a contratar, la Dirección de Primera Infancia del ICBF gestionó de manera oportuna todos los aspectos necesarios para desarrollar los procesos de contratación de conformidad con las metas establecidas y el Manual de Contratación del Instituto, garantizando la atención de los niños y niñas mediante los servicios </w:t>
      </w:r>
      <w:r w:rsidRPr="00D23FA4">
        <w:rPr>
          <w:rFonts w:cs="Arial"/>
          <w:lang w:eastAsia="es-CO"/>
        </w:rPr>
        <w:t xml:space="preserve">en los programas de atención a la primera infancia. </w:t>
      </w:r>
    </w:p>
    <w:p w:rsidR="008A56FD" w:rsidRPr="00D23FA4" w:rsidRDefault="008A56FD" w:rsidP="008A56FD">
      <w:pPr>
        <w:spacing w:after="0" w:line="240" w:lineRule="auto"/>
        <w:jc w:val="both"/>
        <w:rPr>
          <w:rFonts w:cs="Arial"/>
          <w:lang w:eastAsia="es-CO"/>
        </w:rPr>
      </w:pPr>
    </w:p>
    <w:p w:rsidR="008A56FD" w:rsidRPr="00D23FA4" w:rsidRDefault="008A56FD" w:rsidP="008A56FD">
      <w:pPr>
        <w:spacing w:after="0" w:line="240" w:lineRule="auto"/>
        <w:jc w:val="both"/>
        <w:rPr>
          <w:rFonts w:cs="Arial"/>
          <w:lang w:eastAsia="es-CO"/>
        </w:rPr>
      </w:pPr>
      <w:r w:rsidRPr="00D23FA4">
        <w:rPr>
          <w:rFonts w:cs="Arial"/>
          <w:lang w:eastAsia="es-CO"/>
        </w:rPr>
        <w:t>En este sentido, y con el propósito de dar cumplimiento efectivo a los cronogramas de contratación, esta Dirección desarrolló las siguientes estrategias y acciones: memorandos, comunicados mediante correo electrónico, validación de cupos, reuniones de seguimiento, generación de alertas sobre las matices de contratación, capacitación a Enlaces, seguimiento telefónico permanente, acompañamiento presencial en las Direcciones Regionales (Enlaces), asesoría y acompañamiento mediante el equipo macro regional, diseño de herramientas para agilizar el proceso (matrices, formatos), coordinación con las diferentes dependencias del Instituto y Comités Directivos semanales para evaluar y tomar decisiones relevantes e informadas sobre los procesos de contratación.</w:t>
      </w:r>
    </w:p>
    <w:p w:rsidR="008A56FD" w:rsidRPr="00D23FA4" w:rsidRDefault="008A56FD" w:rsidP="008A56FD">
      <w:pPr>
        <w:spacing w:after="0" w:line="240" w:lineRule="auto"/>
        <w:jc w:val="both"/>
        <w:rPr>
          <w:rFonts w:cs="Arial"/>
          <w:lang w:eastAsia="es-CO"/>
        </w:rPr>
      </w:pPr>
    </w:p>
    <w:p w:rsidR="008A56FD" w:rsidRPr="00D23FA4" w:rsidRDefault="008A56FD" w:rsidP="008A56FD">
      <w:pPr>
        <w:spacing w:after="0" w:line="240" w:lineRule="auto"/>
        <w:jc w:val="both"/>
        <w:rPr>
          <w:rFonts w:cs="Arial"/>
          <w:lang w:eastAsia="es-CO"/>
        </w:rPr>
      </w:pPr>
      <w:r w:rsidRPr="00D23FA4">
        <w:rPr>
          <w:rFonts w:cs="Arial"/>
          <w:lang w:eastAsia="es-CO"/>
        </w:rPr>
        <w:t xml:space="preserve">En el desarrollo de los procesos de contratación liderados por la Dirección de Primera Infancia se establecieron mecanismos efectivos para el seguimiento al avance diario a la contratación, con los que se logró identificar alertas tempranas y por ende, dio lugar a la toma de decisiones oportunas, garantizando de esta manera el logro de las metas y actividades dentro de los tiempos establecidos. </w:t>
      </w:r>
    </w:p>
    <w:p w:rsidR="008A56FD" w:rsidRPr="00D23FA4" w:rsidRDefault="008A56FD" w:rsidP="008A56FD">
      <w:pPr>
        <w:spacing w:after="0" w:line="240" w:lineRule="auto"/>
        <w:jc w:val="both"/>
        <w:rPr>
          <w:rFonts w:cs="Arial"/>
          <w:lang w:eastAsia="es-ES"/>
        </w:rPr>
      </w:pPr>
      <w:r w:rsidRPr="00D23FA4">
        <w:rPr>
          <w:rFonts w:cs="Arial"/>
          <w:lang w:eastAsia="es-CO"/>
        </w:rPr>
        <w:lastRenderedPageBreak/>
        <w:t>Es de resaltar que l</w:t>
      </w:r>
      <w:r w:rsidRPr="00D23FA4">
        <w:rPr>
          <w:rFonts w:cs="Arial"/>
          <w:lang w:eastAsia="es-ES"/>
        </w:rPr>
        <w:t xml:space="preserve">as actividades programadas según cronograma se llevaron a cabo satisfactoriamente tanto por </w:t>
      </w:r>
      <w:r w:rsidRPr="00D23FA4">
        <w:rPr>
          <w:rFonts w:eastAsia="Verdana" w:cs="Arial"/>
          <w:lang w:eastAsia="es-ES"/>
        </w:rPr>
        <w:t xml:space="preserve">parte de las Direcciones Regionales como de la Dirección de Primera Infancia, </w:t>
      </w:r>
      <w:r w:rsidRPr="00D23FA4">
        <w:rPr>
          <w:rFonts w:cs="Arial"/>
          <w:lang w:eastAsia="es-ES"/>
        </w:rPr>
        <w:t>con el fin de que se diera continuidad a la atención de los niños y niñas de los servicios de HCB, HI, Atención a menores de tres años en centros de reclusión y la suscripción y legalización de los contratos para los servicios de Centros de Desarrollo Infantil, Desarrollo Infantil en medio familiar, modalidad propia y dotaciones.</w:t>
      </w:r>
    </w:p>
    <w:p w:rsidR="008A56FD" w:rsidRPr="00D23FA4" w:rsidRDefault="008A56FD" w:rsidP="008A56FD">
      <w:pPr>
        <w:spacing w:after="0" w:line="240" w:lineRule="auto"/>
        <w:jc w:val="both"/>
        <w:rPr>
          <w:rFonts w:cs="Arial"/>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val="es-CO" w:eastAsia="es-ES"/>
        </w:rPr>
        <w:t xml:space="preserve">El Banco Nacional de Oferentes para la prestación del servicio público de bienestar familiar, está conformado por un listado de 2.916 Entidades Administradoras del Servicio (EAS) habilitadas mediante la Resolución 11084 del 24 de diciembre de 2015. </w:t>
      </w:r>
    </w:p>
    <w:p w:rsidR="008A56FD" w:rsidRPr="00D23FA4" w:rsidRDefault="008A56FD" w:rsidP="008A56FD">
      <w:pPr>
        <w:spacing w:after="0" w:line="240" w:lineRule="auto"/>
        <w:jc w:val="both"/>
        <w:rPr>
          <w:rFonts w:cs="Arial"/>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val="es-CO" w:eastAsia="es-ES"/>
        </w:rPr>
        <w:t xml:space="preserve">Acorde a lo dispuesto en el manual de contratación, todas las entidades que están interesadas en </w:t>
      </w:r>
      <w:r>
        <w:rPr>
          <w:rFonts w:cs="Arial"/>
          <w:lang w:val="es-CO" w:eastAsia="es-ES"/>
        </w:rPr>
        <w:t>c</w:t>
      </w:r>
      <w:r w:rsidRPr="00D23FA4">
        <w:rPr>
          <w:rFonts w:cs="Arial"/>
          <w:lang w:val="es-CO" w:eastAsia="es-ES"/>
        </w:rPr>
        <w:t>ontratar con ICBF en modalidades de atención a la Primera infancia, deben presentar la documentación correspondiente para ser habilitadas y actualizar su capacidad financiera anualmente para continuar dentro de la lista de elegibles. Es por ello que durante la presente vigencia desde la Subdirección se conformó un equipo para la actualización del Banco de Oferentes.</w:t>
      </w:r>
    </w:p>
    <w:p w:rsidR="008A56FD" w:rsidRPr="00D23FA4" w:rsidRDefault="008A56FD" w:rsidP="008A56FD">
      <w:pPr>
        <w:spacing w:after="0" w:line="240" w:lineRule="auto"/>
        <w:jc w:val="both"/>
        <w:rPr>
          <w:rFonts w:cs="Arial"/>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val="es-CO" w:eastAsia="es-ES"/>
        </w:rPr>
        <w:t xml:space="preserve">Además, se lideró la consecución de la información a través de las Direcciones Regionales, la Actualización financiera a través de libro fiscal (Asociaciones de Padres) y se apoyó en la actualización de las Entidades que presentaron estados financieros. </w:t>
      </w:r>
    </w:p>
    <w:p w:rsidR="008A56FD" w:rsidRPr="00D23FA4" w:rsidRDefault="008A56FD" w:rsidP="008A56FD">
      <w:pPr>
        <w:spacing w:after="0" w:line="240" w:lineRule="auto"/>
        <w:jc w:val="both"/>
        <w:rPr>
          <w:rFonts w:cs="Arial"/>
          <w:lang w:val="es-CO" w:eastAsia="es-ES"/>
        </w:rPr>
      </w:pPr>
    </w:p>
    <w:p w:rsidR="008A56FD" w:rsidRDefault="008A56FD" w:rsidP="008A56FD">
      <w:pPr>
        <w:spacing w:after="0" w:line="240" w:lineRule="auto"/>
        <w:jc w:val="both"/>
        <w:rPr>
          <w:rFonts w:cs="Arial"/>
          <w:lang w:val="es-CO" w:eastAsia="es-ES"/>
        </w:rPr>
      </w:pPr>
      <w:r w:rsidRPr="00D23FA4">
        <w:rPr>
          <w:rFonts w:cs="Arial"/>
          <w:lang w:val="es-CO" w:eastAsia="es-ES"/>
        </w:rPr>
        <w:t>Las acciones realizadas desde la Dirección, los canales de comunicación abiertos con las Regionales y los reportes continuos de actualización permitieron conocer diariamente a las Regionales el estado de actualización de las entidades. Este conjunto de actividades permitió que se identificaran, priorizaran y actualizaran oportunamente las Entidades propuestas para contratar permitiendo que las Regionales pudieran escoger las mismas sin gener</w:t>
      </w:r>
      <w:r w:rsidR="0010429D">
        <w:rPr>
          <w:rFonts w:cs="Arial"/>
          <w:lang w:val="es-CO" w:eastAsia="es-ES"/>
        </w:rPr>
        <w:t>arse obstáculos por el proceso.</w:t>
      </w:r>
    </w:p>
    <w:p w:rsidR="008A56FD" w:rsidRPr="00D23FA4" w:rsidRDefault="008A56FD" w:rsidP="00E45EF1">
      <w:pPr>
        <w:rPr>
          <w:lang w:val="es-CO" w:eastAsia="es-ES"/>
        </w:rPr>
      </w:pPr>
    </w:p>
    <w:p w:rsidR="008A56FD" w:rsidRPr="00700951" w:rsidRDefault="008A56FD" w:rsidP="00700951">
      <w:pPr>
        <w:pStyle w:val="Prrafodelista"/>
        <w:numPr>
          <w:ilvl w:val="2"/>
          <w:numId w:val="239"/>
        </w:numPr>
        <w:spacing w:after="0" w:line="240" w:lineRule="auto"/>
        <w:jc w:val="both"/>
        <w:outlineLvl w:val="1"/>
        <w:rPr>
          <w:rFonts w:cs="Arial"/>
          <w:b/>
        </w:rPr>
      </w:pPr>
      <w:bookmarkStart w:id="53" w:name="_Toc473581404"/>
      <w:r w:rsidRPr="00700951">
        <w:rPr>
          <w:rFonts w:cs="Arial"/>
          <w:b/>
        </w:rPr>
        <w:t>Estrategias para mejorar calidad en la atención a la primera infancia</w:t>
      </w:r>
      <w:bookmarkEnd w:id="53"/>
    </w:p>
    <w:p w:rsidR="00700951" w:rsidRDefault="00700951" w:rsidP="00E45EF1">
      <w:pPr>
        <w:ind w:left="708" w:firstLine="708"/>
        <w:rPr>
          <w:rFonts w:eastAsiaTheme="majorEastAsia"/>
          <w:b/>
        </w:rPr>
      </w:pPr>
    </w:p>
    <w:p w:rsidR="008A56FD" w:rsidRPr="00AC7655" w:rsidRDefault="008A56FD" w:rsidP="00E45EF1">
      <w:pPr>
        <w:ind w:left="708" w:firstLine="708"/>
        <w:rPr>
          <w:rFonts w:eastAsiaTheme="majorEastAsia"/>
          <w:b/>
        </w:rPr>
      </w:pPr>
      <w:r w:rsidRPr="00AC7655">
        <w:rPr>
          <w:rFonts w:eastAsiaTheme="majorEastAsia"/>
          <w:b/>
        </w:rPr>
        <w:t>Formación y cualificación de agentes educativos</w:t>
      </w:r>
    </w:p>
    <w:p w:rsidR="008A56FD" w:rsidRPr="00D23FA4" w:rsidRDefault="008A56FD" w:rsidP="008A56FD">
      <w:pPr>
        <w:spacing w:after="0" w:line="240" w:lineRule="auto"/>
        <w:jc w:val="both"/>
        <w:rPr>
          <w:rFonts w:cs="Arial"/>
          <w:lang w:eastAsia="es-ES"/>
        </w:rPr>
      </w:pPr>
      <w:r w:rsidRPr="00D23FA4">
        <w:rPr>
          <w:rFonts w:cs="Arial"/>
          <w:lang w:eastAsia="es-ES"/>
        </w:rPr>
        <w:t>Una de las apuestas fundamentales de la Estrategia “De Cero a Siempre” es el aseguramiento y el mejoramiento de la calidad de los servicios de educación inicial, atendiendo, el documento base del Plan Nacional de Desarrollo 2015-2018 que señala: “</w:t>
      </w:r>
      <w:r w:rsidRPr="00D23FA4">
        <w:rPr>
          <w:rFonts w:cs="Arial"/>
          <w:i/>
          <w:lang w:eastAsia="es-ES"/>
        </w:rPr>
        <w:t>para la excelencia del talento humano se garantizará la cualificación, orientada a desarrollar conocimientos y habilidades particulares</w:t>
      </w:r>
      <w:r w:rsidRPr="00D23FA4">
        <w:rPr>
          <w:rFonts w:cs="Arial"/>
          <w:lang w:eastAsia="es-ES"/>
        </w:rPr>
        <w:t xml:space="preserve"> </w:t>
      </w:r>
      <w:r w:rsidRPr="00D23FA4">
        <w:rPr>
          <w:rFonts w:cs="Arial"/>
          <w:i/>
          <w:lang w:eastAsia="es-ES"/>
        </w:rPr>
        <w:t>para el trabajo con la primera infancia y el perfilamiento de un quehacer humanizado y sensible</w:t>
      </w:r>
      <w:r w:rsidRPr="00D23FA4">
        <w:rPr>
          <w:rFonts w:cs="Arial"/>
          <w:lang w:eastAsia="es-ES"/>
        </w:rPr>
        <w:t xml:space="preserve">”. </w:t>
      </w:r>
    </w:p>
    <w:p w:rsidR="008A56FD" w:rsidRPr="00D23FA4" w:rsidRDefault="008A56FD" w:rsidP="008A56FD">
      <w:pPr>
        <w:spacing w:after="0" w:line="240" w:lineRule="auto"/>
        <w:jc w:val="both"/>
        <w:rPr>
          <w:rFonts w:cs="Arial"/>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val="es-CO" w:eastAsia="es-ES"/>
        </w:rPr>
        <w:t>Durante el 2016 se realizó el proceso de contratación con Entidades Académicas para llegar a cualificar 11.885 agentes educativos en Licenciatura en Pedagogía Infantil, Técnico en Atención Integral en Primera Infancia, Diplomado en Referentes Técnicos de la Primera Infancia, Diplomado de Fiesta de la Lectura y otros programas como Batuta y Pisotón.</w:t>
      </w:r>
    </w:p>
    <w:p w:rsidR="008A56FD" w:rsidRDefault="008A56FD" w:rsidP="001473C9">
      <w:pPr>
        <w:rPr>
          <w:lang w:val="es-CO" w:eastAsia="es-ES"/>
        </w:rPr>
      </w:pPr>
    </w:p>
    <w:p w:rsidR="008A56FD" w:rsidRPr="00AC7655" w:rsidRDefault="008A56FD" w:rsidP="001473C9">
      <w:pPr>
        <w:ind w:left="708" w:firstLine="708"/>
        <w:rPr>
          <w:rFonts w:eastAsiaTheme="majorEastAsia"/>
          <w:b/>
        </w:rPr>
      </w:pPr>
      <w:r w:rsidRPr="00AC7655">
        <w:rPr>
          <w:rFonts w:eastAsiaTheme="majorEastAsia"/>
          <w:b/>
        </w:rPr>
        <w:lastRenderedPageBreak/>
        <w:t>Acompañamiento Técnico</w:t>
      </w:r>
    </w:p>
    <w:p w:rsidR="008A56FD" w:rsidRPr="00D23FA4" w:rsidRDefault="008A56FD" w:rsidP="008A56FD">
      <w:pPr>
        <w:spacing w:after="0" w:line="240" w:lineRule="auto"/>
        <w:jc w:val="both"/>
        <w:rPr>
          <w:rFonts w:cs="Arial"/>
          <w:lang w:val="es-CO" w:eastAsia="es-ES"/>
        </w:rPr>
      </w:pPr>
      <w:r w:rsidRPr="00D23FA4">
        <w:rPr>
          <w:rFonts w:cs="Arial"/>
          <w:lang w:val="es-CO" w:eastAsia="es-ES"/>
        </w:rPr>
        <w:t>En cumplimiento de las funciones que se encuentran señaladas en el</w:t>
      </w:r>
      <w:r w:rsidRPr="00D23FA4">
        <w:rPr>
          <w:rFonts w:eastAsia="Times New Roman" w:cs="Arial"/>
          <w:lang w:val="es-CO" w:eastAsia="es-CO"/>
        </w:rPr>
        <w:t xml:space="preserve"> Decreto 987 del 2012, se realizan acciones específicas para el acompañamiento técnico, una de éstas fue la </w:t>
      </w:r>
      <w:r w:rsidRPr="00D23FA4">
        <w:rPr>
          <w:rFonts w:cs="Arial"/>
          <w:lang w:eastAsia="es-ES"/>
        </w:rPr>
        <w:t xml:space="preserve">vinculación del proceso de fortalecimiento al convenio de la Alianza 2016 </w:t>
      </w:r>
      <w:r w:rsidRPr="00D23FA4">
        <w:rPr>
          <w:rFonts w:cs="Arial"/>
          <w:lang w:val="es-CO" w:eastAsia="es-ES"/>
        </w:rPr>
        <w:t xml:space="preserve">que hizo presencia en las 33 regionales, 867 Entidades Administradoras de Servicios –EAS, 2.251 Unidades de Servicio – UDS Focalizadas y Unidades de Servicio – UDS Focalizadas en Municipios en Procesos de Paz. </w:t>
      </w:r>
      <w:r w:rsidRPr="00D23FA4">
        <w:rPr>
          <w:rFonts w:eastAsia="Times New Roman" w:cs="Arial"/>
          <w:lang w:val="es-CO" w:eastAsia="es-CO"/>
        </w:rPr>
        <w:t xml:space="preserve">Otra labor importante fue </w:t>
      </w:r>
      <w:r w:rsidRPr="00D23FA4">
        <w:rPr>
          <w:rFonts w:cs="Arial"/>
          <w:lang w:eastAsia="es-ES"/>
        </w:rPr>
        <w:t>la articulación del ICBF con el Fondo</w:t>
      </w:r>
      <w:r w:rsidRPr="00D23FA4">
        <w:rPr>
          <w:rFonts w:cs="Arial"/>
          <w:lang w:val="es-MX" w:eastAsia="es-ES"/>
        </w:rPr>
        <w:t xml:space="preserve"> de las Naciones Unidas para la Infancia UNICEF- Colombia.</w:t>
      </w:r>
    </w:p>
    <w:p w:rsidR="008A56FD" w:rsidRPr="00D23FA4" w:rsidRDefault="008A56FD" w:rsidP="00C84355">
      <w:pPr>
        <w:rPr>
          <w:lang w:val="es-MX" w:eastAsia="es-ES"/>
        </w:rPr>
      </w:pPr>
    </w:p>
    <w:p w:rsidR="008A56FD" w:rsidRPr="00AC7655" w:rsidRDefault="008A56FD" w:rsidP="00C84355">
      <w:pPr>
        <w:ind w:left="708" w:firstLine="708"/>
        <w:rPr>
          <w:rFonts w:eastAsiaTheme="majorEastAsia"/>
          <w:b/>
        </w:rPr>
      </w:pPr>
      <w:r w:rsidRPr="00AC7655">
        <w:rPr>
          <w:rFonts w:eastAsiaTheme="majorEastAsia"/>
          <w:b/>
        </w:rPr>
        <w:t>Ambientes Educativos de Calidad</w:t>
      </w:r>
    </w:p>
    <w:p w:rsidR="008A56FD" w:rsidRPr="00D23FA4" w:rsidRDefault="008A56FD" w:rsidP="008A56FD">
      <w:pPr>
        <w:spacing w:after="0" w:line="240" w:lineRule="auto"/>
        <w:jc w:val="both"/>
        <w:rPr>
          <w:rFonts w:cs="Arial"/>
          <w:lang w:val="es-CO" w:eastAsia="es-ES"/>
        </w:rPr>
      </w:pPr>
      <w:r w:rsidRPr="00D23FA4">
        <w:rPr>
          <w:rFonts w:cs="Arial"/>
          <w:lang w:val="es-CO" w:eastAsia="es-ES"/>
        </w:rPr>
        <w:t xml:space="preserve">Los ambientes de las Unidades de Servicio deben construirse o adecuarse para favorecer el desarrollo, bienestar y seguridad de las niñas y los niños. Tanto el mobiliario como los espacios (escaleras, patios, baños, entre otras) deben estar adaptados a las características y condiciones del servicio de educación inicial. Estos deben responder a las intencionalidades pedagógicas, permitiendo que niñas y niños potencien su desarrollo. </w:t>
      </w:r>
    </w:p>
    <w:p w:rsidR="008A56FD" w:rsidRPr="00D23FA4" w:rsidRDefault="008A56FD" w:rsidP="008A56FD">
      <w:pPr>
        <w:spacing w:after="0" w:line="240" w:lineRule="auto"/>
        <w:jc w:val="both"/>
        <w:rPr>
          <w:rFonts w:cs="Arial"/>
          <w:lang w:val="es-CO" w:eastAsia="es-ES"/>
        </w:rPr>
      </w:pPr>
    </w:p>
    <w:p w:rsidR="008A56FD" w:rsidRPr="00D23FA4" w:rsidRDefault="008A56FD" w:rsidP="008A56FD">
      <w:pPr>
        <w:spacing w:after="0" w:line="240" w:lineRule="auto"/>
        <w:jc w:val="both"/>
        <w:rPr>
          <w:rFonts w:cs="Arial"/>
          <w:lang w:val="es-CO" w:eastAsia="es-ES"/>
        </w:rPr>
      </w:pPr>
      <w:r w:rsidRPr="00D23FA4">
        <w:rPr>
          <w:rFonts w:cs="Arial"/>
          <w:lang w:val="es-CO" w:eastAsia="es-ES"/>
        </w:rPr>
        <w:t xml:space="preserve">Para garantizar el goce efectivo de los derechos de niñas y niños, desde este componente se busca: </w:t>
      </w:r>
    </w:p>
    <w:p w:rsidR="008A56FD" w:rsidRPr="00D23FA4" w:rsidRDefault="008A56FD" w:rsidP="008A56FD">
      <w:pPr>
        <w:spacing w:after="0" w:line="240" w:lineRule="auto"/>
        <w:jc w:val="both"/>
        <w:rPr>
          <w:rFonts w:cs="Arial"/>
          <w:lang w:val="es-CO" w:eastAsia="es-ES"/>
        </w:rPr>
      </w:pPr>
    </w:p>
    <w:p w:rsidR="008A56FD" w:rsidRPr="00D23FA4" w:rsidRDefault="008A56FD" w:rsidP="00D712DC">
      <w:pPr>
        <w:numPr>
          <w:ilvl w:val="0"/>
          <w:numId w:val="101"/>
        </w:numPr>
        <w:spacing w:after="0" w:line="240" w:lineRule="auto"/>
        <w:jc w:val="both"/>
        <w:rPr>
          <w:rFonts w:cs="Arial"/>
          <w:lang w:val="es-CO" w:eastAsia="es-ES"/>
        </w:rPr>
      </w:pPr>
      <w:r w:rsidRPr="00D23FA4">
        <w:rPr>
          <w:rFonts w:cs="Arial"/>
          <w:lang w:val="es-CO" w:eastAsia="es-ES"/>
        </w:rPr>
        <w:t xml:space="preserve">Promover el uso adecuado del material didáctico con las niñas, niños. </w:t>
      </w:r>
    </w:p>
    <w:p w:rsidR="008A56FD" w:rsidRPr="00D23FA4" w:rsidRDefault="008A56FD" w:rsidP="00D712DC">
      <w:pPr>
        <w:numPr>
          <w:ilvl w:val="0"/>
          <w:numId w:val="101"/>
        </w:numPr>
        <w:spacing w:after="0" w:line="240" w:lineRule="auto"/>
        <w:jc w:val="both"/>
        <w:rPr>
          <w:rFonts w:cs="Arial"/>
          <w:lang w:val="es-CO" w:eastAsia="es-ES"/>
        </w:rPr>
      </w:pPr>
      <w:r w:rsidRPr="00D23FA4">
        <w:rPr>
          <w:rFonts w:cs="Arial"/>
          <w:lang w:val="es-CO" w:eastAsia="es-ES"/>
        </w:rPr>
        <w:t xml:space="preserve">Velar por el mantenimiento, orden y seguridad de los espacios físicos donde se realiza la prestación del servicio. </w:t>
      </w:r>
    </w:p>
    <w:p w:rsidR="008A56FD" w:rsidRPr="00D23FA4" w:rsidRDefault="008A56FD" w:rsidP="00D712DC">
      <w:pPr>
        <w:numPr>
          <w:ilvl w:val="0"/>
          <w:numId w:val="101"/>
        </w:numPr>
        <w:spacing w:after="0" w:line="240" w:lineRule="auto"/>
        <w:jc w:val="both"/>
        <w:rPr>
          <w:rFonts w:cs="Arial"/>
          <w:lang w:val="es-CO" w:eastAsia="es-ES"/>
        </w:rPr>
      </w:pPr>
      <w:r w:rsidRPr="00D23FA4">
        <w:rPr>
          <w:rFonts w:cs="Arial"/>
          <w:lang w:val="es-CO" w:eastAsia="es-ES"/>
        </w:rPr>
        <w:t xml:space="preserve">Conservar, custodiar y mantener en buen estado y bajo control la dotación adquirida y recibida con los recursos aportados por el ICBF y elaborar un inventario de la misma. </w:t>
      </w:r>
    </w:p>
    <w:p w:rsidR="008A56FD" w:rsidRPr="00D23FA4" w:rsidRDefault="008A56FD" w:rsidP="00E7372F">
      <w:pPr>
        <w:rPr>
          <w:lang w:eastAsia="es-ES"/>
        </w:rPr>
      </w:pPr>
    </w:p>
    <w:p w:rsidR="008A56FD" w:rsidRPr="00AC7655" w:rsidRDefault="008A56FD" w:rsidP="00E7372F">
      <w:pPr>
        <w:ind w:firstLine="708"/>
        <w:rPr>
          <w:rFonts w:eastAsiaTheme="majorEastAsia"/>
          <w:b/>
        </w:rPr>
      </w:pPr>
      <w:r w:rsidRPr="00AC7655">
        <w:rPr>
          <w:rFonts w:eastAsiaTheme="majorEastAsia"/>
          <w:b/>
        </w:rPr>
        <w:t xml:space="preserve">Movilización Social </w:t>
      </w:r>
    </w:p>
    <w:p w:rsidR="008A56FD" w:rsidRPr="00D23FA4" w:rsidRDefault="008A56FD" w:rsidP="00E7372F">
      <w:pPr>
        <w:rPr>
          <w:rFonts w:cs="Arial"/>
          <w:lang w:eastAsia="es-ES"/>
        </w:rPr>
      </w:pPr>
      <w:r w:rsidRPr="00D23FA4">
        <w:rPr>
          <w:lang w:eastAsia="es-ES"/>
        </w:rPr>
        <w:t xml:space="preserve"> </w:t>
      </w:r>
      <w:r w:rsidRPr="00D23FA4">
        <w:rPr>
          <w:rFonts w:cs="Arial"/>
          <w:lang w:eastAsia="es-ES"/>
        </w:rPr>
        <w:t xml:space="preserve">La movilización social durante el periodo 2016 estuvo enmarcada con los Pactos de la Legalidad y la Transparencia son una estrategia pedagógica que invita a los operadores de servicios de primera infancia, a los funcionarios públicos, a las familias, a los veedores ciudadanos y a los medios de comunicación a ser garantes de la inversión transparente y eficiente de los recursos públicos destinados a la atención integral de la Primera Infancia en Colombia. </w:t>
      </w:r>
    </w:p>
    <w:p w:rsidR="008A56FD" w:rsidRPr="00D23FA4" w:rsidRDefault="008A56F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lang w:eastAsia="es-ES"/>
        </w:rPr>
      </w:pPr>
      <w:r w:rsidRPr="00D23FA4">
        <w:rPr>
          <w:rFonts w:cs="Arial"/>
          <w:lang w:eastAsia="es-ES"/>
        </w:rPr>
        <w:t>El objetivo de los Pactos de Legalidad y Transparencia es el de incluir en la agenda pública la importancia de la legalidad y la transparencia, de tal manera que en los territorios asuman compromisos, posturas y acciones para apoyar la inversión y administración transparente de los recursos públicos destinados a la primera infancia.</w:t>
      </w:r>
    </w:p>
    <w:p w:rsidR="008A56FD" w:rsidRPr="00D23FA4"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D23FA4">
        <w:rPr>
          <w:rFonts w:cs="Arial"/>
          <w:lang w:eastAsia="es-ES"/>
        </w:rPr>
        <w:t xml:space="preserve">Es por este motivo que los Pactos no se limitan solo al llamado del cumplimiento normativo y contractual de dichos servicios, sino que invita a una movilización general para que este sea </w:t>
      </w:r>
      <w:r w:rsidRPr="00D23FA4">
        <w:rPr>
          <w:rFonts w:cs="Arial"/>
          <w:lang w:eastAsia="es-ES"/>
        </w:rPr>
        <w:lastRenderedPageBreak/>
        <w:t xml:space="preserve">entendido como una responsabilidad de las instituciones y de la sociedad en su conjunto y que trasciende de la buena inversión a la calidad en la prestación de los servicios. </w:t>
      </w:r>
    </w:p>
    <w:p w:rsidR="003859A6" w:rsidRPr="00D23FA4" w:rsidRDefault="003859A6" w:rsidP="008A56FD">
      <w:pPr>
        <w:spacing w:after="0" w:line="240" w:lineRule="auto"/>
        <w:jc w:val="both"/>
        <w:rPr>
          <w:rFonts w:cs="Arial"/>
          <w:lang w:eastAsia="es-ES"/>
        </w:rPr>
      </w:pPr>
    </w:p>
    <w:p w:rsidR="008A56FD" w:rsidRPr="00AC7655" w:rsidRDefault="008A56FD" w:rsidP="003859A6">
      <w:pPr>
        <w:ind w:left="708" w:firstLine="708"/>
        <w:rPr>
          <w:b/>
          <w:lang w:eastAsia="es-ES"/>
        </w:rPr>
      </w:pPr>
      <w:r w:rsidRPr="00AC7655">
        <w:rPr>
          <w:b/>
          <w:lang w:eastAsia="es-ES"/>
        </w:rPr>
        <w:t>Plan de Supervisión</w:t>
      </w:r>
    </w:p>
    <w:p w:rsidR="008A56FD" w:rsidRPr="00584AA1" w:rsidRDefault="008A56FD" w:rsidP="008A56FD">
      <w:pPr>
        <w:spacing w:after="0" w:line="240" w:lineRule="auto"/>
        <w:jc w:val="both"/>
        <w:rPr>
          <w:rFonts w:cs="Arial"/>
          <w:lang w:eastAsia="es-ES"/>
        </w:rPr>
      </w:pPr>
      <w:r w:rsidRPr="00584AA1">
        <w:rPr>
          <w:rFonts w:cs="Arial"/>
          <w:lang w:eastAsia="es-ES"/>
        </w:rPr>
        <w:t>La vigencia 2016 se cerró con el indicador de visitas de supervisión en un cumplimiento del 134%, es decir más de 67 mil visitas realizadas en todo el país; pueden destacarse también las siguientes cifras: cobertura de visitas superior al 35% en Unidades de Servicio, 97% de Entidades Administradoras del Servicio y 95% de contratos visitados en todo el territorio nacional. Dicha gestión se logró con un total de 255 supervisores a nivel nacional (para un total de 3.886 contratos), los cuales contaron con 196 equipos de apoyo (uno en cada centro zonal y conformados interdisciplinariamente); es decir, más de 1.000 profesionales velando por los recursos públicos en todo el territorio; adicionalmente, se contó con un equipo de apoyo en Sede Nacional, conformado por 33 profesionales responsables del planteamiento, implementación y asistencia técnica sobre el esquema.</w:t>
      </w:r>
    </w:p>
    <w:p w:rsidR="008A56FD" w:rsidRPr="00584AA1"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584AA1">
        <w:rPr>
          <w:rFonts w:cs="Arial"/>
          <w:lang w:eastAsia="es-ES"/>
        </w:rPr>
        <w:t>Así mismo, el esquema se vio fortalecido con los siguientes valores agregados:</w:t>
      </w:r>
    </w:p>
    <w:p w:rsidR="008A56FD" w:rsidRPr="00584AA1"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584AA1">
        <w:rPr>
          <w:rFonts w:cs="Arial"/>
          <w:lang w:eastAsia="es-ES"/>
        </w:rPr>
        <w:t>HONRAR EL TERRITORIO: pensarse la gestión del nivel nacional atendiendo a las realidades del territorio, a su diversidad y complejidades; por esto: 1) Trabajamos en equipo, 2) Reconocemos a los Directores Regionales como actores fundamentales, 3) Construimos colectivamente el esquema de supervisión con las regionales, 4) Fortalecimos los canales de comunicación escuchando permanentemente lo que sucede en el territorio, 5) Recuperamos la confianza de los equipos y 6) Avanzamos en la concertación de instrumentos de supervisión con las comunidades étnicas, propendiendo por el respeto de las identidades y costumbres de los pueblos en el marco de la calidad de los servicios y la garantía de los derechos.</w:t>
      </w:r>
    </w:p>
    <w:p w:rsidR="008A56FD" w:rsidRPr="00584AA1"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584AA1">
        <w:rPr>
          <w:rFonts w:cs="Arial"/>
          <w:lang w:eastAsia="es-ES"/>
        </w:rPr>
        <w:t xml:space="preserve">RIGOR TÉCNICO: estamos comprometidos con la calidad, por esto la toma de decisiones se realiza siempre de manera técnica y argumentada: 1) Definición de muestra representativa para la programación de visitas de supervisión, garantizando objetividad y solvencia de la información recolectada, 2) Rediseño de los instrumentos de supervisión (pasando de 17 a 4) con estricta correspondencia con las obligaciones contractuales, 3) contabilizar las visitas de manera integral, garantizando que todos los operadores cuenten con resultados en la totalidad de los componentes y 4) Gestión gerencial de la información y gestión del conocimiento entre los equipos de todos los niveles. </w:t>
      </w:r>
    </w:p>
    <w:p w:rsidR="008A56FD" w:rsidRPr="00584AA1" w:rsidRDefault="008A56FD" w:rsidP="008A56FD">
      <w:pPr>
        <w:spacing w:after="0" w:line="240" w:lineRule="auto"/>
        <w:jc w:val="both"/>
        <w:rPr>
          <w:rFonts w:cs="Arial"/>
          <w:lang w:eastAsia="es-ES"/>
        </w:rPr>
      </w:pPr>
    </w:p>
    <w:p w:rsidR="008A56FD" w:rsidRDefault="008A56FD" w:rsidP="008A56FD">
      <w:pPr>
        <w:spacing w:after="0" w:line="240" w:lineRule="auto"/>
        <w:jc w:val="both"/>
        <w:rPr>
          <w:rFonts w:cs="Arial"/>
          <w:lang w:eastAsia="es-ES"/>
        </w:rPr>
      </w:pPr>
      <w:r w:rsidRPr="00584AA1">
        <w:rPr>
          <w:rFonts w:cs="Arial"/>
          <w:lang w:eastAsia="es-ES"/>
        </w:rPr>
        <w:t>Finalmente, los principales retos de la supervisión para 2017 serán garantizar el talento humano (en cantidad, oportunidad y condiciones), así como los recursos que se requieren para llevar a cabo una buena supervisión (gastos de viaje, vehículos, tiquetes y espacios de capacitación).</w:t>
      </w:r>
    </w:p>
    <w:p w:rsidR="0010429D" w:rsidRPr="00D23FA4" w:rsidRDefault="0010429D" w:rsidP="008A56FD">
      <w:pPr>
        <w:spacing w:after="0" w:line="240" w:lineRule="auto"/>
        <w:jc w:val="both"/>
        <w:rPr>
          <w:rFonts w:cs="Arial"/>
          <w:lang w:eastAsia="es-ES"/>
        </w:rPr>
      </w:pPr>
    </w:p>
    <w:p w:rsidR="008A56FD" w:rsidRPr="00D23FA4" w:rsidRDefault="008A56FD" w:rsidP="008A56FD">
      <w:pPr>
        <w:spacing w:after="0" w:line="240" w:lineRule="auto"/>
        <w:jc w:val="both"/>
        <w:rPr>
          <w:rFonts w:cs="Arial"/>
          <w:bCs/>
          <w:sz w:val="20"/>
          <w:lang w:eastAsia="es-ES"/>
        </w:rPr>
      </w:pPr>
    </w:p>
    <w:p w:rsidR="00700951" w:rsidRPr="00700951" w:rsidRDefault="008A56FD" w:rsidP="00700951">
      <w:pPr>
        <w:pStyle w:val="Prrafodelista"/>
        <w:numPr>
          <w:ilvl w:val="2"/>
          <w:numId w:val="239"/>
        </w:numPr>
        <w:spacing w:after="0" w:line="240" w:lineRule="auto"/>
        <w:jc w:val="both"/>
        <w:outlineLvl w:val="1"/>
        <w:rPr>
          <w:rFonts w:cs="Arial"/>
          <w:b/>
        </w:rPr>
      </w:pPr>
      <w:bookmarkStart w:id="54" w:name="_Toc473581405"/>
      <w:r w:rsidRPr="00700951">
        <w:rPr>
          <w:rFonts w:cs="Arial"/>
          <w:b/>
        </w:rPr>
        <w:t>Atención compromisos con madres comunitarias del sindicato SINTRACIHOBI</w:t>
      </w:r>
      <w:bookmarkEnd w:id="54"/>
      <w:r w:rsidRPr="00700951">
        <w:rPr>
          <w:rFonts w:cs="Arial"/>
          <w:b/>
        </w:rPr>
        <w:t xml:space="preserve"> </w:t>
      </w:r>
    </w:p>
    <w:p w:rsidR="00700951" w:rsidRDefault="00700951" w:rsidP="008A56FD">
      <w:pPr>
        <w:spacing w:after="0" w:line="240" w:lineRule="auto"/>
        <w:jc w:val="both"/>
        <w:rPr>
          <w:rFonts w:cs="Arial"/>
        </w:rPr>
      </w:pPr>
    </w:p>
    <w:p w:rsidR="008A56FD" w:rsidRPr="00D23FA4" w:rsidRDefault="008A56FD" w:rsidP="008A56FD">
      <w:pPr>
        <w:spacing w:after="0" w:line="240" w:lineRule="auto"/>
        <w:jc w:val="both"/>
        <w:rPr>
          <w:rFonts w:cs="Arial"/>
        </w:rPr>
      </w:pPr>
      <w:r w:rsidRPr="00D23FA4">
        <w:rPr>
          <w:rFonts w:cs="Arial"/>
        </w:rPr>
        <w:t>Como resultado de la jornada de protesta de las madres comunitarias pertenecientes al sindicato SINTRACIHOBI realizada en abril de 2016, se firmó un acuerdo el 14 de abril, que consta de 29 puntos, 9 de los cuales corresponden a temas nutricionales y 20 están relacionados con temas laborales.</w:t>
      </w:r>
    </w:p>
    <w:p w:rsidR="008A56FD" w:rsidRPr="00D23FA4" w:rsidRDefault="008A56FD" w:rsidP="008A56FD">
      <w:pPr>
        <w:spacing w:after="0" w:line="240" w:lineRule="auto"/>
        <w:jc w:val="both"/>
        <w:rPr>
          <w:rFonts w:cs="Arial"/>
        </w:rPr>
      </w:pPr>
      <w:r w:rsidRPr="00D23FA4">
        <w:rPr>
          <w:rFonts w:cs="Arial"/>
        </w:rPr>
        <w:lastRenderedPageBreak/>
        <w:t>Para cada uno de los puntos del acuerdo se construyó un plan de acción que contiene 105 actividades de las cuales 87 son responsabilidad del ICBF y 18 de entidades externas, por corresponder a temas laborales que deben ser atendidos por los empleadores de las madres comunitarias.</w:t>
      </w:r>
    </w:p>
    <w:p w:rsidR="008A56FD" w:rsidRPr="00D23FA4" w:rsidRDefault="008A56FD" w:rsidP="008A56FD">
      <w:pPr>
        <w:spacing w:after="0" w:line="240" w:lineRule="auto"/>
        <w:jc w:val="both"/>
        <w:rPr>
          <w:rFonts w:cs="Arial"/>
        </w:rPr>
      </w:pPr>
    </w:p>
    <w:p w:rsidR="008A56FD" w:rsidRDefault="008A56FD" w:rsidP="008A56FD">
      <w:pPr>
        <w:spacing w:after="0" w:line="240" w:lineRule="auto"/>
        <w:jc w:val="both"/>
        <w:rPr>
          <w:rFonts w:cs="Arial"/>
        </w:rPr>
      </w:pPr>
      <w:r w:rsidRPr="00D23FA4">
        <w:rPr>
          <w:rFonts w:cs="Arial"/>
        </w:rPr>
        <w:t>A continuación, se presenta el avance de cada uno de los acuerdos:</w:t>
      </w:r>
    </w:p>
    <w:p w:rsidR="008A56FD" w:rsidRPr="00D23FA4" w:rsidRDefault="008A56FD" w:rsidP="008A56FD">
      <w:pPr>
        <w:spacing w:after="0" w:line="240" w:lineRule="auto"/>
        <w:jc w:val="both"/>
        <w:rPr>
          <w:rFonts w:cs="Arial"/>
        </w:rPr>
      </w:pPr>
    </w:p>
    <w:tbl>
      <w:tblPr>
        <w:tblStyle w:val="Tablaconcuadrcula"/>
        <w:tblW w:w="935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988"/>
        <w:gridCol w:w="1275"/>
        <w:gridCol w:w="3544"/>
        <w:gridCol w:w="3544"/>
      </w:tblGrid>
      <w:tr w:rsidR="008A56FD" w:rsidRPr="0010429D" w:rsidTr="003B69B5">
        <w:trPr>
          <w:trHeight w:val="336"/>
          <w:tblHeader/>
        </w:trPr>
        <w:tc>
          <w:tcPr>
            <w:tcW w:w="988" w:type="dxa"/>
            <w:shd w:val="clear" w:color="auto" w:fill="76923C" w:themeFill="accent3" w:themeFillShade="BF"/>
            <w:vAlign w:val="center"/>
          </w:tcPr>
          <w:p w:rsidR="008A56FD" w:rsidRPr="0010429D" w:rsidRDefault="0010429D" w:rsidP="009E7475">
            <w:pPr>
              <w:spacing w:after="0" w:line="240" w:lineRule="auto"/>
              <w:jc w:val="center"/>
              <w:rPr>
                <w:rFonts w:cs="Arial"/>
                <w:b/>
                <w:color w:val="FFFFFF" w:themeColor="background1"/>
                <w:sz w:val="16"/>
                <w:szCs w:val="16"/>
              </w:rPr>
            </w:pPr>
            <w:r w:rsidRPr="0010429D">
              <w:rPr>
                <w:rFonts w:cs="Arial"/>
                <w:b/>
                <w:color w:val="FFFFFF" w:themeColor="background1"/>
                <w:sz w:val="16"/>
                <w:szCs w:val="16"/>
              </w:rPr>
              <w:t>Acuerdo</w:t>
            </w:r>
          </w:p>
        </w:tc>
        <w:tc>
          <w:tcPr>
            <w:tcW w:w="1275" w:type="dxa"/>
            <w:shd w:val="clear" w:color="auto" w:fill="76923C" w:themeFill="accent3" w:themeFillShade="BF"/>
            <w:vAlign w:val="center"/>
          </w:tcPr>
          <w:p w:rsidR="008A56FD" w:rsidRPr="0010429D" w:rsidRDefault="0010429D" w:rsidP="009E7475">
            <w:pPr>
              <w:spacing w:after="0" w:line="240" w:lineRule="auto"/>
              <w:jc w:val="center"/>
              <w:rPr>
                <w:rFonts w:cs="Arial"/>
                <w:b/>
                <w:color w:val="FFFFFF" w:themeColor="background1"/>
                <w:sz w:val="16"/>
                <w:szCs w:val="16"/>
              </w:rPr>
            </w:pPr>
            <w:r w:rsidRPr="0010429D">
              <w:rPr>
                <w:rFonts w:cs="Arial"/>
                <w:b/>
                <w:color w:val="FFFFFF" w:themeColor="background1"/>
                <w:sz w:val="16"/>
                <w:szCs w:val="16"/>
              </w:rPr>
              <w:t>% De Avance</w:t>
            </w:r>
          </w:p>
        </w:tc>
        <w:tc>
          <w:tcPr>
            <w:tcW w:w="3544" w:type="dxa"/>
            <w:shd w:val="clear" w:color="auto" w:fill="76923C" w:themeFill="accent3" w:themeFillShade="BF"/>
            <w:vAlign w:val="center"/>
          </w:tcPr>
          <w:p w:rsidR="008A56FD" w:rsidRPr="0010429D" w:rsidRDefault="0010429D" w:rsidP="009E7475">
            <w:pPr>
              <w:spacing w:after="0" w:line="240" w:lineRule="auto"/>
              <w:jc w:val="center"/>
              <w:rPr>
                <w:rFonts w:cs="Arial"/>
                <w:b/>
                <w:color w:val="FFFFFF" w:themeColor="background1"/>
                <w:sz w:val="16"/>
                <w:szCs w:val="16"/>
              </w:rPr>
            </w:pPr>
            <w:r w:rsidRPr="0010429D">
              <w:rPr>
                <w:rFonts w:cs="Arial"/>
                <w:b/>
                <w:color w:val="FFFFFF" w:themeColor="background1"/>
                <w:sz w:val="16"/>
                <w:szCs w:val="16"/>
              </w:rPr>
              <w:t>Avance Cualitativo</w:t>
            </w:r>
          </w:p>
        </w:tc>
        <w:tc>
          <w:tcPr>
            <w:tcW w:w="3544" w:type="dxa"/>
            <w:shd w:val="clear" w:color="auto" w:fill="76923C" w:themeFill="accent3" w:themeFillShade="BF"/>
            <w:vAlign w:val="center"/>
          </w:tcPr>
          <w:p w:rsidR="0010429D" w:rsidRPr="0010429D" w:rsidRDefault="003B69B5" w:rsidP="003B69B5">
            <w:pPr>
              <w:spacing w:after="0" w:line="240" w:lineRule="auto"/>
              <w:jc w:val="center"/>
              <w:rPr>
                <w:rFonts w:cs="Arial"/>
                <w:b/>
                <w:color w:val="FFFFFF" w:themeColor="background1"/>
                <w:sz w:val="16"/>
                <w:szCs w:val="16"/>
              </w:rPr>
            </w:pPr>
            <w:r>
              <w:rPr>
                <w:rFonts w:cs="Arial"/>
                <w:b/>
                <w:color w:val="FFFFFF" w:themeColor="background1"/>
                <w:sz w:val="16"/>
                <w:szCs w:val="16"/>
              </w:rPr>
              <w:t>Pendiente</w:t>
            </w:r>
          </w:p>
        </w:tc>
      </w:tr>
      <w:tr w:rsidR="008A56FD" w:rsidRPr="0010429D" w:rsidTr="0010429D">
        <w:trPr>
          <w:trHeight w:val="70"/>
        </w:trPr>
        <w:tc>
          <w:tcPr>
            <w:tcW w:w="9351" w:type="dxa"/>
            <w:gridSpan w:val="4"/>
            <w:shd w:val="clear" w:color="auto" w:fill="E2EFDA"/>
            <w:vAlign w:val="center"/>
          </w:tcPr>
          <w:p w:rsidR="008A56FD" w:rsidRPr="0010429D" w:rsidRDefault="0010429D" w:rsidP="009E7475">
            <w:pPr>
              <w:spacing w:after="0" w:line="240" w:lineRule="auto"/>
              <w:jc w:val="center"/>
              <w:rPr>
                <w:rFonts w:cs="Arial"/>
                <w:b/>
                <w:color w:val="FFFFFF" w:themeColor="background1"/>
                <w:sz w:val="16"/>
                <w:szCs w:val="16"/>
              </w:rPr>
            </w:pPr>
            <w:r w:rsidRPr="0010429D">
              <w:rPr>
                <w:rFonts w:cs="Arial"/>
                <w:b/>
                <w:sz w:val="16"/>
                <w:szCs w:val="16"/>
              </w:rPr>
              <w:t>Temas Laborales</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43%</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 xml:space="preserve">Hasta el 01 de junio de 2016 mediante oficio E-2016-251391-0101, en la mesa laboral SINTRACIHOBI entrego 7 casos (6 individuales y 1 colectivo) de MC no contratadas.  </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 xml:space="preserve">Acciones adicionales del ICBF frente a la vinculación de MC: </w:t>
            </w:r>
          </w:p>
          <w:p w:rsidR="008A56FD" w:rsidRPr="0010429D" w:rsidRDefault="008A56FD" w:rsidP="009E7475">
            <w:pPr>
              <w:spacing w:after="0" w:line="240" w:lineRule="auto"/>
              <w:jc w:val="both"/>
              <w:rPr>
                <w:rFonts w:cs="Arial"/>
                <w:sz w:val="16"/>
                <w:szCs w:val="16"/>
              </w:rPr>
            </w:pPr>
          </w:p>
          <w:p w:rsidR="008A56FD" w:rsidRPr="0010429D" w:rsidRDefault="008A56FD" w:rsidP="00D712DC">
            <w:pPr>
              <w:numPr>
                <w:ilvl w:val="0"/>
                <w:numId w:val="139"/>
              </w:numPr>
              <w:spacing w:after="0" w:line="240" w:lineRule="auto"/>
              <w:ind w:left="175" w:hanging="141"/>
              <w:jc w:val="both"/>
              <w:rPr>
                <w:rFonts w:cs="Arial"/>
                <w:sz w:val="16"/>
                <w:szCs w:val="16"/>
              </w:rPr>
            </w:pPr>
            <w:r w:rsidRPr="0010429D">
              <w:rPr>
                <w:rFonts w:cs="Arial"/>
                <w:sz w:val="16"/>
                <w:szCs w:val="16"/>
              </w:rPr>
              <w:t>Circular No. 003 de 02 Marzo/16</w:t>
            </w:r>
          </w:p>
          <w:p w:rsidR="008A56FD" w:rsidRPr="0010429D" w:rsidRDefault="008A56FD" w:rsidP="00D712DC">
            <w:pPr>
              <w:numPr>
                <w:ilvl w:val="0"/>
                <w:numId w:val="139"/>
              </w:numPr>
              <w:spacing w:after="0" w:line="240" w:lineRule="auto"/>
              <w:ind w:left="175" w:hanging="141"/>
              <w:jc w:val="both"/>
              <w:rPr>
                <w:rFonts w:cs="Arial"/>
                <w:sz w:val="16"/>
                <w:szCs w:val="16"/>
              </w:rPr>
            </w:pPr>
            <w:r w:rsidRPr="0010429D">
              <w:rPr>
                <w:rFonts w:cs="Arial"/>
                <w:sz w:val="16"/>
                <w:szCs w:val="16"/>
              </w:rPr>
              <w:t>Memorando S-2016-207647-0101 del 03 Mayo/16</w:t>
            </w:r>
          </w:p>
          <w:p w:rsidR="008A56FD" w:rsidRPr="0010429D" w:rsidRDefault="008A56FD" w:rsidP="00D712DC">
            <w:pPr>
              <w:numPr>
                <w:ilvl w:val="0"/>
                <w:numId w:val="139"/>
              </w:numPr>
              <w:spacing w:after="0" w:line="240" w:lineRule="auto"/>
              <w:ind w:left="175" w:hanging="141"/>
              <w:jc w:val="both"/>
              <w:rPr>
                <w:rFonts w:cs="Arial"/>
                <w:sz w:val="16"/>
                <w:szCs w:val="16"/>
              </w:rPr>
            </w:pPr>
            <w:r w:rsidRPr="0010429D">
              <w:rPr>
                <w:rFonts w:cs="Arial"/>
                <w:sz w:val="16"/>
                <w:szCs w:val="16"/>
              </w:rPr>
              <w:t>Memorando S-2016-574349-0101 del 01 Nov/16</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está realizando por parte del ICBF verificación de la contratación y del debido proceso. Pendiente respuestas de Regionales.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Pendiente por SINTRACIHOBI entrega de los 1200 casos de madres comunitarias no contratadas.</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11</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Acciones del ICBF para las adiciones y prórrogas de los contratos de aporte hasta el 31 de octubre de 2016:</w:t>
            </w:r>
          </w:p>
          <w:p w:rsidR="008A56FD" w:rsidRPr="0010429D" w:rsidRDefault="008A56FD" w:rsidP="009E7475">
            <w:pPr>
              <w:spacing w:after="0" w:line="240" w:lineRule="auto"/>
              <w:ind w:left="1440"/>
              <w:jc w:val="both"/>
              <w:rPr>
                <w:rFonts w:cs="Arial"/>
                <w:sz w:val="16"/>
                <w:szCs w:val="16"/>
              </w:rPr>
            </w:pPr>
          </w:p>
          <w:p w:rsidR="008A56FD" w:rsidRPr="0010429D" w:rsidRDefault="008A56FD" w:rsidP="00D712DC">
            <w:pPr>
              <w:numPr>
                <w:ilvl w:val="0"/>
                <w:numId w:val="138"/>
              </w:numPr>
              <w:spacing w:after="0" w:line="240" w:lineRule="auto"/>
              <w:ind w:left="175" w:hanging="141"/>
              <w:jc w:val="both"/>
              <w:rPr>
                <w:rFonts w:cs="Arial"/>
                <w:sz w:val="16"/>
                <w:szCs w:val="16"/>
              </w:rPr>
            </w:pPr>
            <w:r w:rsidRPr="0010429D">
              <w:rPr>
                <w:rFonts w:cs="Arial"/>
                <w:sz w:val="16"/>
                <w:szCs w:val="16"/>
              </w:rPr>
              <w:t xml:space="preserve">Memorando </w:t>
            </w:r>
            <w:hyperlink r:id="rId19" w:history="1">
              <w:r w:rsidRPr="0010429D">
                <w:rPr>
                  <w:rFonts w:cs="Arial"/>
                  <w:sz w:val="16"/>
                  <w:szCs w:val="16"/>
                  <w:u w:val="single"/>
                </w:rPr>
                <w:t>S-2016-211795-0101</w:t>
              </w:r>
            </w:hyperlink>
            <w:r w:rsidRPr="0010429D">
              <w:rPr>
                <w:rFonts w:cs="Arial"/>
                <w:sz w:val="16"/>
                <w:szCs w:val="16"/>
              </w:rPr>
              <w:t xml:space="preserve"> del 05 Mayo/16, con orientaciones a las Regionales</w:t>
            </w:r>
          </w:p>
          <w:p w:rsidR="008A56FD" w:rsidRPr="0010429D" w:rsidRDefault="009A3CC4" w:rsidP="00D712DC">
            <w:pPr>
              <w:numPr>
                <w:ilvl w:val="0"/>
                <w:numId w:val="138"/>
              </w:numPr>
              <w:spacing w:after="0" w:line="240" w:lineRule="auto"/>
              <w:ind w:left="175" w:hanging="141"/>
              <w:jc w:val="both"/>
              <w:rPr>
                <w:rFonts w:cs="Arial"/>
                <w:sz w:val="16"/>
                <w:szCs w:val="16"/>
              </w:rPr>
            </w:pPr>
            <w:hyperlink r:id="rId20" w:history="1">
              <w:r w:rsidR="008A56FD" w:rsidRPr="0010429D">
                <w:rPr>
                  <w:rFonts w:cs="Arial"/>
                  <w:sz w:val="16"/>
                  <w:szCs w:val="16"/>
                  <w:u w:val="single"/>
                </w:rPr>
                <w:t>Videoconferencia</w:t>
              </w:r>
            </w:hyperlink>
            <w:r w:rsidR="008A56FD" w:rsidRPr="0010429D">
              <w:rPr>
                <w:rFonts w:cs="Arial"/>
                <w:sz w:val="16"/>
                <w:szCs w:val="16"/>
              </w:rPr>
              <w:t xml:space="preserve"> con orientaciones a las Regionales.</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rPr>
          <w:trHeight w:val="2643"/>
        </w:trPr>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12 - 16</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Para los contratos con vigencias futuras, se cuenta con las clausulas en las minutas, aprobadas por la Dirección de Contratación ICBF y Ministerio de Trabajo que dan cumplimiento al acuerdo frente a la vocación de permanencia y estabilidad laboral de las madres comunitarias.</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Desde el Ministerio de Trabajo se aclaró en la mesa de seguimiento del 24-25-31 de Octubre de 2016:</w:t>
            </w:r>
          </w:p>
          <w:p w:rsidR="008A56FD" w:rsidRPr="0010429D" w:rsidRDefault="008A56FD" w:rsidP="009E7475">
            <w:pPr>
              <w:spacing w:after="0" w:line="240" w:lineRule="auto"/>
              <w:jc w:val="both"/>
              <w:rPr>
                <w:rFonts w:cs="Arial"/>
                <w:sz w:val="16"/>
                <w:szCs w:val="16"/>
              </w:rPr>
            </w:pPr>
          </w:p>
          <w:p w:rsidR="008A56FD" w:rsidRPr="0010429D" w:rsidRDefault="008A56FD" w:rsidP="00D712DC">
            <w:pPr>
              <w:numPr>
                <w:ilvl w:val="0"/>
                <w:numId w:val="138"/>
              </w:numPr>
              <w:spacing w:after="0" w:line="240" w:lineRule="auto"/>
              <w:ind w:left="175" w:hanging="175"/>
              <w:jc w:val="both"/>
              <w:rPr>
                <w:rFonts w:cs="Arial"/>
                <w:sz w:val="16"/>
                <w:szCs w:val="16"/>
              </w:rPr>
            </w:pPr>
            <w:r w:rsidRPr="0010429D">
              <w:rPr>
                <w:rFonts w:cs="Arial"/>
                <w:sz w:val="16"/>
                <w:szCs w:val="16"/>
              </w:rPr>
              <w:t>El ICBF no podrá obligar a la EAS a realizar contratación a término indefinido, ya que no puede apropiar recursos, más allá de las vigencias futuras.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El ICBF para las vigencias 2016, 2017 y 2018, atendiendo a las vigencias futuras otorgadas para la suscripción de contratos de aporte que contemplan un plazo de 1° de noviembre hasta julio de 2018, incluye dentro de los mismos las siguientes cláusulas: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contextualSpacing/>
              <w:jc w:val="both"/>
              <w:rPr>
                <w:rFonts w:cs="Arial"/>
                <w:sz w:val="16"/>
                <w:szCs w:val="16"/>
              </w:rPr>
            </w:pPr>
            <w:r w:rsidRPr="0010429D">
              <w:rPr>
                <w:rFonts w:cs="Arial"/>
                <w:sz w:val="16"/>
                <w:szCs w:val="16"/>
              </w:rPr>
              <w:t xml:space="preserve">Obligaciones específicas de las EAS. Obligaciones para el inicio de la atención: "Asegurar la incorporación, permanencia y estabilidad laboral durante el plazo de ejecución del presente contrato de aporte, de las madres y padres comunitarios requeridos para el cumplimiento del objeto de este contrato y que se encontraban vinculadas a 31 de octubre de 2016, en el marco de los lineamientos y manuales establecidos, siempre que no hayan incurrido en incumplimiento del contrato laboral, del reglamento interno de </w:t>
            </w:r>
            <w:r w:rsidRPr="0010429D">
              <w:rPr>
                <w:rFonts w:cs="Arial"/>
                <w:sz w:val="16"/>
                <w:szCs w:val="16"/>
              </w:rPr>
              <w:lastRenderedPageBreak/>
              <w:t>trabajo o de los lineamientos del programa de Hogares Comunitarios de Bienestar".</w:t>
            </w:r>
          </w:p>
          <w:p w:rsidR="008A56FD" w:rsidRPr="0010429D" w:rsidRDefault="008A56FD" w:rsidP="009E7475">
            <w:pPr>
              <w:spacing w:after="0" w:line="240" w:lineRule="auto"/>
              <w:ind w:left="426"/>
              <w:contextualSpacing/>
              <w:jc w:val="both"/>
              <w:rPr>
                <w:rFonts w:cs="Arial"/>
                <w:sz w:val="16"/>
                <w:szCs w:val="16"/>
              </w:rPr>
            </w:pPr>
          </w:p>
          <w:p w:rsidR="008A56FD" w:rsidRPr="0010429D" w:rsidRDefault="008A56FD" w:rsidP="009E7475">
            <w:pPr>
              <w:spacing w:after="0" w:line="240" w:lineRule="auto"/>
              <w:contextualSpacing/>
              <w:jc w:val="both"/>
              <w:rPr>
                <w:rFonts w:cs="Arial"/>
                <w:sz w:val="16"/>
                <w:szCs w:val="16"/>
              </w:rPr>
            </w:pPr>
            <w:r w:rsidRPr="0010429D">
              <w:rPr>
                <w:rFonts w:cs="Arial"/>
                <w:sz w:val="16"/>
                <w:szCs w:val="16"/>
              </w:rPr>
              <w:t>Obligaciones específicas de las EAS. Obligaciones relacionadas con el talento humano. "Asegurar la incorporación, permanencia y estabilidad laboral durante el plazo de ejecución del presente contrato de aporte, de las madres y padres comunitarios requeridos para el cumplimiento del objeto de este contrato y que se encontraban vinculados a 31 de octubre de 2016, en el marco de los lineamientos y manuales establecidos, siempre que a la fecha indicada no hayan incurrido en incumplimiento al contrato laboral, reglamento interno de trabajo o de los lineamientos del programa de HCB".</w:t>
            </w:r>
          </w:p>
          <w:p w:rsidR="008A56FD" w:rsidRPr="0010429D" w:rsidRDefault="008A56FD" w:rsidP="009E7475">
            <w:pPr>
              <w:spacing w:after="0" w:line="240" w:lineRule="auto"/>
              <w:ind w:left="142"/>
              <w:contextualSpacing/>
              <w:jc w:val="both"/>
              <w:rPr>
                <w:rFonts w:cs="Arial"/>
                <w:sz w:val="16"/>
                <w:szCs w:val="16"/>
              </w:rPr>
            </w:pPr>
          </w:p>
          <w:p w:rsidR="008A56FD" w:rsidRPr="0010429D" w:rsidRDefault="008A56FD" w:rsidP="009E7475">
            <w:pPr>
              <w:spacing w:after="0" w:line="240" w:lineRule="auto"/>
              <w:rPr>
                <w:rFonts w:cs="Arial"/>
                <w:sz w:val="16"/>
                <w:szCs w:val="16"/>
              </w:rPr>
            </w:pPr>
            <w:r w:rsidRPr="0010429D">
              <w:rPr>
                <w:rFonts w:cs="Arial"/>
                <w:sz w:val="16"/>
                <w:szCs w:val="16"/>
              </w:rPr>
              <w:t>Es en los términos expuestos que se atiende lo pactado en el referido acuerdo, en el marco de las competencias que tiene el ICBF para ello y las posibilidades que la naturaleza del contrato de aporte brinda.</w:t>
            </w:r>
          </w:p>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lastRenderedPageBreak/>
              <w:t>13</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33%</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han realizado las siguientes mesas:</w:t>
            </w:r>
          </w:p>
          <w:p w:rsidR="008A56FD" w:rsidRPr="0010429D" w:rsidRDefault="008A56FD" w:rsidP="00D712DC">
            <w:pPr>
              <w:numPr>
                <w:ilvl w:val="1"/>
                <w:numId w:val="140"/>
              </w:numPr>
              <w:tabs>
                <w:tab w:val="num" w:pos="1026"/>
              </w:tabs>
              <w:spacing w:after="0" w:line="240" w:lineRule="auto"/>
              <w:ind w:left="317" w:hanging="283"/>
              <w:jc w:val="both"/>
              <w:rPr>
                <w:rFonts w:cs="Arial"/>
                <w:sz w:val="16"/>
                <w:szCs w:val="16"/>
              </w:rPr>
            </w:pPr>
            <w:r w:rsidRPr="0010429D">
              <w:rPr>
                <w:rFonts w:cs="Arial"/>
                <w:sz w:val="16"/>
                <w:szCs w:val="16"/>
              </w:rPr>
              <w:t>Mesa de Seguimiento – mayo 18 de 2016</w:t>
            </w:r>
          </w:p>
          <w:p w:rsidR="008A56FD" w:rsidRPr="0010429D" w:rsidRDefault="008A56FD" w:rsidP="00D712DC">
            <w:pPr>
              <w:numPr>
                <w:ilvl w:val="1"/>
                <w:numId w:val="140"/>
              </w:numPr>
              <w:tabs>
                <w:tab w:val="num" w:pos="1026"/>
              </w:tabs>
              <w:spacing w:after="0" w:line="240" w:lineRule="auto"/>
              <w:ind w:left="317" w:hanging="283"/>
              <w:jc w:val="both"/>
              <w:rPr>
                <w:rFonts w:cs="Arial"/>
                <w:sz w:val="16"/>
                <w:szCs w:val="16"/>
              </w:rPr>
            </w:pPr>
            <w:r w:rsidRPr="0010429D">
              <w:rPr>
                <w:rFonts w:cs="Arial"/>
                <w:sz w:val="16"/>
                <w:szCs w:val="16"/>
              </w:rPr>
              <w:t>3 Mesa Laboral – 09 agosto de 2016</w:t>
            </w:r>
          </w:p>
          <w:p w:rsidR="008A56FD" w:rsidRPr="0010429D" w:rsidRDefault="008A56FD" w:rsidP="00D712DC">
            <w:pPr>
              <w:numPr>
                <w:ilvl w:val="1"/>
                <w:numId w:val="140"/>
              </w:numPr>
              <w:tabs>
                <w:tab w:val="num" w:pos="1026"/>
              </w:tabs>
              <w:spacing w:after="0" w:line="240" w:lineRule="auto"/>
              <w:ind w:left="317" w:hanging="283"/>
              <w:jc w:val="both"/>
              <w:rPr>
                <w:rFonts w:cs="Arial"/>
                <w:sz w:val="16"/>
                <w:szCs w:val="16"/>
              </w:rPr>
            </w:pPr>
            <w:r w:rsidRPr="0010429D">
              <w:rPr>
                <w:rFonts w:cs="Arial"/>
                <w:sz w:val="16"/>
                <w:szCs w:val="16"/>
              </w:rPr>
              <w:t>2 Mesa Seguimiento – 09 agosto de 2016</w:t>
            </w:r>
          </w:p>
          <w:p w:rsidR="008A56FD" w:rsidRPr="0010429D" w:rsidRDefault="008A56FD" w:rsidP="009E7475">
            <w:pPr>
              <w:spacing w:after="0" w:line="240" w:lineRule="auto"/>
              <w:jc w:val="both"/>
              <w:rPr>
                <w:rFonts w:cs="Arial"/>
                <w:sz w:val="16"/>
                <w:szCs w:val="16"/>
              </w:rPr>
            </w:pPr>
            <w:r w:rsidRPr="0010429D">
              <w:rPr>
                <w:rFonts w:cs="Arial"/>
                <w:sz w:val="16"/>
                <w:szCs w:val="16"/>
              </w:rPr>
              <w:t>Pero no hay listado de MC con casos de no pago de SSSG del mes de enero.</w:t>
            </w:r>
          </w:p>
        </w:tc>
        <w:tc>
          <w:tcPr>
            <w:tcW w:w="3544" w:type="dxa"/>
            <w:vAlign w:val="center"/>
          </w:tcPr>
          <w:p w:rsidR="008A56FD" w:rsidRPr="0010429D" w:rsidRDefault="008A56FD" w:rsidP="009E7475">
            <w:pPr>
              <w:spacing w:after="0" w:line="240" w:lineRule="auto"/>
              <w:jc w:val="both"/>
              <w:rPr>
                <w:rFonts w:cs="Arial"/>
                <w:sz w:val="16"/>
                <w:szCs w:val="16"/>
              </w:rPr>
            </w:pPr>
            <w:r w:rsidRPr="003B69B5">
              <w:rPr>
                <w:rFonts w:cs="Arial"/>
                <w:sz w:val="16"/>
                <w:szCs w:val="16"/>
              </w:rPr>
              <w:t xml:space="preserve">Pendiente por parte de </w:t>
            </w:r>
            <w:r w:rsidRPr="003B69B5">
              <w:rPr>
                <w:rFonts w:cs="Arial"/>
                <w:b/>
                <w:bCs/>
                <w:sz w:val="16"/>
                <w:szCs w:val="16"/>
              </w:rPr>
              <w:t xml:space="preserve">SINTRACIHOBI </w:t>
            </w:r>
            <w:r w:rsidRPr="003B69B5">
              <w:rPr>
                <w:rFonts w:cs="Arial"/>
                <w:sz w:val="16"/>
                <w:szCs w:val="16"/>
              </w:rPr>
              <w:t xml:space="preserve">el listado de MC </w:t>
            </w:r>
            <w:r w:rsidRPr="003B69B5">
              <w:rPr>
                <w:rFonts w:cs="Arial"/>
                <w:b/>
                <w:bCs/>
                <w:sz w:val="16"/>
                <w:szCs w:val="16"/>
              </w:rPr>
              <w:t>con casos del pago de SSSG</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14</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Mediante Radicado: S-2016-035988 del 29 de septiembre de 2016, firmado por FERNANDO JIMÉNEZ RODRÍGUEZ - Secretario Ejecutivo Consejo Superior de Política Fiscal – CONFIS, comunican al ICBF la aprobación de las vigencias futuras.</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15</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modificó el manual de contratación del ICBF en el numeral 4.3 para la contratación de las asociaciones.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 xml:space="preserve">Con vigencias futuras se contrataron </w:t>
            </w:r>
            <w:r w:rsidRPr="0010429D">
              <w:rPr>
                <w:rFonts w:cs="Arial"/>
                <w:b/>
                <w:bCs/>
                <w:sz w:val="16"/>
                <w:szCs w:val="16"/>
              </w:rPr>
              <w:t>87,02</w:t>
            </w:r>
            <w:r w:rsidRPr="0010429D">
              <w:rPr>
                <w:rFonts w:cs="Arial"/>
                <w:sz w:val="16"/>
                <w:szCs w:val="16"/>
              </w:rPr>
              <w:t xml:space="preserve"> % de asociaciones de padres y madres usuarios del servicio y de padres usuarios y/o madres comunitarias, que equivalen al </w:t>
            </w:r>
            <w:r w:rsidRPr="0010429D">
              <w:rPr>
                <w:rFonts w:cs="Arial"/>
                <w:b/>
                <w:bCs/>
                <w:sz w:val="16"/>
                <w:szCs w:val="16"/>
              </w:rPr>
              <w:t>64,70</w:t>
            </w:r>
            <w:r w:rsidRPr="0010429D">
              <w:rPr>
                <w:rFonts w:cs="Arial"/>
                <w:sz w:val="16"/>
                <w:szCs w:val="16"/>
              </w:rPr>
              <w:t xml:space="preserve">% de cupos. </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17</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33%</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1er Reporte: 01 junio de 2016 -17 casos de madres comunitarias vulnerables por su condición de salud. radicado E-2016-251428-0101</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encuentra en verificación de la Regional del ICBF, los debidos procesos.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Reunión entre ICBF y Ministerio de Salud, para la revisión de los 74 casos.</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18</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La mesa interinstitucional, conformada por el Ministerio de Trabajo, Procuraduría General de la Nación y el ICBF, ha sesionado de manera permanente para atender los casos reportados por el sindicato SINTRACIHOBI, respecto de una posible vulneración de los derechos laborales a las madres comunitarias por parte de sus empleadores.  Cada caso es particular y concreto, es por ello que se puede dar una mirada general y establecer una ruta única de revisión.</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encuentra en proceso de formulación.</w:t>
            </w:r>
          </w:p>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lastRenderedPageBreak/>
              <w:t>19</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 xml:space="preserve">El </w:t>
            </w:r>
            <w:r w:rsidRPr="0010429D">
              <w:rPr>
                <w:rFonts w:cs="Arial"/>
                <w:b/>
                <w:bCs/>
                <w:sz w:val="16"/>
                <w:szCs w:val="16"/>
              </w:rPr>
              <w:t>ICBF</w:t>
            </w:r>
            <w:r w:rsidRPr="0010429D">
              <w:rPr>
                <w:rFonts w:cs="Arial"/>
                <w:sz w:val="16"/>
                <w:szCs w:val="16"/>
              </w:rPr>
              <w:t>, expidió desde el 25 de marzo de 2015, la Guía de Supervisión de Contratos y Convenios N° G1.M1.MPA1.P6. En este documento se brindan los lineamientos a los supervisores de los contratos y convenios, sobre el seguimiento, control y vigilancia que deben ejercer sobre la ejecución de los contratos suscritos para la adquisición de bienes, obras o servicios.</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20</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recibió citación al Senado para debatir el Proyecto de Ley, para el 17 de agosto de 2016.</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21</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están realizando las mesas laborales en cada uno de los centros zonales donde hay representación de SINTRACIHOBI</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22 – 23 - 24</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Mediante Memorando No.83673 del 2 de mayo de 2016, se solicitó a las Direcciones Territoriales del Ministerio del Trabajo elaborar conjuntamente con los Directores Regionales del ICBF, el cronograma de asistencias preventivas a realizar en las EAS.  Los temas a tratar son: derecho laboral individual y derecho laboral colectivo dentro del cual se encuentra el derecho de asociación y libertad sindical.</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Pendiente por parte de SINTRACIHOBI el listado de las madres con su respectivo número de cuenta, identificación de empleadores.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El Ministerio de Trabajo realizará reuniones periódicamente para trabajar con las madres comunitarias los casos de descuento sindical y permiso sindical.</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25</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realizó la revisión y redacción de la cláusula para incluirla en las minutas de los contratos de aporte de CDI y Familiar hasta el 31 de octubre de 2016 entre el ICBF y las EAS que permita asegurar la incorporación y permanencia del talento humano que se desempeñaban en las unidades de servicio en calidad de Madres Comunitarias.</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26</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A la fecha SINTRACIHOBI no reportó al ICBF - Sede casos de represalias.</w:t>
            </w:r>
          </w:p>
          <w:p w:rsidR="008A56FD" w:rsidRPr="0010429D" w:rsidRDefault="008A56FD" w:rsidP="009E7475">
            <w:pPr>
              <w:spacing w:after="0" w:line="240" w:lineRule="auto"/>
              <w:jc w:val="both"/>
              <w:rPr>
                <w:rFonts w:cs="Arial"/>
                <w:sz w:val="16"/>
                <w:szCs w:val="16"/>
              </w:rPr>
            </w:pPr>
          </w:p>
          <w:p w:rsidR="008A56FD" w:rsidRPr="0010429D" w:rsidRDefault="008A56FD" w:rsidP="009E7475">
            <w:pPr>
              <w:spacing w:after="0" w:line="240" w:lineRule="auto"/>
              <w:jc w:val="both"/>
              <w:rPr>
                <w:rFonts w:cs="Arial"/>
                <w:sz w:val="16"/>
                <w:szCs w:val="16"/>
              </w:rPr>
            </w:pPr>
            <w:r w:rsidRPr="0010429D">
              <w:rPr>
                <w:rFonts w:cs="Arial"/>
                <w:sz w:val="16"/>
                <w:szCs w:val="16"/>
              </w:rPr>
              <w:t>En las mesas de seguimiento SINTRACIHOBI manifestó que hubo 3 casos pero fueron solucionados en territorio.</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27</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100%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 reestableció la prestación del servicio HCB el lunes 18 de abril de 2016</w:t>
            </w:r>
          </w:p>
        </w:tc>
        <w:tc>
          <w:tcPr>
            <w:tcW w:w="3544" w:type="dxa"/>
            <w:vAlign w:val="center"/>
          </w:tcPr>
          <w:p w:rsidR="008A56FD" w:rsidRPr="0010429D" w:rsidRDefault="008A56FD" w:rsidP="009E7475">
            <w:pPr>
              <w:spacing w:after="0" w:line="240" w:lineRule="auto"/>
              <w:jc w:val="both"/>
              <w:rPr>
                <w:rFonts w:cs="Arial"/>
                <w:sz w:val="16"/>
                <w:szCs w:val="16"/>
              </w:rPr>
            </w:pP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28</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67%</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A la fecha se han realizado 3 mesas de seguimiento:</w:t>
            </w:r>
          </w:p>
          <w:p w:rsidR="008A56FD" w:rsidRPr="0010429D" w:rsidRDefault="008A56FD" w:rsidP="00D712DC">
            <w:pPr>
              <w:numPr>
                <w:ilvl w:val="1"/>
                <w:numId w:val="141"/>
              </w:numPr>
              <w:tabs>
                <w:tab w:val="num" w:pos="1168"/>
              </w:tabs>
              <w:spacing w:after="0" w:line="240" w:lineRule="auto"/>
              <w:ind w:left="317" w:hanging="283"/>
              <w:jc w:val="both"/>
              <w:rPr>
                <w:rFonts w:cs="Arial"/>
                <w:sz w:val="16"/>
                <w:szCs w:val="16"/>
              </w:rPr>
            </w:pPr>
            <w:r w:rsidRPr="0010429D">
              <w:rPr>
                <w:rFonts w:cs="Arial"/>
                <w:sz w:val="16"/>
                <w:szCs w:val="16"/>
              </w:rPr>
              <w:t>Mesa de Seguimiento 18 mayo de 2016</w:t>
            </w:r>
          </w:p>
          <w:p w:rsidR="008A56FD" w:rsidRPr="0010429D" w:rsidRDefault="008A56FD" w:rsidP="00D712DC">
            <w:pPr>
              <w:numPr>
                <w:ilvl w:val="1"/>
                <w:numId w:val="141"/>
              </w:numPr>
              <w:tabs>
                <w:tab w:val="num" w:pos="1168"/>
              </w:tabs>
              <w:spacing w:after="0" w:line="240" w:lineRule="auto"/>
              <w:ind w:left="317" w:hanging="283"/>
              <w:jc w:val="both"/>
              <w:rPr>
                <w:rFonts w:cs="Arial"/>
                <w:sz w:val="16"/>
                <w:szCs w:val="16"/>
              </w:rPr>
            </w:pPr>
            <w:r w:rsidRPr="0010429D">
              <w:rPr>
                <w:rFonts w:cs="Arial"/>
                <w:sz w:val="16"/>
                <w:szCs w:val="16"/>
              </w:rPr>
              <w:t>Mesa de Seguimiento 09 agosto de 2016</w:t>
            </w:r>
          </w:p>
          <w:p w:rsidR="008A56FD" w:rsidRPr="0010429D" w:rsidRDefault="008A56FD" w:rsidP="00D712DC">
            <w:pPr>
              <w:numPr>
                <w:ilvl w:val="1"/>
                <w:numId w:val="141"/>
              </w:numPr>
              <w:tabs>
                <w:tab w:val="num" w:pos="1168"/>
              </w:tabs>
              <w:spacing w:after="0" w:line="240" w:lineRule="auto"/>
              <w:ind w:left="317" w:hanging="283"/>
              <w:jc w:val="both"/>
              <w:rPr>
                <w:rFonts w:cs="Arial"/>
                <w:sz w:val="16"/>
                <w:szCs w:val="16"/>
              </w:rPr>
            </w:pPr>
            <w:r w:rsidRPr="0010429D">
              <w:rPr>
                <w:rFonts w:cs="Arial"/>
                <w:sz w:val="16"/>
                <w:szCs w:val="16"/>
              </w:rPr>
              <w:t>Mesa de Seguimiento 24 – 25 – 31 octubre de 2016</w:t>
            </w:r>
          </w:p>
          <w:p w:rsidR="008A56FD" w:rsidRPr="0010429D" w:rsidRDefault="008A56FD" w:rsidP="00D712DC">
            <w:pPr>
              <w:numPr>
                <w:ilvl w:val="1"/>
                <w:numId w:val="141"/>
              </w:numPr>
              <w:tabs>
                <w:tab w:val="num" w:pos="1168"/>
              </w:tabs>
              <w:spacing w:after="0" w:line="240" w:lineRule="auto"/>
              <w:ind w:left="317" w:hanging="283"/>
              <w:jc w:val="both"/>
              <w:rPr>
                <w:rFonts w:cs="Arial"/>
                <w:sz w:val="16"/>
                <w:szCs w:val="16"/>
              </w:rPr>
            </w:pPr>
            <w:r w:rsidRPr="0010429D">
              <w:rPr>
                <w:rFonts w:cs="Arial"/>
                <w:sz w:val="16"/>
                <w:szCs w:val="16"/>
              </w:rPr>
              <w:t>Mesa de Seguimiento Diciembre 15 de 2016</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Seguimiento al cumplimiento final del acuerdo y sus 29 puntos.</w:t>
            </w:r>
          </w:p>
        </w:tc>
      </w:tr>
      <w:tr w:rsidR="008A56FD" w:rsidRPr="0010429D" w:rsidTr="0010429D">
        <w:tc>
          <w:tcPr>
            <w:tcW w:w="988"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29</w:t>
            </w:r>
          </w:p>
        </w:tc>
        <w:tc>
          <w:tcPr>
            <w:tcW w:w="1275" w:type="dxa"/>
            <w:vAlign w:val="center"/>
          </w:tcPr>
          <w:p w:rsidR="008A56FD" w:rsidRPr="0010429D" w:rsidRDefault="008A56FD" w:rsidP="009E7475">
            <w:pPr>
              <w:spacing w:after="0" w:line="240" w:lineRule="auto"/>
              <w:jc w:val="center"/>
              <w:rPr>
                <w:rFonts w:cs="Arial"/>
                <w:sz w:val="16"/>
                <w:szCs w:val="16"/>
              </w:rPr>
            </w:pPr>
            <w:r w:rsidRPr="0010429D">
              <w:rPr>
                <w:rFonts w:cs="Arial"/>
                <w:sz w:val="16"/>
                <w:szCs w:val="16"/>
              </w:rPr>
              <w:t>90%</w:t>
            </w:r>
          </w:p>
        </w:tc>
        <w:tc>
          <w:tcPr>
            <w:tcW w:w="3544" w:type="dxa"/>
            <w:vAlign w:val="center"/>
          </w:tcPr>
          <w:p w:rsidR="008A56FD" w:rsidRPr="0010429D" w:rsidRDefault="008A56FD" w:rsidP="009E7475">
            <w:pPr>
              <w:spacing w:after="0" w:line="240" w:lineRule="auto"/>
              <w:jc w:val="both"/>
              <w:rPr>
                <w:rFonts w:cs="Arial"/>
                <w:sz w:val="16"/>
                <w:szCs w:val="16"/>
              </w:rPr>
            </w:pPr>
            <w:r w:rsidRPr="0010429D">
              <w:rPr>
                <w:rFonts w:cs="Arial"/>
                <w:sz w:val="16"/>
                <w:szCs w:val="16"/>
              </w:rPr>
              <w:t>La Procuraduría y la Defensoría, han acompañado todas las mesas en las que participa ICBF y SINTRACIHOBI.</w:t>
            </w:r>
          </w:p>
        </w:tc>
        <w:tc>
          <w:tcPr>
            <w:tcW w:w="3544" w:type="dxa"/>
            <w:vAlign w:val="center"/>
          </w:tcPr>
          <w:p w:rsidR="008A56FD" w:rsidRPr="0010429D" w:rsidRDefault="008A56FD" w:rsidP="009E7475">
            <w:pPr>
              <w:spacing w:after="0" w:line="240" w:lineRule="auto"/>
              <w:jc w:val="both"/>
              <w:rPr>
                <w:rFonts w:cs="Arial"/>
                <w:sz w:val="16"/>
                <w:szCs w:val="16"/>
              </w:rPr>
            </w:pPr>
          </w:p>
        </w:tc>
      </w:tr>
    </w:tbl>
    <w:p w:rsidR="008A56FD" w:rsidRDefault="008A56FD" w:rsidP="008A56FD">
      <w:pPr>
        <w:spacing w:after="0" w:line="240" w:lineRule="auto"/>
        <w:jc w:val="both"/>
        <w:rPr>
          <w:rFonts w:cs="Arial"/>
          <w:sz w:val="16"/>
          <w:lang w:eastAsia="es-ES"/>
        </w:rPr>
      </w:pPr>
    </w:p>
    <w:p w:rsidR="008A56FD" w:rsidRPr="00887DAE" w:rsidRDefault="008A56FD" w:rsidP="007051FF">
      <w:pPr>
        <w:spacing w:after="0" w:line="240" w:lineRule="auto"/>
        <w:jc w:val="both"/>
        <w:rPr>
          <w:lang w:eastAsia="es-ES"/>
        </w:rPr>
      </w:pPr>
    </w:p>
    <w:p w:rsidR="008A56FD" w:rsidRPr="00700951" w:rsidRDefault="008A56FD" w:rsidP="00700951">
      <w:pPr>
        <w:pStyle w:val="Prrafodelista"/>
        <w:numPr>
          <w:ilvl w:val="2"/>
          <w:numId w:val="239"/>
        </w:numPr>
        <w:spacing w:after="0" w:line="240" w:lineRule="auto"/>
        <w:jc w:val="both"/>
        <w:outlineLvl w:val="1"/>
        <w:rPr>
          <w:rFonts w:cs="Arial"/>
          <w:b/>
        </w:rPr>
      </w:pPr>
      <w:bookmarkStart w:id="55" w:name="_Toc473581406"/>
      <w:r w:rsidRPr="00700951">
        <w:rPr>
          <w:rFonts w:cs="Arial"/>
          <w:b/>
        </w:rPr>
        <w:t>Logros 2016</w:t>
      </w:r>
      <w:bookmarkEnd w:id="55"/>
    </w:p>
    <w:p w:rsidR="00700951" w:rsidRPr="00700951" w:rsidRDefault="00700951" w:rsidP="00700951">
      <w:pPr>
        <w:spacing w:after="0" w:line="240" w:lineRule="auto"/>
        <w:ind w:left="360"/>
        <w:jc w:val="both"/>
        <w:rPr>
          <w:rFonts w:cs="Arial"/>
          <w:lang w:eastAsia="es-ES"/>
        </w:rPr>
      </w:pPr>
    </w:p>
    <w:p w:rsidR="008A56FD" w:rsidRPr="00D23FA4" w:rsidRDefault="008A56FD" w:rsidP="00D712DC">
      <w:pPr>
        <w:numPr>
          <w:ilvl w:val="0"/>
          <w:numId w:val="102"/>
        </w:numPr>
        <w:spacing w:after="0" w:line="240" w:lineRule="auto"/>
        <w:ind w:left="360"/>
        <w:jc w:val="both"/>
        <w:rPr>
          <w:rFonts w:cs="Arial"/>
          <w:lang w:eastAsia="es-ES"/>
        </w:rPr>
      </w:pPr>
      <w:r w:rsidRPr="00D23FA4">
        <w:rPr>
          <w:rFonts w:cs="Arial"/>
          <w:lang w:val="es-MX" w:eastAsia="es-ES"/>
        </w:rPr>
        <w:t>Implementación de la Estrategia “</w:t>
      </w:r>
      <w:r w:rsidRPr="00D23FA4">
        <w:rPr>
          <w:rFonts w:cs="Arial"/>
          <w:i/>
          <w:lang w:val="es-MX" w:eastAsia="es-ES"/>
        </w:rPr>
        <w:t>Seres de Cuidado”</w:t>
      </w:r>
      <w:r w:rsidRPr="00D23FA4">
        <w:rPr>
          <w:rFonts w:cs="Arial"/>
          <w:lang w:val="es-MX" w:eastAsia="es-ES"/>
        </w:rPr>
        <w:t xml:space="preserve"> en la Modalidad Desarrollo Infantil en medio familiar; con el objetivo de </w:t>
      </w:r>
      <w:r w:rsidRPr="00D23FA4">
        <w:rPr>
          <w:rFonts w:cs="Arial"/>
          <w:lang w:eastAsia="es-ES"/>
        </w:rPr>
        <w:t xml:space="preserve">fortalecer capacidades para la implementación de la articulación conceptual y metodológica, en los departamentos: </w:t>
      </w:r>
      <w:r w:rsidRPr="00D23FA4">
        <w:rPr>
          <w:rFonts w:cs="Arial"/>
          <w:lang w:val="es-MX" w:eastAsia="es-ES"/>
        </w:rPr>
        <w:t>Córdoba, Archipiélago de San Andrés, Providencia y Santa Catalina, Casanare, Chocó, Cundinamarca</w:t>
      </w:r>
    </w:p>
    <w:p w:rsidR="008A56FD" w:rsidRPr="00D23FA4" w:rsidRDefault="008A56FD" w:rsidP="008A56FD">
      <w:pPr>
        <w:spacing w:after="0" w:line="240" w:lineRule="auto"/>
        <w:jc w:val="both"/>
        <w:rPr>
          <w:rFonts w:cs="Arial"/>
          <w:lang w:eastAsia="es-ES"/>
        </w:rPr>
      </w:pPr>
    </w:p>
    <w:p w:rsidR="008A56FD" w:rsidRPr="00D23FA4" w:rsidRDefault="008A56FD" w:rsidP="00D712DC">
      <w:pPr>
        <w:numPr>
          <w:ilvl w:val="0"/>
          <w:numId w:val="102"/>
        </w:numPr>
        <w:spacing w:after="0" w:line="240" w:lineRule="auto"/>
        <w:ind w:left="360"/>
        <w:jc w:val="both"/>
        <w:rPr>
          <w:rFonts w:cs="Arial"/>
          <w:lang w:val="es-CO" w:eastAsia="es-ES"/>
        </w:rPr>
      </w:pPr>
      <w:r w:rsidRPr="00D23FA4">
        <w:rPr>
          <w:rFonts w:cs="Arial"/>
          <w:lang w:val="es-CO" w:eastAsia="es-ES"/>
        </w:rPr>
        <w:lastRenderedPageBreak/>
        <w:t xml:space="preserve">Realización de 35 Pactos por la Legalidad y la Transparencia con el objetivo de incluir en la agenda pública la importancia del tema y se logró que los territorios asumieran compromisos, para la inversión y administración transparente de los recursos públicos destinados a la primera infancia. </w:t>
      </w:r>
    </w:p>
    <w:p w:rsidR="008A56FD" w:rsidRPr="00D23FA4" w:rsidRDefault="008A56FD" w:rsidP="008A56FD">
      <w:pPr>
        <w:spacing w:after="0" w:line="240" w:lineRule="auto"/>
        <w:jc w:val="both"/>
        <w:rPr>
          <w:rFonts w:cs="Arial"/>
          <w:lang w:val="es-CO" w:eastAsia="es-ES"/>
        </w:rPr>
      </w:pPr>
    </w:p>
    <w:p w:rsidR="008A56FD" w:rsidRDefault="008A56FD" w:rsidP="00D712DC">
      <w:pPr>
        <w:numPr>
          <w:ilvl w:val="0"/>
          <w:numId w:val="102"/>
        </w:numPr>
        <w:spacing w:after="0" w:line="240" w:lineRule="auto"/>
        <w:ind w:left="360"/>
        <w:jc w:val="both"/>
        <w:rPr>
          <w:rFonts w:cs="Arial"/>
          <w:lang w:val="es-CO" w:eastAsia="es-ES"/>
        </w:rPr>
      </w:pPr>
      <w:r w:rsidRPr="00D23FA4">
        <w:rPr>
          <w:rFonts w:cs="Arial"/>
          <w:lang w:val="es-CO" w:eastAsia="es-ES"/>
        </w:rPr>
        <w:t xml:space="preserve">Actualización del Banco Nacional de Oferentes cuyo avance de 2016 es el siguiente: </w:t>
      </w:r>
    </w:p>
    <w:p w:rsidR="008A56FD" w:rsidRPr="00D23FA4" w:rsidRDefault="008A56FD" w:rsidP="008A56FD">
      <w:pPr>
        <w:spacing w:after="0" w:line="240" w:lineRule="auto"/>
        <w:jc w:val="both"/>
        <w:rPr>
          <w:rFonts w:cs="Arial"/>
          <w:lang w:val="es-CO" w:eastAsia="es-ES"/>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342"/>
        <w:gridCol w:w="1171"/>
        <w:gridCol w:w="1172"/>
        <w:gridCol w:w="1171"/>
        <w:gridCol w:w="1172"/>
        <w:gridCol w:w="1171"/>
        <w:gridCol w:w="1172"/>
      </w:tblGrid>
      <w:tr w:rsidR="008A56FD" w:rsidRPr="00D23FA4" w:rsidTr="003B69B5">
        <w:trPr>
          <w:trHeight w:val="612"/>
          <w:jc w:val="center"/>
        </w:trPr>
        <w:tc>
          <w:tcPr>
            <w:tcW w:w="2342" w:type="dxa"/>
            <w:vMerge w:val="restart"/>
            <w:shd w:val="clear" w:color="auto" w:fill="76923C" w:themeFill="accent3" w:themeFillShade="BF"/>
            <w:vAlign w:val="center"/>
          </w:tcPr>
          <w:p w:rsidR="008A56FD" w:rsidRPr="000E7580" w:rsidRDefault="008A56FD" w:rsidP="009E7475">
            <w:pPr>
              <w:spacing w:after="0" w:line="240" w:lineRule="auto"/>
              <w:jc w:val="center"/>
              <w:rPr>
                <w:rFonts w:cs="Arial"/>
                <w:b/>
                <w:color w:val="FFFFFF" w:themeColor="background1"/>
                <w:sz w:val="18"/>
                <w:szCs w:val="20"/>
                <w:lang w:val="es-CO" w:eastAsia="es-ES"/>
              </w:rPr>
            </w:pPr>
            <w:r w:rsidRPr="000E7580">
              <w:rPr>
                <w:rFonts w:cs="Arial"/>
                <w:b/>
                <w:color w:val="FFFFFF" w:themeColor="background1"/>
                <w:sz w:val="18"/>
                <w:szCs w:val="20"/>
                <w:lang w:val="es-CO" w:eastAsia="es-ES"/>
              </w:rPr>
              <w:t>Estado EAS por Actualizar</w:t>
            </w:r>
          </w:p>
        </w:tc>
        <w:tc>
          <w:tcPr>
            <w:tcW w:w="2343" w:type="dxa"/>
            <w:gridSpan w:val="2"/>
            <w:shd w:val="clear" w:color="auto" w:fill="76923C" w:themeFill="accent3" w:themeFillShade="BF"/>
            <w:vAlign w:val="center"/>
          </w:tcPr>
          <w:p w:rsidR="008A56FD" w:rsidRPr="000E7580" w:rsidRDefault="008A56FD" w:rsidP="009E7475">
            <w:pPr>
              <w:spacing w:after="0" w:line="240" w:lineRule="auto"/>
              <w:jc w:val="center"/>
              <w:rPr>
                <w:rFonts w:cs="Arial"/>
                <w:b/>
                <w:color w:val="FFFFFF" w:themeColor="background1"/>
                <w:sz w:val="18"/>
                <w:szCs w:val="20"/>
                <w:lang w:val="es-CO" w:eastAsia="es-ES"/>
              </w:rPr>
            </w:pPr>
            <w:r w:rsidRPr="000E7580">
              <w:rPr>
                <w:rFonts w:cs="Arial"/>
                <w:b/>
                <w:color w:val="FFFFFF" w:themeColor="background1"/>
                <w:sz w:val="18"/>
                <w:szCs w:val="20"/>
                <w:lang w:val="es-CO" w:eastAsia="es-ES"/>
              </w:rPr>
              <w:t>EAS Libro Fiscal*</w:t>
            </w:r>
          </w:p>
        </w:tc>
        <w:tc>
          <w:tcPr>
            <w:tcW w:w="2343" w:type="dxa"/>
            <w:gridSpan w:val="2"/>
            <w:shd w:val="clear" w:color="auto" w:fill="76923C" w:themeFill="accent3" w:themeFillShade="BF"/>
            <w:vAlign w:val="center"/>
          </w:tcPr>
          <w:p w:rsidR="008A56FD" w:rsidRPr="000E7580" w:rsidRDefault="008A56FD" w:rsidP="009E7475">
            <w:pPr>
              <w:spacing w:after="0" w:line="240" w:lineRule="auto"/>
              <w:jc w:val="center"/>
              <w:rPr>
                <w:rFonts w:cs="Arial"/>
                <w:b/>
                <w:color w:val="FFFFFF" w:themeColor="background1"/>
                <w:sz w:val="18"/>
                <w:szCs w:val="20"/>
                <w:lang w:val="es-CO" w:eastAsia="es-ES"/>
              </w:rPr>
            </w:pPr>
            <w:r w:rsidRPr="000E7580">
              <w:rPr>
                <w:rFonts w:cs="Arial"/>
                <w:b/>
                <w:color w:val="FFFFFF" w:themeColor="background1"/>
                <w:sz w:val="18"/>
                <w:szCs w:val="20"/>
                <w:lang w:val="es-CO" w:eastAsia="es-ES"/>
              </w:rPr>
              <w:t>EAS Estados Financieros</w:t>
            </w:r>
          </w:p>
        </w:tc>
        <w:tc>
          <w:tcPr>
            <w:tcW w:w="2343" w:type="dxa"/>
            <w:gridSpan w:val="2"/>
            <w:shd w:val="clear" w:color="auto" w:fill="76923C" w:themeFill="accent3" w:themeFillShade="BF"/>
            <w:vAlign w:val="center"/>
          </w:tcPr>
          <w:p w:rsidR="008A56FD" w:rsidRPr="000E7580" w:rsidRDefault="008A56FD" w:rsidP="009E7475">
            <w:pPr>
              <w:spacing w:after="0" w:line="240" w:lineRule="auto"/>
              <w:jc w:val="center"/>
              <w:rPr>
                <w:rFonts w:cs="Arial"/>
                <w:b/>
                <w:color w:val="FFFFFF" w:themeColor="background1"/>
                <w:sz w:val="18"/>
                <w:szCs w:val="20"/>
                <w:lang w:val="es-CO" w:eastAsia="es-ES"/>
              </w:rPr>
            </w:pPr>
            <w:r w:rsidRPr="000E7580">
              <w:rPr>
                <w:rFonts w:cs="Arial"/>
                <w:b/>
                <w:color w:val="FFFFFF" w:themeColor="background1"/>
                <w:sz w:val="18"/>
                <w:szCs w:val="20"/>
                <w:lang w:val="es-CO" w:eastAsia="es-ES"/>
              </w:rPr>
              <w:t>Total</w:t>
            </w:r>
          </w:p>
        </w:tc>
      </w:tr>
      <w:tr w:rsidR="008A56FD" w:rsidRPr="00D23FA4" w:rsidTr="003B69B5">
        <w:trPr>
          <w:trHeight w:val="257"/>
          <w:jc w:val="center"/>
        </w:trPr>
        <w:tc>
          <w:tcPr>
            <w:tcW w:w="2342" w:type="dxa"/>
            <w:vMerge/>
            <w:shd w:val="clear" w:color="auto" w:fill="76923C" w:themeFill="accent3" w:themeFillShade="BF"/>
            <w:vAlign w:val="center"/>
          </w:tcPr>
          <w:p w:rsidR="008A56FD" w:rsidRPr="000E7580" w:rsidRDefault="008A56FD" w:rsidP="009E7475">
            <w:pPr>
              <w:spacing w:after="0" w:line="240" w:lineRule="auto"/>
              <w:jc w:val="center"/>
              <w:rPr>
                <w:rFonts w:cs="Arial"/>
                <w:color w:val="FFFFFF" w:themeColor="background1"/>
                <w:sz w:val="18"/>
                <w:szCs w:val="20"/>
                <w:lang w:val="es-CO" w:eastAsia="es-ES"/>
              </w:rPr>
            </w:pPr>
          </w:p>
        </w:tc>
        <w:tc>
          <w:tcPr>
            <w:tcW w:w="1171"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Nº</w:t>
            </w:r>
          </w:p>
        </w:tc>
        <w:tc>
          <w:tcPr>
            <w:tcW w:w="1172"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w:t>
            </w:r>
          </w:p>
        </w:tc>
        <w:tc>
          <w:tcPr>
            <w:tcW w:w="1171"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Nº</w:t>
            </w:r>
          </w:p>
        </w:tc>
        <w:tc>
          <w:tcPr>
            <w:tcW w:w="1172"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w:t>
            </w:r>
          </w:p>
        </w:tc>
        <w:tc>
          <w:tcPr>
            <w:tcW w:w="1171"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Nº</w:t>
            </w:r>
          </w:p>
        </w:tc>
        <w:tc>
          <w:tcPr>
            <w:tcW w:w="1172" w:type="dxa"/>
            <w:shd w:val="clear" w:color="auto" w:fill="E2EFDA"/>
            <w:vAlign w:val="center"/>
          </w:tcPr>
          <w:p w:rsidR="008A56FD" w:rsidRPr="000E7580" w:rsidRDefault="008A56FD" w:rsidP="009E7475">
            <w:pPr>
              <w:spacing w:after="0" w:line="240" w:lineRule="auto"/>
              <w:jc w:val="center"/>
              <w:rPr>
                <w:rFonts w:cs="Arial"/>
                <w:b/>
                <w:sz w:val="18"/>
                <w:szCs w:val="20"/>
                <w:lang w:val="es-CO" w:eastAsia="es-ES"/>
              </w:rPr>
            </w:pPr>
            <w:r w:rsidRPr="000E7580">
              <w:rPr>
                <w:rFonts w:cs="Arial"/>
                <w:b/>
                <w:sz w:val="18"/>
                <w:szCs w:val="20"/>
                <w:lang w:val="es-CO" w:eastAsia="es-ES"/>
              </w:rPr>
              <w:t>%</w:t>
            </w:r>
          </w:p>
        </w:tc>
      </w:tr>
      <w:tr w:rsidR="008A56FD" w:rsidRPr="00D23FA4" w:rsidTr="003B69B5">
        <w:trPr>
          <w:trHeight w:val="460"/>
          <w:jc w:val="center"/>
        </w:trPr>
        <w:tc>
          <w:tcPr>
            <w:tcW w:w="2342" w:type="dx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Actualizadas</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1.182</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73%</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1.189</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92%</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2.371</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81%</w:t>
            </w:r>
          </w:p>
        </w:tc>
      </w:tr>
      <w:tr w:rsidR="008A56FD" w:rsidRPr="00D23FA4" w:rsidTr="003B69B5">
        <w:trPr>
          <w:trHeight w:val="460"/>
          <w:jc w:val="center"/>
        </w:trPr>
        <w:tc>
          <w:tcPr>
            <w:tcW w:w="2342" w:type="dx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En Subsanación</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5</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0%</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6</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0%</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11</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0%</w:t>
            </w:r>
          </w:p>
        </w:tc>
      </w:tr>
      <w:tr w:rsidR="008A56FD" w:rsidRPr="00D23FA4" w:rsidTr="003B69B5">
        <w:trPr>
          <w:trHeight w:val="460"/>
          <w:jc w:val="center"/>
        </w:trPr>
        <w:tc>
          <w:tcPr>
            <w:tcW w:w="2342" w:type="dx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En Evaluación</w:t>
            </w:r>
            <w:r>
              <w:rPr>
                <w:rFonts w:cs="Arial"/>
                <w:b/>
                <w:sz w:val="18"/>
                <w:szCs w:val="20"/>
                <w:lang w:val="es-CO" w:eastAsia="es-ES"/>
              </w:rPr>
              <w:t>***</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182</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11%</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20</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2%</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202</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7%</w:t>
            </w:r>
          </w:p>
        </w:tc>
      </w:tr>
      <w:tr w:rsidR="008A56FD" w:rsidRPr="00D23FA4" w:rsidTr="003B69B5">
        <w:trPr>
          <w:trHeight w:val="460"/>
          <w:jc w:val="center"/>
        </w:trPr>
        <w:tc>
          <w:tcPr>
            <w:tcW w:w="2342" w:type="dx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Se pública en próxima resolución</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58</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5%</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16</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101</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3%</w:t>
            </w:r>
          </w:p>
        </w:tc>
      </w:tr>
      <w:tr w:rsidR="008A56FD" w:rsidRPr="00D23FA4" w:rsidTr="003B69B5">
        <w:trPr>
          <w:trHeight w:val="460"/>
          <w:jc w:val="center"/>
        </w:trPr>
        <w:tc>
          <w:tcPr>
            <w:tcW w:w="2342" w:type="dx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No Enviadas</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176</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11%</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55</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4%</w:t>
            </w:r>
          </w:p>
        </w:tc>
        <w:tc>
          <w:tcPr>
            <w:tcW w:w="1171"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231</w:t>
            </w:r>
          </w:p>
        </w:tc>
        <w:tc>
          <w:tcPr>
            <w:tcW w:w="1172" w:type="dx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sz w:val="18"/>
                <w:szCs w:val="20"/>
                <w:lang w:val="es-CO" w:eastAsia="es-ES"/>
              </w:rPr>
              <w:t>8%</w:t>
            </w:r>
          </w:p>
        </w:tc>
      </w:tr>
      <w:tr w:rsidR="008A56FD" w:rsidRPr="00D23FA4" w:rsidTr="003B69B5">
        <w:trPr>
          <w:trHeight w:val="460"/>
          <w:jc w:val="center"/>
        </w:trPr>
        <w:tc>
          <w:tcPr>
            <w:tcW w:w="2342" w:type="dxa"/>
            <w:shd w:val="clear" w:color="auto" w:fill="E2EFDA"/>
            <w:vAlign w:val="center"/>
          </w:tcPr>
          <w:p w:rsidR="008A56FD" w:rsidRPr="00D23FA4" w:rsidRDefault="008A56FD" w:rsidP="009E7475">
            <w:pPr>
              <w:spacing w:after="0" w:line="240" w:lineRule="auto"/>
              <w:rPr>
                <w:rFonts w:cs="Arial"/>
                <w:b/>
                <w:sz w:val="18"/>
                <w:szCs w:val="20"/>
                <w:lang w:val="es-CO" w:eastAsia="es-ES"/>
              </w:rPr>
            </w:pPr>
            <w:r w:rsidRPr="00D23FA4">
              <w:rPr>
                <w:rFonts w:cs="Arial"/>
                <w:b/>
                <w:sz w:val="18"/>
                <w:szCs w:val="20"/>
                <w:lang w:val="es-CO" w:eastAsia="es-ES"/>
              </w:rPr>
              <w:t>TOTAL</w:t>
            </w:r>
          </w:p>
        </w:tc>
        <w:tc>
          <w:tcPr>
            <w:tcW w:w="2343" w:type="dxa"/>
            <w:gridSpan w:val="2"/>
            <w:shd w:val="clear" w:color="auto" w:fill="E2EFD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b/>
                <w:sz w:val="18"/>
                <w:szCs w:val="20"/>
                <w:lang w:val="es-CO" w:eastAsia="es-ES"/>
              </w:rPr>
              <w:t>1.630</w:t>
            </w:r>
          </w:p>
        </w:tc>
        <w:tc>
          <w:tcPr>
            <w:tcW w:w="2343" w:type="dxa"/>
            <w:gridSpan w:val="2"/>
            <w:shd w:val="clear" w:color="auto" w:fill="E2EFD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b/>
                <w:sz w:val="18"/>
                <w:szCs w:val="20"/>
                <w:lang w:val="es-CO" w:eastAsia="es-ES"/>
              </w:rPr>
              <w:t>1.286</w:t>
            </w:r>
          </w:p>
        </w:tc>
        <w:tc>
          <w:tcPr>
            <w:tcW w:w="2343" w:type="dxa"/>
            <w:gridSpan w:val="2"/>
            <w:shd w:val="clear" w:color="auto" w:fill="E2EFDA"/>
            <w:vAlign w:val="center"/>
          </w:tcPr>
          <w:p w:rsidR="008A56FD" w:rsidRPr="00D23FA4" w:rsidRDefault="008A56FD" w:rsidP="009E7475">
            <w:pPr>
              <w:spacing w:after="0" w:line="240" w:lineRule="auto"/>
              <w:jc w:val="center"/>
              <w:rPr>
                <w:rFonts w:cs="Arial"/>
                <w:sz w:val="18"/>
                <w:szCs w:val="20"/>
                <w:lang w:val="es-CO" w:eastAsia="es-ES"/>
              </w:rPr>
            </w:pPr>
            <w:r w:rsidRPr="00D23FA4">
              <w:rPr>
                <w:rFonts w:cs="Arial"/>
                <w:b/>
                <w:sz w:val="18"/>
                <w:szCs w:val="20"/>
                <w:lang w:val="es-CO" w:eastAsia="es-ES"/>
              </w:rPr>
              <w:t>2.916</w:t>
            </w:r>
          </w:p>
        </w:tc>
      </w:tr>
    </w:tbl>
    <w:p w:rsidR="000E7580" w:rsidRDefault="000E7580" w:rsidP="008A56FD">
      <w:pPr>
        <w:spacing w:after="0" w:line="240" w:lineRule="auto"/>
        <w:jc w:val="both"/>
        <w:rPr>
          <w:rFonts w:cs="Arial"/>
          <w:sz w:val="16"/>
          <w:szCs w:val="16"/>
          <w:lang w:val="es-CO" w:eastAsia="es-ES"/>
        </w:rPr>
      </w:pPr>
    </w:p>
    <w:p w:rsidR="008A56FD" w:rsidRPr="000E7580" w:rsidRDefault="008A56FD" w:rsidP="008A56FD">
      <w:pPr>
        <w:spacing w:after="0" w:line="240" w:lineRule="auto"/>
        <w:jc w:val="both"/>
        <w:rPr>
          <w:rFonts w:cs="Arial"/>
          <w:sz w:val="16"/>
          <w:szCs w:val="16"/>
          <w:lang w:val="es-CO" w:eastAsia="es-ES"/>
        </w:rPr>
      </w:pPr>
      <w:r w:rsidRPr="000E7580">
        <w:rPr>
          <w:rFonts w:cs="Arial"/>
          <w:sz w:val="16"/>
          <w:szCs w:val="16"/>
          <w:lang w:val="es-CO" w:eastAsia="es-ES"/>
        </w:rPr>
        <w:t>* Metodología mediante la cual las asociaciones de padres llevan su contabilidad.</w:t>
      </w:r>
    </w:p>
    <w:p w:rsidR="008A56FD" w:rsidRPr="000E7580" w:rsidRDefault="008A56FD" w:rsidP="008A56FD">
      <w:pPr>
        <w:spacing w:after="0" w:line="240" w:lineRule="auto"/>
        <w:jc w:val="both"/>
        <w:rPr>
          <w:rFonts w:cs="Arial"/>
          <w:sz w:val="16"/>
          <w:szCs w:val="16"/>
          <w:lang w:val="es-CO" w:eastAsia="es-ES"/>
        </w:rPr>
      </w:pPr>
      <w:r w:rsidRPr="000E7580">
        <w:rPr>
          <w:rFonts w:cs="Arial"/>
          <w:sz w:val="16"/>
          <w:szCs w:val="16"/>
          <w:lang w:val="es-CO" w:eastAsia="es-ES"/>
        </w:rPr>
        <w:t>** El porcentaje el estado de cada entidad sobre el total de las mismas.</w:t>
      </w:r>
    </w:p>
    <w:p w:rsidR="008A56FD" w:rsidRPr="000E7580" w:rsidRDefault="008A56FD" w:rsidP="008A56FD">
      <w:pPr>
        <w:spacing w:after="0" w:line="240" w:lineRule="auto"/>
        <w:jc w:val="both"/>
        <w:rPr>
          <w:rFonts w:cs="Arial"/>
          <w:sz w:val="16"/>
          <w:szCs w:val="16"/>
          <w:lang w:val="es-CO" w:eastAsia="es-ES"/>
        </w:rPr>
      </w:pPr>
      <w:r w:rsidRPr="000E7580">
        <w:rPr>
          <w:rFonts w:cs="Arial"/>
          <w:sz w:val="16"/>
          <w:szCs w:val="16"/>
          <w:lang w:val="es-CO" w:eastAsia="es-ES"/>
        </w:rPr>
        <w:t>*** El estado EAS por actualizar en evaluación se encuentra con corte a noviembre de 2016.</w:t>
      </w:r>
    </w:p>
    <w:p w:rsidR="008A56FD" w:rsidRPr="00D23FA4" w:rsidRDefault="008A56FD" w:rsidP="008A56FD">
      <w:pPr>
        <w:spacing w:after="0" w:line="240" w:lineRule="auto"/>
        <w:jc w:val="both"/>
        <w:rPr>
          <w:rFonts w:cs="Arial"/>
          <w:lang w:val="es-CO" w:eastAsia="es-ES"/>
        </w:rPr>
      </w:pPr>
    </w:p>
    <w:p w:rsidR="008A56FD" w:rsidRPr="00D23FA4" w:rsidRDefault="008A56FD" w:rsidP="00D712DC">
      <w:pPr>
        <w:numPr>
          <w:ilvl w:val="0"/>
          <w:numId w:val="102"/>
        </w:numPr>
        <w:spacing w:after="0" w:line="240" w:lineRule="auto"/>
        <w:ind w:left="360"/>
        <w:jc w:val="both"/>
        <w:rPr>
          <w:rFonts w:cs="Arial"/>
          <w:lang w:val="es-CO" w:eastAsia="es-ES"/>
        </w:rPr>
      </w:pPr>
      <w:r w:rsidRPr="00D23FA4">
        <w:rPr>
          <w:rFonts w:cs="Arial"/>
          <w:lang w:val="es-MX" w:eastAsia="es-ES"/>
        </w:rPr>
        <w:t xml:space="preserve"> </w:t>
      </w:r>
      <w:r w:rsidRPr="00D23FA4">
        <w:rPr>
          <w:rFonts w:cs="Arial"/>
          <w:lang w:val="es-CO" w:eastAsia="es-ES"/>
        </w:rPr>
        <w:t>Articulación con Entes Territoriales para la implementación del servicio de grado de Transición Integral en asocio con el Ministerio de Educación Nacional y construcción de modelo y línea |operativa.</w:t>
      </w:r>
    </w:p>
    <w:p w:rsidR="008A56FD" w:rsidRPr="00D23FA4" w:rsidRDefault="008A56FD" w:rsidP="008A56FD">
      <w:pPr>
        <w:spacing w:after="0" w:line="240" w:lineRule="auto"/>
        <w:ind w:left="360"/>
        <w:jc w:val="both"/>
        <w:rPr>
          <w:rFonts w:cs="Arial"/>
          <w:lang w:val="es-CO" w:eastAsia="es-ES"/>
        </w:rPr>
      </w:pPr>
    </w:p>
    <w:p w:rsidR="008A56FD" w:rsidRPr="00D23FA4" w:rsidRDefault="008A56FD" w:rsidP="00D712DC">
      <w:pPr>
        <w:numPr>
          <w:ilvl w:val="0"/>
          <w:numId w:val="102"/>
        </w:numPr>
        <w:spacing w:after="0" w:line="240" w:lineRule="auto"/>
        <w:ind w:left="360"/>
        <w:jc w:val="both"/>
        <w:rPr>
          <w:rFonts w:cs="Arial"/>
          <w:lang w:val="es-CO" w:eastAsia="es-ES"/>
        </w:rPr>
      </w:pPr>
      <w:r w:rsidRPr="00D23FA4">
        <w:rPr>
          <w:rFonts w:cs="Arial"/>
          <w:lang w:val="es-CO" w:eastAsia="es-ES"/>
        </w:rPr>
        <w:t>Implementación de la integralidad de Hogares Comunitarios de Bienestar Integral. En La Guajira se dio continuidad al fortalecimiento de 455 HCB y se incluyen tres UDS más, para cubrir el total de Hogares Comunitarios de Bienestar del departamento. En total se fortalecerán 458 Hogares Comunitarios, en los 12 municipios del departamento. En Córdoba se dio continuidad al fortalecimiento de 400 Hogares Comunitarios, del municipio de Montería. En Atlántico se desarrolló un proceso de fortalecimiento de 603 Hogares Comunitarios de Bienestar y se suman otras dos UDS que solicitó la Dirección Regional fueran focalizados para este año. Así se tiene la proyección de 605 Hogares Comunitarios a fortalecer en 2016.</w:t>
      </w:r>
    </w:p>
    <w:p w:rsidR="008A56FD" w:rsidRPr="00D23FA4" w:rsidRDefault="008A56FD" w:rsidP="008A56FD">
      <w:pPr>
        <w:spacing w:after="0" w:line="240" w:lineRule="auto"/>
        <w:ind w:left="360"/>
        <w:jc w:val="both"/>
        <w:rPr>
          <w:rFonts w:cs="Arial"/>
          <w:lang w:val="es-CO" w:eastAsia="es-ES"/>
        </w:rPr>
      </w:pPr>
    </w:p>
    <w:p w:rsidR="008A56FD" w:rsidRPr="00D23FA4" w:rsidRDefault="008A56FD" w:rsidP="00D712DC">
      <w:pPr>
        <w:numPr>
          <w:ilvl w:val="0"/>
          <w:numId w:val="102"/>
        </w:numPr>
        <w:spacing w:after="0" w:line="240" w:lineRule="auto"/>
        <w:ind w:left="360"/>
        <w:jc w:val="both"/>
        <w:rPr>
          <w:rFonts w:cs="Arial"/>
          <w:lang w:val="es-CO" w:eastAsia="es-ES"/>
        </w:rPr>
      </w:pPr>
      <w:r w:rsidRPr="00D23FA4">
        <w:rPr>
          <w:rFonts w:cs="Arial"/>
          <w:lang w:val="es-CO" w:eastAsia="es-ES"/>
        </w:rPr>
        <w:t xml:space="preserve">Cumplimiento al 100 % de la entrega y avance en la distribución de 42.376 kits de material didáctico a las madres comunitarias en los Hogares Comunitarios de Bienestar Tradicionales a nivel nacional. </w:t>
      </w:r>
    </w:p>
    <w:p w:rsidR="008A56FD" w:rsidRPr="00D23FA4" w:rsidRDefault="008A56FD" w:rsidP="008A56FD">
      <w:pPr>
        <w:spacing w:after="0" w:line="240" w:lineRule="auto"/>
        <w:ind w:left="360"/>
        <w:jc w:val="both"/>
        <w:rPr>
          <w:rFonts w:cs="Arial"/>
          <w:lang w:val="es-CO" w:eastAsia="es-ES"/>
        </w:rPr>
      </w:pPr>
    </w:p>
    <w:p w:rsidR="008A56FD" w:rsidRDefault="008A56FD" w:rsidP="00C65253">
      <w:pPr>
        <w:numPr>
          <w:ilvl w:val="0"/>
          <w:numId w:val="102"/>
        </w:numPr>
        <w:spacing w:after="0" w:line="240" w:lineRule="auto"/>
        <w:ind w:left="360"/>
        <w:jc w:val="both"/>
        <w:rPr>
          <w:rFonts w:cs="Arial"/>
          <w:lang w:val="es-CO" w:eastAsia="es-ES"/>
        </w:rPr>
      </w:pPr>
      <w:r w:rsidRPr="003B69B5">
        <w:rPr>
          <w:rFonts w:cs="Arial"/>
          <w:bCs/>
          <w:lang w:val="es-CO" w:eastAsia="es-ES"/>
        </w:rPr>
        <w:t>Aprobación de vigencias futuras</w:t>
      </w:r>
      <w:r w:rsidRPr="003B69B5">
        <w:rPr>
          <w:rFonts w:cs="Arial"/>
          <w:b/>
          <w:bCs/>
          <w:lang w:val="es-CO" w:eastAsia="es-ES"/>
        </w:rPr>
        <w:t xml:space="preserve"> </w:t>
      </w:r>
      <w:r w:rsidRPr="003B69B5">
        <w:rPr>
          <w:rFonts w:cs="Arial"/>
          <w:lang w:val="es-CO" w:eastAsia="es-ES"/>
        </w:rPr>
        <w:t>por un valor total de 4 billones de pesos.</w:t>
      </w:r>
    </w:p>
    <w:p w:rsidR="003B69B5" w:rsidRDefault="003B69B5" w:rsidP="003B69B5">
      <w:pPr>
        <w:pStyle w:val="Prrafodelista"/>
        <w:rPr>
          <w:rFonts w:cs="Arial"/>
          <w:lang w:val="es-CO" w:eastAsia="es-ES"/>
        </w:rPr>
      </w:pPr>
    </w:p>
    <w:p w:rsidR="003B69B5" w:rsidRPr="003B69B5" w:rsidRDefault="003B69B5" w:rsidP="003B69B5">
      <w:pPr>
        <w:spacing w:after="0" w:line="240" w:lineRule="auto"/>
        <w:ind w:left="360"/>
        <w:jc w:val="both"/>
        <w:rPr>
          <w:rFonts w:cs="Arial"/>
          <w:lang w:val="es-CO" w:eastAsia="es-ES"/>
        </w:rPr>
      </w:pPr>
    </w:p>
    <w:p w:rsidR="00656353" w:rsidRDefault="008A56FD" w:rsidP="00D712DC">
      <w:pPr>
        <w:numPr>
          <w:ilvl w:val="0"/>
          <w:numId w:val="102"/>
        </w:numPr>
        <w:spacing w:after="0" w:line="240" w:lineRule="auto"/>
        <w:ind w:left="360"/>
        <w:jc w:val="both"/>
        <w:rPr>
          <w:rFonts w:cs="Arial"/>
          <w:lang w:val="es-CO" w:eastAsia="es-ES"/>
        </w:rPr>
      </w:pPr>
      <w:r w:rsidRPr="00D23FA4">
        <w:rPr>
          <w:rFonts w:cs="Arial"/>
          <w:lang w:val="es-CO" w:eastAsia="es-ES"/>
        </w:rPr>
        <w:lastRenderedPageBreak/>
        <w:t>Implementación de un nuevo esquema de supervisión logrando alrededor de 60.000 visitas en el año que contiene mejores canales de comunicación y enfoque diferencial con nuevas tecnologías.</w:t>
      </w:r>
    </w:p>
    <w:p w:rsidR="008A56FD" w:rsidRPr="00D23FA4" w:rsidRDefault="008A56FD" w:rsidP="00656353">
      <w:pPr>
        <w:spacing w:after="0" w:line="240" w:lineRule="auto"/>
        <w:jc w:val="both"/>
        <w:rPr>
          <w:rFonts w:cs="Arial"/>
          <w:lang w:val="es-CO" w:eastAsia="es-ES"/>
        </w:rPr>
      </w:pPr>
      <w:r w:rsidRPr="00D23FA4">
        <w:rPr>
          <w:rFonts w:cs="Arial"/>
          <w:lang w:val="es-CO" w:eastAsia="es-ES"/>
        </w:rPr>
        <w:t xml:space="preserve"> </w:t>
      </w:r>
    </w:p>
    <w:p w:rsidR="008A56FD" w:rsidRPr="00700951" w:rsidRDefault="008A56FD" w:rsidP="00700951">
      <w:pPr>
        <w:pStyle w:val="Prrafodelista"/>
        <w:numPr>
          <w:ilvl w:val="2"/>
          <w:numId w:val="239"/>
        </w:numPr>
        <w:spacing w:after="0" w:line="240" w:lineRule="auto"/>
        <w:jc w:val="both"/>
        <w:outlineLvl w:val="1"/>
        <w:rPr>
          <w:rFonts w:cs="Arial"/>
          <w:b/>
        </w:rPr>
      </w:pPr>
      <w:bookmarkStart w:id="56" w:name="_Toc473581407"/>
      <w:r w:rsidRPr="00700951">
        <w:rPr>
          <w:rFonts w:cs="Arial"/>
          <w:b/>
        </w:rPr>
        <w:t>Retos 2017</w:t>
      </w:r>
      <w:bookmarkEnd w:id="56"/>
    </w:p>
    <w:p w:rsidR="00700951" w:rsidRDefault="00700951" w:rsidP="00700951">
      <w:pPr>
        <w:spacing w:after="0" w:line="240" w:lineRule="auto"/>
        <w:ind w:left="720"/>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Fortalecer las capacidades institucionales para la implementación del modelo de atención integral a la primera, de acuerdo con la Ley de Cero a Siempre.</w:t>
      </w:r>
    </w:p>
    <w:p w:rsidR="003B69B5" w:rsidRPr="00D23FA4" w:rsidRDefault="003B69B5" w:rsidP="003B69B5">
      <w:pPr>
        <w:spacing w:after="0" w:line="240" w:lineRule="auto"/>
        <w:ind w:left="720"/>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Articular los procesos técnicos, operativos, administrativos y jurídicos de la Dirección de Primera Infancia.</w:t>
      </w:r>
    </w:p>
    <w:p w:rsidR="003B69B5" w:rsidRPr="00D23FA4" w:rsidRDefault="003B69B5" w:rsidP="003B69B5">
      <w:pPr>
        <w:spacing w:after="0" w:line="240" w:lineRule="auto"/>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Cualificar agentes educativos: Escala de valoración del desarrollo.</w:t>
      </w:r>
    </w:p>
    <w:p w:rsidR="003B69B5" w:rsidRPr="00D23FA4" w:rsidRDefault="003B69B5" w:rsidP="003B69B5">
      <w:pPr>
        <w:spacing w:after="0" w:line="240" w:lineRule="auto"/>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Incidir en los niveles de transparencia en la inversión de los recursos de las niñas y los niños.</w:t>
      </w:r>
    </w:p>
    <w:p w:rsidR="003B69B5" w:rsidRPr="00D23FA4" w:rsidRDefault="003B69B5" w:rsidP="003B69B5">
      <w:pPr>
        <w:spacing w:after="0" w:line="240" w:lineRule="auto"/>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Establecer e implementar el esquema de Movilización Social.</w:t>
      </w:r>
    </w:p>
    <w:p w:rsidR="003B69B5" w:rsidRPr="00D23FA4" w:rsidRDefault="003B69B5" w:rsidP="003B69B5">
      <w:pPr>
        <w:spacing w:after="0" w:line="240" w:lineRule="auto"/>
        <w:ind w:left="720"/>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Implementar oportunamente el esquema de supervisión de Primera Infancia.</w:t>
      </w:r>
    </w:p>
    <w:p w:rsidR="003B69B5" w:rsidRPr="00D23FA4" w:rsidRDefault="003B69B5" w:rsidP="003B69B5">
      <w:pPr>
        <w:spacing w:after="0" w:line="240" w:lineRule="auto"/>
        <w:jc w:val="both"/>
        <w:rPr>
          <w:rFonts w:cs="Arial"/>
          <w:lang w:val="es-CO" w:eastAsia="es-ES"/>
        </w:rPr>
      </w:pPr>
    </w:p>
    <w:p w:rsidR="008A56FD" w:rsidRDefault="008A56FD" w:rsidP="003B69B5">
      <w:pPr>
        <w:numPr>
          <w:ilvl w:val="0"/>
          <w:numId w:val="256"/>
        </w:numPr>
        <w:spacing w:after="0" w:line="240" w:lineRule="auto"/>
        <w:jc w:val="both"/>
        <w:rPr>
          <w:rFonts w:cs="Arial"/>
          <w:lang w:val="es-CO" w:eastAsia="es-ES"/>
        </w:rPr>
      </w:pPr>
      <w:r w:rsidRPr="00D23FA4">
        <w:rPr>
          <w:rFonts w:cs="Arial"/>
          <w:lang w:val="es-CO" w:eastAsia="es-ES"/>
        </w:rPr>
        <w:t>Crear un sistema de información en la D.P.I, que articule los procesos y que permita la gestión del conocimiento.</w:t>
      </w:r>
    </w:p>
    <w:p w:rsidR="003B69B5" w:rsidRPr="00D23FA4" w:rsidRDefault="003B69B5" w:rsidP="003B69B5">
      <w:pPr>
        <w:spacing w:after="0" w:line="240" w:lineRule="auto"/>
        <w:jc w:val="both"/>
        <w:rPr>
          <w:rFonts w:cs="Arial"/>
          <w:lang w:val="es-CO" w:eastAsia="es-ES"/>
        </w:rPr>
      </w:pPr>
    </w:p>
    <w:p w:rsidR="008A56FD" w:rsidRPr="003B69B5" w:rsidRDefault="008A56FD" w:rsidP="003B69B5">
      <w:pPr>
        <w:numPr>
          <w:ilvl w:val="0"/>
          <w:numId w:val="256"/>
        </w:numPr>
        <w:spacing w:after="0" w:line="240" w:lineRule="auto"/>
        <w:jc w:val="both"/>
        <w:rPr>
          <w:rFonts w:cs="Arial"/>
          <w:lang w:val="es-CO" w:eastAsia="es-ES"/>
        </w:rPr>
      </w:pPr>
      <w:r w:rsidRPr="00D23FA4">
        <w:rPr>
          <w:rFonts w:cs="Arial"/>
          <w:bCs/>
          <w:lang w:eastAsia="es-ES"/>
        </w:rPr>
        <w:t>Ampliar la atención integral con inclusión de ambientes educativos de calidad, para lo cual se avanzará en:</w:t>
      </w:r>
    </w:p>
    <w:p w:rsidR="003B69B5" w:rsidRPr="00D23FA4" w:rsidRDefault="003B69B5" w:rsidP="003B69B5">
      <w:pPr>
        <w:spacing w:after="0" w:line="240" w:lineRule="auto"/>
        <w:jc w:val="both"/>
        <w:rPr>
          <w:rFonts w:cs="Arial"/>
          <w:lang w:val="es-CO" w:eastAsia="es-ES"/>
        </w:rPr>
      </w:pPr>
    </w:p>
    <w:p w:rsidR="008A56FD" w:rsidRPr="003B69B5" w:rsidRDefault="008A56FD" w:rsidP="00D712DC">
      <w:pPr>
        <w:numPr>
          <w:ilvl w:val="0"/>
          <w:numId w:val="142"/>
        </w:numPr>
        <w:spacing w:after="0" w:line="240" w:lineRule="auto"/>
        <w:jc w:val="both"/>
        <w:rPr>
          <w:rFonts w:cs="Arial"/>
          <w:lang w:val="es-CO"/>
        </w:rPr>
      </w:pPr>
      <w:r w:rsidRPr="00D23FA4">
        <w:rPr>
          <w:rFonts w:cs="Arial"/>
        </w:rPr>
        <w:t>Realizar un proceso de focalización en las Regionales para determinar la modalidad más adecuada a las condiciones de cada ter</w:t>
      </w:r>
      <w:r w:rsidR="003B69B5">
        <w:rPr>
          <w:rFonts w:cs="Arial"/>
        </w:rPr>
        <w:t>ritorio, para los cupos nuevos.</w:t>
      </w:r>
    </w:p>
    <w:p w:rsidR="003B69B5" w:rsidRPr="00D23FA4" w:rsidRDefault="003B69B5" w:rsidP="003B69B5">
      <w:pPr>
        <w:spacing w:after="0" w:line="240" w:lineRule="auto"/>
        <w:ind w:left="1068"/>
        <w:jc w:val="both"/>
        <w:rPr>
          <w:rFonts w:cs="Arial"/>
          <w:lang w:val="es-CO"/>
        </w:rPr>
      </w:pPr>
    </w:p>
    <w:p w:rsidR="008A56FD" w:rsidRPr="003B69B5" w:rsidRDefault="008A56FD" w:rsidP="00D712DC">
      <w:pPr>
        <w:numPr>
          <w:ilvl w:val="0"/>
          <w:numId w:val="142"/>
        </w:numPr>
        <w:spacing w:after="0" w:line="240" w:lineRule="auto"/>
        <w:jc w:val="both"/>
        <w:rPr>
          <w:rFonts w:cs="Arial"/>
          <w:lang w:val="es-CO"/>
        </w:rPr>
      </w:pPr>
      <w:r w:rsidRPr="00D23FA4">
        <w:rPr>
          <w:rFonts w:cs="Arial"/>
        </w:rPr>
        <w:t>Ampliar la operación de modalidad propia en 11 departamentos (Bolívar, Chocó, Cauca, Meta y San Andres, entre otros), con 10 comunidades Étnicas, e inclusión de las comunidades afro (5</w:t>
      </w:r>
      <w:r w:rsidR="003B69B5">
        <w:rPr>
          <w:rFonts w:cs="Arial"/>
        </w:rPr>
        <w:t>0.000 cupos).</w:t>
      </w:r>
    </w:p>
    <w:p w:rsidR="003B69B5" w:rsidRPr="00D23FA4" w:rsidRDefault="003B69B5" w:rsidP="003B69B5">
      <w:pPr>
        <w:spacing w:after="0" w:line="240" w:lineRule="auto"/>
        <w:jc w:val="both"/>
        <w:rPr>
          <w:rFonts w:cs="Arial"/>
          <w:lang w:val="es-CO"/>
        </w:rPr>
      </w:pPr>
    </w:p>
    <w:p w:rsidR="008A56FD" w:rsidRPr="003B69B5" w:rsidRDefault="008A56FD" w:rsidP="00D712DC">
      <w:pPr>
        <w:numPr>
          <w:ilvl w:val="0"/>
          <w:numId w:val="142"/>
        </w:numPr>
        <w:spacing w:after="0" w:line="240" w:lineRule="auto"/>
        <w:jc w:val="both"/>
        <w:rPr>
          <w:rFonts w:cs="Arial"/>
          <w:lang w:val="es-CO"/>
        </w:rPr>
      </w:pPr>
      <w:r w:rsidRPr="00D23FA4">
        <w:rPr>
          <w:rFonts w:cs="Arial"/>
        </w:rPr>
        <w:t>Poner en funcionamiento una herramienta que permita visualizar el diagnóstico individual de los beneficiarios, en relac</w:t>
      </w:r>
      <w:r w:rsidR="003B69B5">
        <w:rPr>
          <w:rFonts w:cs="Arial"/>
        </w:rPr>
        <w:t>ión con su desarrollo integral.</w:t>
      </w:r>
    </w:p>
    <w:p w:rsidR="003B69B5" w:rsidRPr="00D23FA4" w:rsidRDefault="003B69B5" w:rsidP="003B69B5">
      <w:pPr>
        <w:spacing w:after="0" w:line="240" w:lineRule="auto"/>
        <w:jc w:val="both"/>
        <w:rPr>
          <w:rFonts w:cs="Arial"/>
          <w:lang w:val="es-CO"/>
        </w:rPr>
      </w:pPr>
    </w:p>
    <w:p w:rsidR="008A56FD" w:rsidRPr="00DD2A28" w:rsidRDefault="008A56FD" w:rsidP="00D712DC">
      <w:pPr>
        <w:numPr>
          <w:ilvl w:val="0"/>
          <w:numId w:val="142"/>
        </w:numPr>
        <w:spacing w:after="0" w:line="240" w:lineRule="auto"/>
        <w:jc w:val="both"/>
        <w:rPr>
          <w:rFonts w:cs="Arial"/>
          <w:lang w:val="es-CO"/>
        </w:rPr>
      </w:pPr>
      <w:r w:rsidRPr="00D23FA4">
        <w:rPr>
          <w:rFonts w:cs="Arial"/>
        </w:rPr>
        <w:t xml:space="preserve">Fortalecer la interlocución con entidades para desarrollar ambientes idóneos donde se potencialicen las capacidades de los beneficiarios. </w:t>
      </w:r>
    </w:p>
    <w:p w:rsidR="008A56FD" w:rsidRPr="00D23FA4" w:rsidRDefault="008A56FD" w:rsidP="008A56FD">
      <w:pPr>
        <w:spacing w:after="0" w:line="240" w:lineRule="auto"/>
        <w:ind w:left="1068"/>
        <w:jc w:val="both"/>
        <w:rPr>
          <w:rFonts w:cs="Arial"/>
          <w:lang w:val="es-CO"/>
        </w:rPr>
      </w:pPr>
    </w:p>
    <w:p w:rsidR="008A56FD" w:rsidRDefault="008A56FD" w:rsidP="00D712DC">
      <w:pPr>
        <w:numPr>
          <w:ilvl w:val="0"/>
          <w:numId w:val="136"/>
        </w:numPr>
        <w:spacing w:after="0" w:line="240" w:lineRule="auto"/>
        <w:jc w:val="both"/>
        <w:rPr>
          <w:rFonts w:cs="Arial"/>
          <w:bCs/>
          <w:lang w:eastAsia="es-ES"/>
        </w:rPr>
      </w:pPr>
      <w:r w:rsidRPr="00D23FA4">
        <w:rPr>
          <w:rFonts w:cs="Arial"/>
          <w:bCs/>
          <w:lang w:eastAsia="es-ES"/>
        </w:rPr>
        <w:t>Ampliar la formación y cualificación de agentes educativos a través de:</w:t>
      </w:r>
    </w:p>
    <w:p w:rsidR="008A56FD" w:rsidRPr="00D23FA4" w:rsidRDefault="008A56FD" w:rsidP="008A56FD">
      <w:pPr>
        <w:spacing w:after="0" w:line="240" w:lineRule="auto"/>
        <w:ind w:left="720"/>
        <w:jc w:val="both"/>
        <w:rPr>
          <w:rFonts w:cs="Arial"/>
          <w:bCs/>
          <w:lang w:eastAsia="es-ES"/>
        </w:rPr>
      </w:pPr>
    </w:p>
    <w:p w:rsidR="008A56FD" w:rsidRDefault="008A56FD" w:rsidP="00D712DC">
      <w:pPr>
        <w:numPr>
          <w:ilvl w:val="0"/>
          <w:numId w:val="142"/>
        </w:numPr>
        <w:spacing w:after="0" w:line="240" w:lineRule="auto"/>
        <w:jc w:val="both"/>
        <w:rPr>
          <w:rFonts w:cs="Arial"/>
        </w:rPr>
      </w:pPr>
      <w:r w:rsidRPr="00D23FA4">
        <w:rPr>
          <w:rFonts w:cs="Arial"/>
        </w:rPr>
        <w:t>Mejorar la plataforma virtual con que cuenta el ICBF para que le proceso de formación y cualificación de agentes educativos sea más masivo.</w:t>
      </w:r>
    </w:p>
    <w:p w:rsidR="005F336B" w:rsidRPr="00D23FA4" w:rsidRDefault="005F336B" w:rsidP="005F336B">
      <w:pPr>
        <w:spacing w:after="0" w:line="240" w:lineRule="auto"/>
        <w:ind w:left="1068"/>
        <w:jc w:val="both"/>
        <w:rPr>
          <w:rFonts w:cs="Arial"/>
        </w:rPr>
      </w:pPr>
    </w:p>
    <w:p w:rsidR="008A56FD" w:rsidRPr="00D23FA4" w:rsidRDefault="008A56FD" w:rsidP="00D712DC">
      <w:pPr>
        <w:numPr>
          <w:ilvl w:val="0"/>
          <w:numId w:val="142"/>
        </w:numPr>
        <w:spacing w:after="0" w:line="240" w:lineRule="auto"/>
        <w:jc w:val="both"/>
        <w:rPr>
          <w:rFonts w:cs="Arial"/>
        </w:rPr>
      </w:pPr>
      <w:r w:rsidRPr="00D23FA4">
        <w:rPr>
          <w:rFonts w:cs="Arial"/>
        </w:rPr>
        <w:t>Construir contenidos.</w:t>
      </w:r>
    </w:p>
    <w:p w:rsidR="00FB2352" w:rsidRDefault="00FB2352" w:rsidP="00470DCA">
      <w:pPr>
        <w:pStyle w:val="Ttulo1"/>
        <w:pageBreakBefore/>
        <w:numPr>
          <w:ilvl w:val="1"/>
          <w:numId w:val="239"/>
        </w:numPr>
        <w:rPr>
          <w:rFonts w:cs="Arial"/>
          <w:szCs w:val="22"/>
        </w:rPr>
      </w:pPr>
      <w:bookmarkStart w:id="57" w:name="_Toc473581408"/>
      <w:bookmarkEnd w:id="14"/>
      <w:r w:rsidRPr="00992589">
        <w:rPr>
          <w:rFonts w:cs="Arial"/>
          <w:szCs w:val="22"/>
        </w:rPr>
        <w:lastRenderedPageBreak/>
        <w:t>ATENCIÓN A LA NIÑEZ Y LA ADOLESCENCIA</w:t>
      </w:r>
      <w:bookmarkEnd w:id="15"/>
      <w:bookmarkEnd w:id="57"/>
    </w:p>
    <w:p w:rsidR="00170C38" w:rsidRPr="00170C38" w:rsidRDefault="00170C38" w:rsidP="00C87B05">
      <w:pPr>
        <w:rPr>
          <w:lang w:eastAsia="es-ES"/>
        </w:rPr>
      </w:pPr>
    </w:p>
    <w:p w:rsidR="00FB2352" w:rsidRPr="00C87B05" w:rsidRDefault="0052546C" w:rsidP="0052546C">
      <w:pPr>
        <w:outlineLvl w:val="1"/>
        <w:rPr>
          <w:b/>
          <w:lang w:eastAsia="es-ES"/>
        </w:rPr>
      </w:pPr>
      <w:bookmarkStart w:id="58" w:name="_Toc473581409"/>
      <w:r>
        <w:rPr>
          <w:b/>
          <w:lang w:eastAsia="es-ES"/>
        </w:rPr>
        <w:t xml:space="preserve">3.2.1 </w:t>
      </w:r>
      <w:r w:rsidR="00170C38" w:rsidRPr="00C87B05">
        <w:rPr>
          <w:b/>
          <w:lang w:eastAsia="es-ES"/>
        </w:rPr>
        <w:t>E</w:t>
      </w:r>
      <w:r w:rsidR="00FB2352" w:rsidRPr="00C87B05">
        <w:rPr>
          <w:b/>
          <w:lang w:eastAsia="es-ES"/>
        </w:rPr>
        <w:t>strategias y Programas de la Dirección de Niñez y Adolescencia</w:t>
      </w:r>
      <w:bookmarkEnd w:id="58"/>
    </w:p>
    <w:p w:rsidR="00FB2352" w:rsidRPr="00C87B05" w:rsidRDefault="00FB2352" w:rsidP="00C87B05">
      <w:pPr>
        <w:ind w:firstLine="708"/>
        <w:rPr>
          <w:b/>
          <w:lang w:eastAsia="es-ES"/>
        </w:rPr>
      </w:pPr>
      <w:r w:rsidRPr="00C87B05">
        <w:rPr>
          <w:b/>
          <w:lang w:eastAsia="es-ES"/>
        </w:rPr>
        <w:t>Programa Generaciones con Bienestar</w:t>
      </w:r>
    </w:p>
    <w:p w:rsidR="00FB2352" w:rsidRPr="00992589" w:rsidRDefault="00FB2352" w:rsidP="00FB2352">
      <w:pPr>
        <w:spacing w:after="0" w:line="240" w:lineRule="auto"/>
        <w:jc w:val="both"/>
        <w:rPr>
          <w:rFonts w:cs="Arial"/>
        </w:rPr>
      </w:pPr>
      <w:r w:rsidRPr="00992589">
        <w:rPr>
          <w:rFonts w:cs="Arial"/>
        </w:rPr>
        <w:t xml:space="preserve">El programa “Generaciones con Bienestar”, tiene como objetivo promover la protección integral y los proyectos de vida de los niños, las niñas y los adolescentes, a partir de su empoderamiento como sujetos de derechos y el fortalecimiento de la corresponsabilidad de la familia, la sociedad y el Estado, propiciando la consolidación de entornos protectores para los niños, niñas y adolescentes. </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Por medio de estas actividades que surgen de las propuestas de los mismos participantes en el programa, se desarrollan acciones de prevención frente a problemáticas como el trabajo infantil mediante el apoyo al desarrollo de los proyectos de vida de los niños, las niñas y adolescentes participantes y la identificación y fortalecimiento de sus habilidades; el consumo de sustancias psicoactivas a partir de la promoción del buen uso del tiempo libre y del autocuidado; el embarazo adolescente mediante la promoción de derechos sexuales y reproductivos; violencias juvenil, sexual y escolar a partir de la promoción de la ciudadanía, la convivencia y la solución pacífica de conflictos, y el reclutamiento ilícito mediante la identificación de factores de riesgo presentes en el contexto en el que se encuentran los participantes y las rutas de prevención institucional que pueden amparar en momentos en que la amenaza sea más fuerte y directa.</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 xml:space="preserve">El Programa se ejecuta con un enfoque territorial diferencial, mediante 3 modalidades de atención: </w:t>
      </w:r>
    </w:p>
    <w:p w:rsidR="00FB2352" w:rsidRPr="00992589" w:rsidRDefault="00FB2352" w:rsidP="00FB2352">
      <w:pPr>
        <w:spacing w:after="0" w:line="240" w:lineRule="auto"/>
        <w:jc w:val="both"/>
        <w:rPr>
          <w:rFonts w:cs="Arial"/>
        </w:rPr>
      </w:pPr>
    </w:p>
    <w:p w:rsidR="0063584B" w:rsidRDefault="00FB2352" w:rsidP="00D712DC">
      <w:pPr>
        <w:pStyle w:val="Prrafodelista"/>
        <w:numPr>
          <w:ilvl w:val="0"/>
          <w:numId w:val="88"/>
        </w:numPr>
        <w:spacing w:after="0" w:line="240" w:lineRule="auto"/>
        <w:contextualSpacing/>
        <w:jc w:val="both"/>
        <w:rPr>
          <w:rFonts w:cs="Arial"/>
        </w:rPr>
      </w:pPr>
      <w:r w:rsidRPr="00992589">
        <w:rPr>
          <w:rFonts w:cs="Arial"/>
        </w:rPr>
        <w:t>Generaciones con Bienestar-Tradicional: se implementa principalmente en áreas urbanas y cabeceras municipales en zonas geográficas priorizadas por la existencia de factores de riesgo, amenazas y vulneraciones contra los niños, niñas y adolescentes.</w:t>
      </w:r>
    </w:p>
    <w:p w:rsidR="00FB2352" w:rsidRPr="00992589" w:rsidRDefault="00FB2352" w:rsidP="0063584B">
      <w:pPr>
        <w:pStyle w:val="Prrafodelista"/>
        <w:spacing w:after="0" w:line="240" w:lineRule="auto"/>
        <w:ind w:left="360"/>
        <w:contextualSpacing/>
        <w:jc w:val="both"/>
        <w:rPr>
          <w:rFonts w:cs="Arial"/>
        </w:rPr>
      </w:pPr>
      <w:r w:rsidRPr="00992589">
        <w:rPr>
          <w:rFonts w:cs="Arial"/>
        </w:rPr>
        <w:t xml:space="preserve"> </w:t>
      </w:r>
    </w:p>
    <w:p w:rsidR="00FB2352" w:rsidRDefault="00FB2352" w:rsidP="00D712DC">
      <w:pPr>
        <w:pStyle w:val="Prrafodelista"/>
        <w:numPr>
          <w:ilvl w:val="0"/>
          <w:numId w:val="88"/>
        </w:numPr>
        <w:spacing w:after="0" w:line="240" w:lineRule="auto"/>
        <w:contextualSpacing/>
        <w:jc w:val="both"/>
        <w:rPr>
          <w:rFonts w:cs="Arial"/>
        </w:rPr>
      </w:pPr>
      <w:r w:rsidRPr="00992589">
        <w:rPr>
          <w:rFonts w:cs="Arial"/>
        </w:rPr>
        <w:t>Generaciones Rurales con Bienestar: tiene la finalidad de reconocer las particularidades y necesidades específicas de los niños, niñas y adolescentes que habitan en el sector rural</w:t>
      </w:r>
      <w:r w:rsidR="0063584B">
        <w:rPr>
          <w:rFonts w:cs="Arial"/>
        </w:rPr>
        <w:t>.</w:t>
      </w:r>
    </w:p>
    <w:p w:rsidR="0063584B" w:rsidRPr="0063584B" w:rsidRDefault="0063584B" w:rsidP="0063584B">
      <w:pPr>
        <w:spacing w:after="0" w:line="240" w:lineRule="auto"/>
        <w:contextualSpacing/>
        <w:jc w:val="both"/>
        <w:rPr>
          <w:rFonts w:cs="Arial"/>
        </w:rPr>
      </w:pPr>
    </w:p>
    <w:p w:rsidR="00FB2352" w:rsidRDefault="00FB2352" w:rsidP="00D712DC">
      <w:pPr>
        <w:pStyle w:val="Prrafodelista"/>
        <w:numPr>
          <w:ilvl w:val="0"/>
          <w:numId w:val="88"/>
        </w:numPr>
        <w:spacing w:after="0" w:line="240" w:lineRule="auto"/>
        <w:contextualSpacing/>
        <w:jc w:val="both"/>
        <w:rPr>
          <w:rFonts w:cs="Arial"/>
        </w:rPr>
      </w:pPr>
      <w:r w:rsidRPr="00992589">
        <w:rPr>
          <w:rFonts w:cs="Arial"/>
        </w:rPr>
        <w:t xml:space="preserve">Generaciones Étnicas con Bienestar: asume el enfoque diferencial en el diseño y aplicación de la política pública para la prevención y protección integral a la niñez, tomando como punto de partida las características particulares de la población indígena, afrocolombiana, raizal y Rom. </w:t>
      </w:r>
    </w:p>
    <w:p w:rsidR="00E21FD5" w:rsidRPr="00E21FD5" w:rsidRDefault="00E21FD5" w:rsidP="00E21FD5">
      <w:pPr>
        <w:spacing w:after="0" w:line="240" w:lineRule="auto"/>
        <w:contextualSpacing/>
        <w:jc w:val="both"/>
        <w:rPr>
          <w:rFonts w:cs="Arial"/>
        </w:rPr>
      </w:pPr>
    </w:p>
    <w:p w:rsidR="00FB2352" w:rsidRPr="00992589" w:rsidRDefault="00FB2352" w:rsidP="00E21FD5">
      <w:pPr>
        <w:ind w:firstLine="708"/>
        <w:rPr>
          <w:b/>
          <w:bCs/>
          <w:lang w:val="es-ES_tradnl"/>
        </w:rPr>
      </w:pPr>
      <w:r w:rsidRPr="00992589">
        <w:rPr>
          <w:b/>
          <w:bCs/>
          <w:lang w:val="es-ES_tradnl"/>
        </w:rPr>
        <w:t>Presupuesto y atención del programa por modalidad</w:t>
      </w:r>
    </w:p>
    <w:p w:rsidR="00FB2352" w:rsidRPr="00992589" w:rsidRDefault="00FB2352" w:rsidP="00FB2352">
      <w:pPr>
        <w:pStyle w:val="Sinespaciado"/>
        <w:jc w:val="both"/>
        <w:rPr>
          <w:rFonts w:cs="Arial"/>
          <w:bCs/>
          <w:lang w:val="es-ES_tradnl"/>
        </w:rPr>
      </w:pPr>
      <w:r w:rsidRPr="00992589">
        <w:rPr>
          <w:rFonts w:cs="Arial"/>
          <w:bCs/>
          <w:lang w:val="es-ES_tradnl"/>
        </w:rPr>
        <w:t>Durante la presente vigencia el programa ha logrado contar con la participación de 113.424 niños, niña y adolescente, entre los cuales 26.186 se encuentran identificados como víctimas. La atención a la población víctima, se da principalmente con las comunidades étnicas que cuentan con medidas especiales para garantizar su pervivencia como los planes de salvaguarda, autos y sentencias de la corte constitucional.</w:t>
      </w:r>
    </w:p>
    <w:p w:rsidR="00FB2352" w:rsidRPr="00992589" w:rsidRDefault="00FB2352" w:rsidP="00FB2352">
      <w:pPr>
        <w:pStyle w:val="Sinespaciado"/>
        <w:jc w:val="both"/>
        <w:rPr>
          <w:rFonts w:cs="Arial"/>
          <w:bCs/>
          <w:lang w:val="es-ES_tradnl"/>
        </w:rPr>
      </w:pPr>
      <w:r w:rsidRPr="00992589">
        <w:rPr>
          <w:rFonts w:cs="Arial"/>
          <w:bCs/>
          <w:lang w:val="es-ES_tradnl"/>
        </w:rPr>
        <w:lastRenderedPageBreak/>
        <w:t>En las siguientes tablas se presentan los recursos programados y apropiados y la atención del programa con corte a 31 de diciembre de 2016:</w:t>
      </w:r>
    </w:p>
    <w:p w:rsidR="00FB2352" w:rsidRPr="00992589" w:rsidRDefault="00FB2352" w:rsidP="00FB2352">
      <w:pPr>
        <w:pStyle w:val="Sinespaciado"/>
        <w:jc w:val="both"/>
        <w:rPr>
          <w:rFonts w:cs="Arial"/>
          <w:bCs/>
          <w:lang w:val="es-ES_tradnl"/>
        </w:rPr>
      </w:pPr>
    </w:p>
    <w:tbl>
      <w:tblPr>
        <w:tblW w:w="9087" w:type="dxa"/>
        <w:tblInd w:w="-2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346"/>
        <w:gridCol w:w="1857"/>
        <w:gridCol w:w="1549"/>
        <w:gridCol w:w="2926"/>
        <w:gridCol w:w="2409"/>
      </w:tblGrid>
      <w:tr w:rsidR="00FB2352" w:rsidRPr="00992589" w:rsidTr="00BA48E3">
        <w:trPr>
          <w:trHeight w:val="315"/>
        </w:trPr>
        <w:tc>
          <w:tcPr>
            <w:tcW w:w="346" w:type="dxa"/>
            <w:vMerge w:val="restart"/>
            <w:shd w:val="clear" w:color="auto" w:fill="76923C" w:themeFill="accent3" w:themeFillShade="BF"/>
            <w:textDirection w:val="tbLrV"/>
            <w:vAlign w:val="center"/>
            <w:hideMark/>
          </w:tcPr>
          <w:p w:rsidR="00FB2352" w:rsidRPr="00BA48E3" w:rsidRDefault="00BA48E3" w:rsidP="008B5E2B">
            <w:pPr>
              <w:spacing w:after="0" w:line="240" w:lineRule="auto"/>
              <w:ind w:left="113"/>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No Víctimas</w:t>
            </w:r>
          </w:p>
        </w:tc>
        <w:tc>
          <w:tcPr>
            <w:tcW w:w="1857"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 xml:space="preserve">Modalidad </w:t>
            </w:r>
          </w:p>
        </w:tc>
        <w:tc>
          <w:tcPr>
            <w:tcW w:w="1549"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NNA</w:t>
            </w:r>
            <w:r w:rsidRPr="00BA48E3">
              <w:rPr>
                <w:rFonts w:eastAsia="Times New Roman" w:cs="Arial"/>
                <w:b/>
                <w:bCs/>
                <w:color w:val="FFFFFF" w:themeColor="background1"/>
                <w:sz w:val="18"/>
                <w:szCs w:val="18"/>
                <w:lang w:val="es-CO" w:eastAsia="es-CO"/>
              </w:rPr>
              <w:t xml:space="preserve"> Atendidos </w:t>
            </w:r>
          </w:p>
        </w:tc>
        <w:tc>
          <w:tcPr>
            <w:tcW w:w="2926"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 xml:space="preserve">Presupuesto Programado </w:t>
            </w:r>
          </w:p>
        </w:tc>
        <w:tc>
          <w:tcPr>
            <w:tcW w:w="2409"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Presupuesto Obligado</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BA48E3"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Tradicional *</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58.988</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$13.050.282.704,00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$12.648.957.702,00</w:t>
            </w:r>
          </w:p>
        </w:tc>
      </w:tr>
      <w:tr w:rsidR="00FB2352" w:rsidRPr="00992589" w:rsidTr="00BA48E3">
        <w:trPr>
          <w:trHeight w:val="100"/>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BA48E3"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Étnica</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20.550</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$8.728.371.701,00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$8.104.748.076,00</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BA48E3"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 xml:space="preserve">Rural </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11.485</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$3.950.346.608,00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$3.630.851.025,00</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E2EFDA"/>
            <w:noWrap/>
            <w:vAlign w:val="center"/>
            <w:hideMark/>
          </w:tcPr>
          <w:p w:rsidR="00FB2352" w:rsidRPr="00992589" w:rsidRDefault="00BA48E3"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 xml:space="preserve">Total No Victimas </w:t>
            </w:r>
          </w:p>
        </w:tc>
        <w:tc>
          <w:tcPr>
            <w:tcW w:w="1549" w:type="dxa"/>
            <w:shd w:val="clear" w:color="auto" w:fill="E2EFDA"/>
            <w:noWrap/>
            <w:vAlign w:val="center"/>
            <w:hideMark/>
          </w:tcPr>
          <w:p w:rsidR="00FB2352" w:rsidRPr="00992589" w:rsidRDefault="00FB2352"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91.023</w:t>
            </w:r>
          </w:p>
        </w:tc>
        <w:tc>
          <w:tcPr>
            <w:tcW w:w="2926" w:type="dxa"/>
            <w:shd w:val="clear" w:color="auto" w:fill="E2EFDA"/>
            <w:noWrap/>
            <w:vAlign w:val="center"/>
            <w:hideMark/>
          </w:tcPr>
          <w:p w:rsidR="00FB2352" w:rsidRPr="00992589" w:rsidRDefault="00FB2352" w:rsidP="00FB2352">
            <w:pPr>
              <w:spacing w:after="0" w:line="240" w:lineRule="auto"/>
              <w:jc w:val="right"/>
              <w:rPr>
                <w:rFonts w:eastAsia="Times New Roman" w:cs="Arial"/>
                <w:b/>
                <w:bCs/>
                <w:sz w:val="18"/>
                <w:szCs w:val="18"/>
                <w:lang w:val="es-CO" w:eastAsia="es-CO"/>
              </w:rPr>
            </w:pPr>
            <w:r w:rsidRPr="00992589">
              <w:rPr>
                <w:rFonts w:eastAsia="Times New Roman" w:cs="Arial"/>
                <w:b/>
                <w:bCs/>
                <w:sz w:val="18"/>
                <w:szCs w:val="18"/>
                <w:lang w:val="es-CO" w:eastAsia="es-CO"/>
              </w:rPr>
              <w:t xml:space="preserve"> $                     25.729.001.013,00 </w:t>
            </w:r>
          </w:p>
        </w:tc>
        <w:tc>
          <w:tcPr>
            <w:tcW w:w="2409" w:type="dxa"/>
            <w:shd w:val="clear" w:color="auto" w:fill="E2EFDA"/>
            <w:noWrap/>
            <w:vAlign w:val="center"/>
            <w:hideMark/>
          </w:tcPr>
          <w:p w:rsidR="00FB2352" w:rsidRPr="00992589" w:rsidRDefault="00FB2352" w:rsidP="00FB2352">
            <w:pPr>
              <w:spacing w:after="0" w:line="240" w:lineRule="auto"/>
              <w:jc w:val="right"/>
              <w:rPr>
                <w:rFonts w:eastAsia="Times New Roman" w:cs="Arial"/>
                <w:b/>
                <w:bCs/>
                <w:sz w:val="18"/>
                <w:szCs w:val="18"/>
                <w:lang w:val="es-CO" w:eastAsia="es-CO"/>
              </w:rPr>
            </w:pPr>
            <w:r w:rsidRPr="00992589">
              <w:rPr>
                <w:rFonts w:eastAsia="Times New Roman" w:cs="Arial"/>
                <w:b/>
                <w:bCs/>
                <w:sz w:val="18"/>
                <w:szCs w:val="18"/>
                <w:lang w:val="es-CO" w:eastAsia="es-CO"/>
              </w:rPr>
              <w:t xml:space="preserve"> $            24.384.556.803,00 </w:t>
            </w:r>
          </w:p>
        </w:tc>
      </w:tr>
      <w:tr w:rsidR="00FB2352" w:rsidRPr="00992589" w:rsidTr="00BA48E3">
        <w:trPr>
          <w:trHeight w:val="300"/>
        </w:trPr>
        <w:tc>
          <w:tcPr>
            <w:tcW w:w="9087" w:type="dxa"/>
            <w:gridSpan w:val="5"/>
            <w:vMerge w:val="restart"/>
            <w:shd w:val="clear" w:color="auto" w:fill="auto"/>
            <w:noWrap/>
            <w:vAlign w:val="center"/>
            <w:hideMark/>
          </w:tcPr>
          <w:p w:rsidR="00FB2352" w:rsidRPr="00BA48E3" w:rsidRDefault="00FB2352" w:rsidP="00FB2352">
            <w:pPr>
              <w:spacing w:after="0" w:line="240" w:lineRule="auto"/>
              <w:rPr>
                <w:rFonts w:eastAsia="Times New Roman" w:cs="Arial"/>
                <w:sz w:val="16"/>
                <w:szCs w:val="16"/>
                <w:lang w:val="es-CO" w:eastAsia="es-CO"/>
              </w:rPr>
            </w:pPr>
            <w:r w:rsidRPr="00BA48E3">
              <w:rPr>
                <w:rFonts w:eastAsia="Times New Roman" w:cs="Arial"/>
                <w:sz w:val="16"/>
                <w:szCs w:val="16"/>
                <w:lang w:val="es-CO" w:eastAsia="es-CO"/>
              </w:rPr>
              <w:t>*Incluye NNA atendidos como contrapartida.</w:t>
            </w:r>
          </w:p>
        </w:tc>
      </w:tr>
      <w:tr w:rsidR="00FB2352" w:rsidRPr="00992589" w:rsidTr="00BA48E3">
        <w:trPr>
          <w:trHeight w:val="253"/>
        </w:trPr>
        <w:tc>
          <w:tcPr>
            <w:tcW w:w="9087" w:type="dxa"/>
            <w:gridSpan w:val="5"/>
            <w:vMerge/>
            <w:vAlign w:val="center"/>
            <w:hideMark/>
          </w:tcPr>
          <w:p w:rsidR="00FB2352" w:rsidRPr="00992589" w:rsidRDefault="00FB2352" w:rsidP="00FB2352">
            <w:pPr>
              <w:spacing w:after="0" w:line="240" w:lineRule="auto"/>
              <w:rPr>
                <w:rFonts w:eastAsia="Times New Roman" w:cs="Arial"/>
                <w:sz w:val="18"/>
                <w:szCs w:val="18"/>
                <w:lang w:val="es-CO" w:eastAsia="es-CO"/>
              </w:rPr>
            </w:pPr>
          </w:p>
        </w:tc>
      </w:tr>
      <w:tr w:rsidR="00FB2352" w:rsidRPr="00992589" w:rsidTr="00BA48E3">
        <w:trPr>
          <w:trHeight w:val="315"/>
        </w:trPr>
        <w:tc>
          <w:tcPr>
            <w:tcW w:w="346" w:type="dxa"/>
            <w:vMerge w:val="restart"/>
            <w:shd w:val="clear" w:color="auto" w:fill="76923C" w:themeFill="accent3" w:themeFillShade="BF"/>
            <w:textDirection w:val="tbLrV"/>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Víctimas</w:t>
            </w:r>
          </w:p>
        </w:tc>
        <w:tc>
          <w:tcPr>
            <w:tcW w:w="1857"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 xml:space="preserve">Modalidad </w:t>
            </w:r>
          </w:p>
        </w:tc>
        <w:tc>
          <w:tcPr>
            <w:tcW w:w="1549"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NNA</w:t>
            </w:r>
            <w:r w:rsidRPr="00BA48E3">
              <w:rPr>
                <w:rFonts w:eastAsia="Times New Roman" w:cs="Arial"/>
                <w:b/>
                <w:bCs/>
                <w:color w:val="FFFFFF" w:themeColor="background1"/>
                <w:sz w:val="18"/>
                <w:szCs w:val="18"/>
                <w:lang w:val="es-CO" w:eastAsia="es-CO"/>
              </w:rPr>
              <w:t xml:space="preserve"> Atendidos </w:t>
            </w:r>
          </w:p>
        </w:tc>
        <w:tc>
          <w:tcPr>
            <w:tcW w:w="2926"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 xml:space="preserve">Presupuesto Programado </w:t>
            </w:r>
          </w:p>
        </w:tc>
        <w:tc>
          <w:tcPr>
            <w:tcW w:w="2409" w:type="dxa"/>
            <w:shd w:val="clear" w:color="auto" w:fill="76923C" w:themeFill="accent3" w:themeFillShade="BF"/>
            <w:noWrap/>
            <w:vAlign w:val="center"/>
            <w:hideMark/>
          </w:tcPr>
          <w:p w:rsidR="00FB2352" w:rsidRPr="00BA48E3" w:rsidRDefault="00BA48E3" w:rsidP="00FB2352">
            <w:pPr>
              <w:spacing w:after="0" w:line="240" w:lineRule="auto"/>
              <w:jc w:val="center"/>
              <w:rPr>
                <w:rFonts w:eastAsia="Times New Roman" w:cs="Arial"/>
                <w:b/>
                <w:bCs/>
                <w:color w:val="FFFFFF" w:themeColor="background1"/>
                <w:sz w:val="18"/>
                <w:szCs w:val="18"/>
                <w:lang w:val="es-CO" w:eastAsia="es-CO"/>
              </w:rPr>
            </w:pPr>
            <w:r w:rsidRPr="00BA48E3">
              <w:rPr>
                <w:rFonts w:eastAsia="Times New Roman" w:cs="Arial"/>
                <w:b/>
                <w:bCs/>
                <w:color w:val="FFFFFF" w:themeColor="background1"/>
                <w:sz w:val="18"/>
                <w:szCs w:val="18"/>
                <w:lang w:val="es-CO" w:eastAsia="es-CO"/>
              </w:rPr>
              <w:t>Presupuesto Obligado</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8B5E2B"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 xml:space="preserve">Tradicional </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5.173</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$1.200.848.771,00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$1.174.344.739,00</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8B5E2B"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Étnica</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19.850</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$8.294.491.801,00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$7.956.762.071,00</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auto"/>
            <w:noWrap/>
            <w:vAlign w:val="center"/>
            <w:hideMark/>
          </w:tcPr>
          <w:p w:rsidR="00FB2352" w:rsidRPr="00992589" w:rsidRDefault="008B5E2B"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 xml:space="preserve">Rural </w:t>
            </w:r>
          </w:p>
        </w:tc>
        <w:tc>
          <w:tcPr>
            <w:tcW w:w="1549" w:type="dxa"/>
            <w:shd w:val="clear" w:color="auto" w:fill="auto"/>
            <w:noWrap/>
            <w:vAlign w:val="center"/>
            <w:hideMark/>
          </w:tcPr>
          <w:p w:rsidR="00FB2352" w:rsidRPr="00992589" w:rsidRDefault="00FB2352" w:rsidP="00FB2352">
            <w:pPr>
              <w:spacing w:after="0" w:line="240" w:lineRule="auto"/>
              <w:jc w:val="center"/>
              <w:rPr>
                <w:rFonts w:eastAsia="Times New Roman" w:cs="Arial"/>
                <w:sz w:val="18"/>
                <w:szCs w:val="18"/>
                <w:lang w:val="es-CO" w:eastAsia="es-CO"/>
              </w:rPr>
            </w:pPr>
            <w:r w:rsidRPr="00992589">
              <w:rPr>
                <w:rFonts w:eastAsia="Times New Roman" w:cs="Arial"/>
                <w:sz w:val="18"/>
                <w:szCs w:val="18"/>
                <w:lang w:val="es-CO" w:eastAsia="es-CO"/>
              </w:rPr>
              <w:t>1.168</w:t>
            </w:r>
          </w:p>
        </w:tc>
        <w:tc>
          <w:tcPr>
            <w:tcW w:w="2926"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$381.727.078,00</w:t>
            </w:r>
          </w:p>
        </w:tc>
        <w:tc>
          <w:tcPr>
            <w:tcW w:w="2409" w:type="dxa"/>
            <w:shd w:val="clear" w:color="auto" w:fill="auto"/>
            <w:noWrap/>
            <w:vAlign w:val="center"/>
            <w:hideMark/>
          </w:tcPr>
          <w:p w:rsidR="00FB2352" w:rsidRPr="00992589" w:rsidRDefault="00FB2352" w:rsidP="00FB2352">
            <w:pPr>
              <w:spacing w:after="0" w:line="240" w:lineRule="auto"/>
              <w:jc w:val="right"/>
              <w:rPr>
                <w:rFonts w:eastAsia="Times New Roman" w:cs="Arial"/>
                <w:sz w:val="18"/>
                <w:szCs w:val="18"/>
                <w:lang w:val="es-CO" w:eastAsia="es-CO"/>
              </w:rPr>
            </w:pPr>
            <w:r w:rsidRPr="00992589">
              <w:rPr>
                <w:rFonts w:eastAsia="Times New Roman" w:cs="Arial"/>
                <w:sz w:val="18"/>
                <w:szCs w:val="18"/>
                <w:lang w:val="es-CO" w:eastAsia="es-CO"/>
              </w:rPr>
              <w:t>$381.064.970,00</w:t>
            </w:r>
          </w:p>
        </w:tc>
      </w:tr>
      <w:tr w:rsidR="00FB2352" w:rsidRPr="00992589" w:rsidTr="00BA48E3">
        <w:trPr>
          <w:trHeight w:val="315"/>
        </w:trPr>
        <w:tc>
          <w:tcPr>
            <w:tcW w:w="346" w:type="dxa"/>
            <w:vMerge/>
            <w:vAlign w:val="center"/>
            <w:hideMark/>
          </w:tcPr>
          <w:p w:rsidR="00FB2352" w:rsidRPr="00992589" w:rsidRDefault="00FB2352" w:rsidP="00FB2352">
            <w:pPr>
              <w:spacing w:after="0" w:line="240" w:lineRule="auto"/>
              <w:rPr>
                <w:rFonts w:eastAsia="Times New Roman" w:cs="Arial"/>
                <w:b/>
                <w:bCs/>
                <w:sz w:val="18"/>
                <w:szCs w:val="18"/>
                <w:lang w:val="es-CO" w:eastAsia="es-CO"/>
              </w:rPr>
            </w:pPr>
          </w:p>
        </w:tc>
        <w:tc>
          <w:tcPr>
            <w:tcW w:w="1857" w:type="dxa"/>
            <w:shd w:val="clear" w:color="auto" w:fill="E2EFDA"/>
            <w:noWrap/>
            <w:vAlign w:val="center"/>
            <w:hideMark/>
          </w:tcPr>
          <w:p w:rsidR="00FB2352" w:rsidRPr="00992589" w:rsidRDefault="00BA48E3"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 xml:space="preserve">Total Victimas </w:t>
            </w:r>
          </w:p>
        </w:tc>
        <w:tc>
          <w:tcPr>
            <w:tcW w:w="1549" w:type="dxa"/>
            <w:shd w:val="clear" w:color="auto" w:fill="E2EFDA"/>
            <w:noWrap/>
            <w:vAlign w:val="center"/>
            <w:hideMark/>
          </w:tcPr>
          <w:p w:rsidR="00FB2352" w:rsidRPr="00992589" w:rsidRDefault="00FB2352"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26.191</w:t>
            </w:r>
          </w:p>
        </w:tc>
        <w:tc>
          <w:tcPr>
            <w:tcW w:w="2926" w:type="dxa"/>
            <w:shd w:val="clear" w:color="auto" w:fill="E2EFDA"/>
            <w:noWrap/>
            <w:vAlign w:val="center"/>
            <w:hideMark/>
          </w:tcPr>
          <w:p w:rsidR="00FB2352" w:rsidRPr="00992589" w:rsidRDefault="00FB2352" w:rsidP="00FB2352">
            <w:pPr>
              <w:spacing w:after="0" w:line="240" w:lineRule="auto"/>
              <w:jc w:val="right"/>
              <w:rPr>
                <w:rFonts w:eastAsia="Times New Roman" w:cs="Arial"/>
                <w:b/>
                <w:bCs/>
                <w:sz w:val="18"/>
                <w:szCs w:val="18"/>
                <w:lang w:val="es-CO" w:eastAsia="es-CO"/>
              </w:rPr>
            </w:pPr>
            <w:r w:rsidRPr="00992589">
              <w:rPr>
                <w:rFonts w:eastAsia="Times New Roman" w:cs="Arial"/>
                <w:b/>
                <w:bCs/>
                <w:sz w:val="18"/>
                <w:szCs w:val="18"/>
                <w:lang w:val="es-CO" w:eastAsia="es-CO"/>
              </w:rPr>
              <w:t xml:space="preserve"> $                        9.877.067.650,00 </w:t>
            </w:r>
          </w:p>
        </w:tc>
        <w:tc>
          <w:tcPr>
            <w:tcW w:w="2409" w:type="dxa"/>
            <w:shd w:val="clear" w:color="auto" w:fill="E2EFDA"/>
            <w:noWrap/>
            <w:vAlign w:val="center"/>
            <w:hideMark/>
          </w:tcPr>
          <w:p w:rsidR="00FB2352" w:rsidRPr="00992589" w:rsidRDefault="00FB2352" w:rsidP="00FB2352">
            <w:pPr>
              <w:spacing w:after="0" w:line="240" w:lineRule="auto"/>
              <w:jc w:val="right"/>
              <w:rPr>
                <w:rFonts w:eastAsia="Times New Roman" w:cs="Arial"/>
                <w:b/>
                <w:bCs/>
                <w:sz w:val="18"/>
                <w:szCs w:val="18"/>
                <w:lang w:val="es-CO" w:eastAsia="es-CO"/>
              </w:rPr>
            </w:pPr>
            <w:r w:rsidRPr="00992589">
              <w:rPr>
                <w:rFonts w:eastAsia="Times New Roman" w:cs="Arial"/>
                <w:b/>
                <w:bCs/>
                <w:sz w:val="18"/>
                <w:szCs w:val="18"/>
                <w:lang w:val="es-CO" w:eastAsia="es-CO"/>
              </w:rPr>
              <w:t xml:space="preserve"> $              9.512.171.780,00 </w:t>
            </w:r>
          </w:p>
        </w:tc>
      </w:tr>
      <w:tr w:rsidR="00FB2352" w:rsidRPr="00992589" w:rsidTr="00BA48E3">
        <w:trPr>
          <w:trHeight w:val="330"/>
        </w:trPr>
        <w:tc>
          <w:tcPr>
            <w:tcW w:w="2203" w:type="dxa"/>
            <w:gridSpan w:val="2"/>
            <w:shd w:val="clear" w:color="auto" w:fill="E2EFDA"/>
            <w:noWrap/>
            <w:vAlign w:val="bottom"/>
            <w:hideMark/>
          </w:tcPr>
          <w:p w:rsidR="00FB2352" w:rsidRPr="00992589" w:rsidRDefault="00BA48E3" w:rsidP="00FB2352">
            <w:pPr>
              <w:spacing w:after="0" w:line="240" w:lineRule="auto"/>
              <w:rPr>
                <w:rFonts w:eastAsia="Times New Roman" w:cs="Arial"/>
                <w:b/>
                <w:bCs/>
                <w:sz w:val="18"/>
                <w:szCs w:val="18"/>
                <w:lang w:val="es-CO" w:eastAsia="es-CO"/>
              </w:rPr>
            </w:pPr>
            <w:r w:rsidRPr="00992589">
              <w:rPr>
                <w:rFonts w:eastAsia="Times New Roman" w:cs="Arial"/>
                <w:b/>
                <w:bCs/>
                <w:sz w:val="18"/>
                <w:szCs w:val="18"/>
                <w:lang w:val="es-CO" w:eastAsia="es-CO"/>
              </w:rPr>
              <w:t xml:space="preserve">        Total General </w:t>
            </w:r>
          </w:p>
        </w:tc>
        <w:tc>
          <w:tcPr>
            <w:tcW w:w="1549" w:type="dxa"/>
            <w:shd w:val="clear" w:color="auto" w:fill="E2EFDA"/>
            <w:noWrap/>
            <w:vAlign w:val="center"/>
            <w:hideMark/>
          </w:tcPr>
          <w:p w:rsidR="00FB2352" w:rsidRPr="00992589" w:rsidRDefault="00FB2352"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117.214</w:t>
            </w:r>
          </w:p>
        </w:tc>
        <w:tc>
          <w:tcPr>
            <w:tcW w:w="2926" w:type="dxa"/>
            <w:shd w:val="clear" w:color="auto" w:fill="E2EFDA"/>
            <w:noWrap/>
            <w:vAlign w:val="center"/>
            <w:hideMark/>
          </w:tcPr>
          <w:p w:rsidR="00FB2352" w:rsidRPr="00992589" w:rsidRDefault="00FB2352"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 xml:space="preserve"> $                     35.606.068.663,00 </w:t>
            </w:r>
          </w:p>
        </w:tc>
        <w:tc>
          <w:tcPr>
            <w:tcW w:w="2409" w:type="dxa"/>
            <w:shd w:val="clear" w:color="auto" w:fill="E2EFDA"/>
            <w:noWrap/>
            <w:vAlign w:val="center"/>
            <w:hideMark/>
          </w:tcPr>
          <w:p w:rsidR="00FB2352" w:rsidRPr="00992589" w:rsidRDefault="00FB2352" w:rsidP="00FB2352">
            <w:pPr>
              <w:spacing w:after="0" w:line="240" w:lineRule="auto"/>
              <w:jc w:val="center"/>
              <w:rPr>
                <w:rFonts w:eastAsia="Times New Roman" w:cs="Arial"/>
                <w:b/>
                <w:bCs/>
                <w:sz w:val="18"/>
                <w:szCs w:val="18"/>
                <w:lang w:val="es-CO" w:eastAsia="es-CO"/>
              </w:rPr>
            </w:pPr>
            <w:r w:rsidRPr="00992589">
              <w:rPr>
                <w:rFonts w:eastAsia="Times New Roman" w:cs="Arial"/>
                <w:b/>
                <w:bCs/>
                <w:sz w:val="18"/>
                <w:szCs w:val="18"/>
                <w:lang w:val="es-CO" w:eastAsia="es-CO"/>
              </w:rPr>
              <w:t xml:space="preserve"> $            33.896.728.583,00 </w:t>
            </w:r>
          </w:p>
        </w:tc>
      </w:tr>
    </w:tbl>
    <w:p w:rsidR="00FB2352" w:rsidRPr="00992589" w:rsidRDefault="00FB2352" w:rsidP="00FB2352">
      <w:pPr>
        <w:pStyle w:val="Sinespaciado"/>
        <w:jc w:val="both"/>
        <w:rPr>
          <w:rFonts w:cs="Arial"/>
          <w:bCs/>
          <w:sz w:val="16"/>
          <w:lang w:val="es-ES_tradnl"/>
        </w:rPr>
      </w:pPr>
      <w:r w:rsidRPr="008B5E2B">
        <w:rPr>
          <w:rFonts w:cs="Arial"/>
          <w:b/>
          <w:bCs/>
          <w:sz w:val="16"/>
          <w:lang w:val="es-ES_tradnl"/>
        </w:rPr>
        <w:t>Fuente:</w:t>
      </w:r>
      <w:r w:rsidRPr="00992589">
        <w:rPr>
          <w:rFonts w:cs="Arial"/>
          <w:bCs/>
          <w:sz w:val="16"/>
          <w:lang w:val="es-ES_tradnl"/>
        </w:rPr>
        <w:t xml:space="preserve"> Reporte Ejecución Metas sociales y financieras SIM Cierre vigencia 2016.</w:t>
      </w:r>
    </w:p>
    <w:p w:rsidR="00EE3C3F" w:rsidRPr="00D21160" w:rsidRDefault="00EE3C3F" w:rsidP="00EE3C3F">
      <w:pPr>
        <w:rPr>
          <w:rFonts w:ascii="Calibri" w:hAnsi="Calibri"/>
          <w:i/>
          <w:iCs/>
          <w:sz w:val="16"/>
          <w:lang w:val="es-CO"/>
        </w:rPr>
      </w:pPr>
      <w:r w:rsidRPr="0063584B">
        <w:rPr>
          <w:i/>
          <w:iCs/>
          <w:sz w:val="16"/>
        </w:rPr>
        <w:t>Nota:</w:t>
      </w:r>
      <w:r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tbl>
      <w:tblPr>
        <w:tblW w:w="931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696"/>
        <w:gridCol w:w="994"/>
        <w:gridCol w:w="848"/>
        <w:gridCol w:w="1277"/>
        <w:gridCol w:w="1133"/>
        <w:gridCol w:w="1800"/>
        <w:gridCol w:w="1564"/>
      </w:tblGrid>
      <w:tr w:rsidR="00FB2352" w:rsidRPr="008B5E2B" w:rsidTr="005F336B">
        <w:trPr>
          <w:trHeight w:val="399"/>
          <w:tblHeader/>
          <w:jc w:val="center"/>
        </w:trPr>
        <w:tc>
          <w:tcPr>
            <w:tcW w:w="1696" w:type="dxa"/>
            <w:shd w:val="clear" w:color="auto" w:fill="76923C" w:themeFill="accent3" w:themeFillShade="BF"/>
            <w:noWrap/>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Regional</w:t>
            </w:r>
          </w:p>
        </w:tc>
        <w:tc>
          <w:tcPr>
            <w:tcW w:w="994" w:type="dxa"/>
            <w:shd w:val="clear" w:color="auto" w:fill="76923C" w:themeFill="accent3" w:themeFillShade="BF"/>
            <w:noWrap/>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Tradicional</w:t>
            </w:r>
          </w:p>
        </w:tc>
        <w:tc>
          <w:tcPr>
            <w:tcW w:w="848" w:type="dxa"/>
            <w:shd w:val="clear" w:color="auto" w:fill="76923C" w:themeFill="accent3" w:themeFillShade="BF"/>
            <w:noWrap/>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Étnica</w:t>
            </w:r>
          </w:p>
        </w:tc>
        <w:tc>
          <w:tcPr>
            <w:tcW w:w="1277" w:type="dxa"/>
            <w:shd w:val="clear" w:color="auto" w:fill="76923C" w:themeFill="accent3" w:themeFillShade="BF"/>
            <w:noWrap/>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Rural</w:t>
            </w:r>
          </w:p>
        </w:tc>
        <w:tc>
          <w:tcPr>
            <w:tcW w:w="1133" w:type="dxa"/>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 xml:space="preserve">NNA </w:t>
            </w:r>
            <w:r w:rsidR="008B5E2B" w:rsidRPr="008B5E2B">
              <w:rPr>
                <w:rFonts w:eastAsia="Times New Roman" w:cs="Arial"/>
                <w:b/>
                <w:bCs/>
                <w:color w:val="FFFFFF" w:themeColor="background1"/>
                <w:sz w:val="16"/>
                <w:szCs w:val="18"/>
                <w:lang w:val="es-CO" w:eastAsia="es-CO"/>
              </w:rPr>
              <w:t>Atendidos</w:t>
            </w:r>
          </w:p>
        </w:tc>
        <w:tc>
          <w:tcPr>
            <w:tcW w:w="1800" w:type="dxa"/>
            <w:shd w:val="clear" w:color="auto" w:fill="76923C" w:themeFill="accent3" w:themeFillShade="BF"/>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Presupuesto Programado</w:t>
            </w:r>
          </w:p>
        </w:tc>
        <w:tc>
          <w:tcPr>
            <w:tcW w:w="1564" w:type="dxa"/>
            <w:shd w:val="clear" w:color="auto" w:fill="76923C" w:themeFill="accent3" w:themeFillShade="BF"/>
            <w:vAlign w:val="center"/>
            <w:hideMark/>
          </w:tcPr>
          <w:p w:rsidR="00FB2352" w:rsidRPr="008B5E2B" w:rsidRDefault="008B5E2B" w:rsidP="00FB2352">
            <w:pPr>
              <w:spacing w:after="0" w:line="240" w:lineRule="auto"/>
              <w:jc w:val="center"/>
              <w:rPr>
                <w:rFonts w:eastAsia="Times New Roman" w:cs="Arial"/>
                <w:b/>
                <w:bCs/>
                <w:color w:val="FFFFFF" w:themeColor="background1"/>
                <w:sz w:val="16"/>
                <w:szCs w:val="18"/>
                <w:lang w:val="es-CO" w:eastAsia="es-CO"/>
              </w:rPr>
            </w:pPr>
            <w:r w:rsidRPr="008B5E2B">
              <w:rPr>
                <w:rFonts w:eastAsia="Times New Roman" w:cs="Arial"/>
                <w:b/>
                <w:bCs/>
                <w:color w:val="FFFFFF" w:themeColor="background1"/>
                <w:sz w:val="16"/>
                <w:szCs w:val="18"/>
                <w:lang w:val="es-CO" w:eastAsia="es-CO"/>
              </w:rPr>
              <w:t>Presupuesto Obligado</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Amazonas</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325</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1.100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1.425</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$634.592.036,00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$634.592.036,00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Antioquia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4.046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3.725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8.671</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$2.635.239.234,00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$2.627.437.510,00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Arauca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800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2.425</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$1.177.291.055,00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$1.177.291.055,00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Atlántico</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2.207</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2.557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$587.244.250,00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$586.660.205,00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Bogotá</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2.698</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3.023</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$720.786.560,00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$720.786.560,00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Bolivar</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2.766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4.016</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$946.447.075,00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$900.780.746,00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Boyacá</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2.366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483</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2.949</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$752.290.319,00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$739.624.876,00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Caldas</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1.800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2.325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4.225</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$1.248.779.138,00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$1.238.282.451,00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Caquetá</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1.877</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600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2.477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$551.583.000,00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$551.583.000,00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Casanare</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1.100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1.700</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$513.702.800,00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$501.276.193,00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Cauca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3.800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3.775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7.575</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$2.697.219.469,00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$2.694.864.084,00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Cesar</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2.600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1.500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4.500</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$1.282.901.951,00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$1.282.901.951,00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Choco</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1.166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5.900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7.766</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$3.275.847.830,00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$2.332.050.519,00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Cordoba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2.631</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4.031</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$1.097.314.262,00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$1.066.852.403,00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Cundinamarca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3.226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3.226</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$695.444.925,00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$597.797.995,00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Guainía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202</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902</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$463.854.350,00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$445.459.050,00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Guaviare</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550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1.550</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$771.044.495,00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$739.281.513,00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lastRenderedPageBreak/>
              <w:t>Huila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1.997</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2.497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$538.555.726,00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$528.239.660,00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La Guajira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1.733</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2.650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4.383</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$1.294.355.640,00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$1.026.786.230,00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Magdalena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3.630</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4.980</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$1.288.890.105,00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$1.288.890.101,00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Meta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1.429</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575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2.704</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$736.557.959,00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$736.557.959,00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Nariño</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3.948</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3.475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8.123</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$2.468.423.675,00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$2.403.286.551,00</w:t>
            </w:r>
          </w:p>
        </w:tc>
      </w:tr>
      <w:tr w:rsidR="00FB2352" w:rsidRPr="008B5E2B" w:rsidTr="005F336B">
        <w:trPr>
          <w:trHeight w:val="315"/>
          <w:jc w:val="center"/>
        </w:trPr>
        <w:tc>
          <w:tcPr>
            <w:tcW w:w="1696" w:type="dxa"/>
            <w:shd w:val="clear" w:color="auto" w:fill="auto"/>
            <w:noWrap/>
            <w:vAlign w:val="center"/>
            <w:hideMark/>
          </w:tcPr>
          <w:p w:rsidR="00FB2352" w:rsidRPr="008B5E2B" w:rsidRDefault="005F336B" w:rsidP="00FB2352">
            <w:pPr>
              <w:spacing w:after="0" w:line="240" w:lineRule="auto"/>
              <w:rPr>
                <w:rFonts w:eastAsia="Times New Roman" w:cs="Arial"/>
                <w:sz w:val="16"/>
                <w:szCs w:val="18"/>
                <w:lang w:val="es-CO" w:eastAsia="es-CO"/>
              </w:rPr>
            </w:pPr>
            <w:r>
              <w:rPr>
                <w:rFonts w:eastAsia="Times New Roman" w:cs="Arial"/>
                <w:sz w:val="16"/>
                <w:szCs w:val="18"/>
                <w:lang w:val="es-CO" w:eastAsia="es-CO"/>
              </w:rPr>
              <w:t>Norte d</w:t>
            </w:r>
            <w:r w:rsidR="00F62AFB" w:rsidRPr="008B5E2B">
              <w:rPr>
                <w:rFonts w:eastAsia="Times New Roman" w:cs="Arial"/>
                <w:sz w:val="16"/>
                <w:szCs w:val="18"/>
                <w:lang w:val="es-CO" w:eastAsia="es-CO"/>
              </w:rPr>
              <w:t>e Santander</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2.403</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800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4.203</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$1.168.320.620,00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$1.157.590.286,00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Putumayo</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987</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1.950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3.637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$1.422.771.849,00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$1.414.133.390,00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Quindío</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1.532</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1.832</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$447.836.143,00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$440.077.402,00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Risaralda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1.174</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2.074</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$609.798.575,00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$608.466.029,00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San Andres</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714</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1.414</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$464.664.410,00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$464.664.410,00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Santander</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2.836</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3.036</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$639.844.390,00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$630.045.443,00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Sucre</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2.245</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625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400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3.270</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$829.940.688,00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$788.852.551,00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Tolima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2.337</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600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670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3.607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$898.030.939,00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$871.710.903,00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Valle Del Cauca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2.765</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3.150</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700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6.615</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$1.939.623.000,00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$1.907.983.100,00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Vaupés</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219</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525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100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844</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$428.576.395,00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$428.576.395,00</w:t>
            </w:r>
          </w:p>
        </w:tc>
      </w:tr>
      <w:tr w:rsidR="00FB2352" w:rsidRPr="008B5E2B" w:rsidTr="005F336B">
        <w:trPr>
          <w:trHeight w:val="315"/>
          <w:jc w:val="center"/>
        </w:trPr>
        <w:tc>
          <w:tcPr>
            <w:tcW w:w="1696" w:type="dxa"/>
            <w:shd w:val="clear" w:color="auto" w:fill="auto"/>
            <w:noWrap/>
            <w:vAlign w:val="center"/>
            <w:hideMark/>
          </w:tcPr>
          <w:p w:rsidR="00FB2352" w:rsidRPr="008B5E2B" w:rsidRDefault="00F62AFB" w:rsidP="00FB2352">
            <w:pPr>
              <w:spacing w:after="0" w:line="240" w:lineRule="auto"/>
              <w:rPr>
                <w:rFonts w:eastAsia="Times New Roman" w:cs="Arial"/>
                <w:sz w:val="16"/>
                <w:szCs w:val="18"/>
                <w:lang w:val="es-CO" w:eastAsia="es-CO"/>
              </w:rPr>
            </w:pPr>
            <w:r w:rsidRPr="008B5E2B">
              <w:rPr>
                <w:rFonts w:eastAsia="Times New Roman" w:cs="Arial"/>
                <w:sz w:val="16"/>
                <w:szCs w:val="18"/>
                <w:lang w:val="es-CO" w:eastAsia="es-CO"/>
              </w:rPr>
              <w:t>Vichada</w:t>
            </w:r>
          </w:p>
        </w:tc>
        <w:tc>
          <w:tcPr>
            <w:tcW w:w="994"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302</w:t>
            </w:r>
          </w:p>
        </w:tc>
        <w:tc>
          <w:tcPr>
            <w:tcW w:w="848"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375</w:t>
            </w:r>
          </w:p>
        </w:tc>
        <w:tc>
          <w:tcPr>
            <w:tcW w:w="1277"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300</w:t>
            </w:r>
          </w:p>
        </w:tc>
        <w:tc>
          <w:tcPr>
            <w:tcW w:w="1133" w:type="dxa"/>
            <w:shd w:val="clear" w:color="auto" w:fill="auto"/>
            <w:noWrap/>
            <w:vAlign w:val="center"/>
            <w:hideMark/>
          </w:tcPr>
          <w:p w:rsidR="00FB2352" w:rsidRPr="008B5E2B" w:rsidRDefault="00FB2352" w:rsidP="00FB2352">
            <w:pPr>
              <w:spacing w:after="0" w:line="240" w:lineRule="auto"/>
              <w:jc w:val="center"/>
              <w:rPr>
                <w:rFonts w:eastAsia="Times New Roman" w:cs="Arial"/>
                <w:sz w:val="16"/>
                <w:szCs w:val="18"/>
                <w:lang w:val="es-CO" w:eastAsia="es-CO"/>
              </w:rPr>
            </w:pPr>
            <w:r w:rsidRPr="008B5E2B">
              <w:rPr>
                <w:rFonts w:eastAsia="Times New Roman" w:cs="Arial"/>
                <w:sz w:val="16"/>
                <w:szCs w:val="18"/>
                <w:lang w:val="es-CO" w:eastAsia="es-CO"/>
              </w:rPr>
              <w:t>977</w:t>
            </w:r>
          </w:p>
        </w:tc>
        <w:tc>
          <w:tcPr>
            <w:tcW w:w="1800" w:type="dxa"/>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$378.295.800,00</w:t>
            </w:r>
          </w:p>
        </w:tc>
        <w:tc>
          <w:tcPr>
            <w:tcW w:w="0" w:type="auto"/>
            <w:shd w:val="clear" w:color="auto" w:fill="auto"/>
            <w:noWrap/>
            <w:vAlign w:val="center"/>
            <w:hideMark/>
          </w:tcPr>
          <w:p w:rsidR="00FB2352" w:rsidRPr="008B5E2B" w:rsidRDefault="00FB2352" w:rsidP="00FB2352">
            <w:pPr>
              <w:spacing w:after="0" w:line="240" w:lineRule="auto"/>
              <w:jc w:val="right"/>
              <w:rPr>
                <w:rFonts w:eastAsia="Times New Roman" w:cs="Arial"/>
                <w:sz w:val="16"/>
                <w:szCs w:val="18"/>
                <w:lang w:val="es-CO" w:eastAsia="es-CO"/>
              </w:rPr>
            </w:pPr>
            <w:r w:rsidRPr="008B5E2B">
              <w:rPr>
                <w:rFonts w:eastAsia="Times New Roman" w:cs="Arial"/>
                <w:sz w:val="16"/>
                <w:szCs w:val="18"/>
                <w:lang w:val="es-CO" w:eastAsia="es-CO"/>
              </w:rPr>
              <w:t>$363.346.026,00</w:t>
            </w:r>
          </w:p>
        </w:tc>
      </w:tr>
      <w:tr w:rsidR="00FB2352" w:rsidRPr="008B5E2B" w:rsidTr="005F336B">
        <w:trPr>
          <w:trHeight w:val="315"/>
          <w:jc w:val="center"/>
        </w:trPr>
        <w:tc>
          <w:tcPr>
            <w:tcW w:w="1696" w:type="dxa"/>
            <w:shd w:val="clear" w:color="auto" w:fill="E2EFDA"/>
            <w:noWrap/>
            <w:vAlign w:val="center"/>
            <w:hideMark/>
          </w:tcPr>
          <w:p w:rsidR="00FB2352" w:rsidRPr="008B5E2B" w:rsidRDefault="00FB2352" w:rsidP="00FB2352">
            <w:pPr>
              <w:spacing w:after="0" w:line="240" w:lineRule="auto"/>
              <w:rPr>
                <w:rFonts w:eastAsia="Times New Roman" w:cs="Arial"/>
                <w:b/>
                <w:bCs/>
                <w:sz w:val="16"/>
                <w:szCs w:val="18"/>
                <w:lang w:val="es-CO" w:eastAsia="es-CO"/>
              </w:rPr>
            </w:pPr>
            <w:r w:rsidRPr="008B5E2B">
              <w:rPr>
                <w:rFonts w:eastAsia="Times New Roman" w:cs="Arial"/>
                <w:b/>
                <w:bCs/>
                <w:sz w:val="16"/>
                <w:szCs w:val="18"/>
                <w:lang w:val="es-CO" w:eastAsia="es-CO"/>
              </w:rPr>
              <w:t xml:space="preserve">TOTAL GENERAL </w:t>
            </w:r>
          </w:p>
        </w:tc>
        <w:tc>
          <w:tcPr>
            <w:tcW w:w="994" w:type="dxa"/>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64.161</w:t>
            </w:r>
          </w:p>
        </w:tc>
        <w:tc>
          <w:tcPr>
            <w:tcW w:w="848" w:type="dxa"/>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40.400</w:t>
            </w:r>
          </w:p>
        </w:tc>
        <w:tc>
          <w:tcPr>
            <w:tcW w:w="1277" w:type="dxa"/>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12.653</w:t>
            </w:r>
          </w:p>
        </w:tc>
        <w:tc>
          <w:tcPr>
            <w:tcW w:w="1133" w:type="dxa"/>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117.214</w:t>
            </w:r>
          </w:p>
        </w:tc>
        <w:tc>
          <w:tcPr>
            <w:tcW w:w="1800" w:type="dxa"/>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$35.606.068.663,00</w:t>
            </w:r>
          </w:p>
        </w:tc>
        <w:tc>
          <w:tcPr>
            <w:tcW w:w="0" w:type="auto"/>
            <w:shd w:val="clear" w:color="auto" w:fill="E2EFDA"/>
            <w:noWrap/>
            <w:vAlign w:val="center"/>
            <w:hideMark/>
          </w:tcPr>
          <w:p w:rsidR="00FB2352" w:rsidRPr="008B5E2B" w:rsidRDefault="00FB2352" w:rsidP="00FB2352">
            <w:pPr>
              <w:spacing w:after="0" w:line="240" w:lineRule="auto"/>
              <w:jc w:val="center"/>
              <w:rPr>
                <w:rFonts w:eastAsia="Times New Roman" w:cs="Arial"/>
                <w:b/>
                <w:bCs/>
                <w:sz w:val="16"/>
                <w:szCs w:val="18"/>
                <w:lang w:val="es-CO" w:eastAsia="es-CO"/>
              </w:rPr>
            </w:pPr>
            <w:r w:rsidRPr="008B5E2B">
              <w:rPr>
                <w:rFonts w:eastAsia="Times New Roman" w:cs="Arial"/>
                <w:b/>
                <w:bCs/>
                <w:sz w:val="16"/>
                <w:szCs w:val="18"/>
                <w:lang w:val="es-CO" w:eastAsia="es-CO"/>
              </w:rPr>
              <w:t>$33.896.728.583,00</w:t>
            </w:r>
          </w:p>
        </w:tc>
      </w:tr>
    </w:tbl>
    <w:p w:rsidR="00FB2352" w:rsidRPr="00992589" w:rsidRDefault="00F62AFB" w:rsidP="00FB2352">
      <w:pPr>
        <w:pStyle w:val="Sinespaciado"/>
        <w:jc w:val="both"/>
        <w:rPr>
          <w:rFonts w:cs="Arial"/>
          <w:bCs/>
          <w:sz w:val="16"/>
          <w:lang w:val="es-ES_tradnl"/>
        </w:rPr>
      </w:pPr>
      <w:r>
        <w:rPr>
          <w:rFonts w:cs="Arial"/>
          <w:b/>
          <w:bCs/>
          <w:sz w:val="16"/>
          <w:lang w:val="es-ES_tradnl"/>
        </w:rPr>
        <w:t xml:space="preserve"> </w:t>
      </w:r>
      <w:r w:rsidR="00FB2352" w:rsidRPr="008B5E2B">
        <w:rPr>
          <w:rFonts w:cs="Arial"/>
          <w:b/>
          <w:bCs/>
          <w:sz w:val="16"/>
          <w:lang w:val="es-ES_tradnl"/>
        </w:rPr>
        <w:t>Fuente:</w:t>
      </w:r>
      <w:r w:rsidR="00FB2352" w:rsidRPr="00992589">
        <w:rPr>
          <w:rFonts w:cs="Arial"/>
          <w:bCs/>
          <w:sz w:val="16"/>
          <w:lang w:val="es-ES_tradnl"/>
        </w:rPr>
        <w:t xml:space="preserve"> Reporte Ejecución Metas sociales y financieras SIM Cierre vigencia 2016.</w:t>
      </w:r>
    </w:p>
    <w:p w:rsidR="00EE3C3F" w:rsidRPr="00D21160" w:rsidRDefault="00F62AFB" w:rsidP="00EE3C3F">
      <w:pPr>
        <w:rPr>
          <w:rFonts w:ascii="Calibri" w:hAnsi="Calibri"/>
          <w:i/>
          <w:iCs/>
          <w:sz w:val="16"/>
          <w:lang w:val="es-CO"/>
        </w:rPr>
      </w:pPr>
      <w:r>
        <w:rPr>
          <w:i/>
          <w:iCs/>
          <w:sz w:val="16"/>
          <w:lang w:val="es-ES_tradnl"/>
        </w:rPr>
        <w:t xml:space="preserve"> </w:t>
      </w:r>
      <w:r w:rsidR="00EE3C3F" w:rsidRPr="0063584B">
        <w:rPr>
          <w:i/>
          <w:iCs/>
          <w:sz w:val="16"/>
        </w:rPr>
        <w:t>Nota:</w:t>
      </w:r>
      <w:r w:rsidR="00EE3C3F" w:rsidRPr="00D21160">
        <w:rPr>
          <w:i/>
          <w:iCs/>
          <w:sz w:val="16"/>
        </w:rPr>
        <w:t xml:space="preserve">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FB2352" w:rsidRPr="00992589" w:rsidRDefault="00FB2352" w:rsidP="00E21FD5">
      <w:pPr>
        <w:ind w:left="708" w:firstLine="708"/>
        <w:rPr>
          <w:b/>
          <w:lang w:val="es-ES_tradnl"/>
        </w:rPr>
      </w:pPr>
      <w:r w:rsidRPr="00992589">
        <w:rPr>
          <w:b/>
          <w:lang w:val="es-ES_tradnl"/>
        </w:rPr>
        <w:t>Experiencias significativas</w:t>
      </w:r>
    </w:p>
    <w:p w:rsidR="00FB2352" w:rsidRPr="00992589" w:rsidRDefault="00FB2352" w:rsidP="00FB2352">
      <w:pPr>
        <w:pStyle w:val="Sinespaciado"/>
        <w:jc w:val="both"/>
        <w:rPr>
          <w:rFonts w:cs="Arial"/>
        </w:rPr>
      </w:pPr>
      <w:r w:rsidRPr="00992589">
        <w:rPr>
          <w:rFonts w:cs="Arial"/>
        </w:rPr>
        <w:t>En la vigencia 2016 se trabajó con las regionales del ICBF y los operadores del programa, para que las acciones desarrolladas estuvieran orientadas a generar cambios evidenciables en la vida de los participantes y en las dinámicas de sus familias y comunidades, como se evidencia a continuación:</w:t>
      </w:r>
    </w:p>
    <w:p w:rsidR="00FB2352" w:rsidRPr="00992589" w:rsidRDefault="00FB2352" w:rsidP="00FB2352">
      <w:pPr>
        <w:pStyle w:val="Sinespaciado"/>
        <w:jc w:val="both"/>
        <w:rPr>
          <w:rFonts w:cs="Arial"/>
        </w:rPr>
      </w:pPr>
    </w:p>
    <w:tbl>
      <w:tblPr>
        <w:tblW w:w="4689"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811"/>
      </w:tblGrid>
      <w:tr w:rsidR="00FB2352" w:rsidRPr="00992589" w:rsidTr="008B5E2B">
        <w:trPr>
          <w:trHeight w:val="265"/>
          <w:tblHeader/>
          <w:jc w:val="center"/>
        </w:trPr>
        <w:tc>
          <w:tcPr>
            <w:tcW w:w="5000" w:type="pct"/>
            <w:shd w:val="clear" w:color="auto" w:fill="76923C" w:themeFill="accent3" w:themeFillShade="BF"/>
            <w:vAlign w:val="center"/>
            <w:hideMark/>
          </w:tcPr>
          <w:p w:rsidR="00FB2352" w:rsidRPr="003D6F87" w:rsidRDefault="00FB2352" w:rsidP="00FB2352">
            <w:pPr>
              <w:spacing w:after="0" w:line="240" w:lineRule="auto"/>
              <w:jc w:val="center"/>
              <w:rPr>
                <w:rFonts w:eastAsia="Times New Roman" w:cs="Arial"/>
                <w:b/>
                <w:bCs/>
                <w:sz w:val="18"/>
                <w:lang w:val="es-CO" w:eastAsia="es-CO"/>
              </w:rPr>
            </w:pPr>
            <w:r w:rsidRPr="008B5E2B">
              <w:rPr>
                <w:rFonts w:eastAsia="Times New Roman" w:cs="Arial"/>
                <w:b/>
                <w:bCs/>
                <w:color w:val="FFFFFF" w:themeColor="background1"/>
                <w:sz w:val="18"/>
                <w:lang w:val="es-CO" w:eastAsia="es-CO"/>
              </w:rPr>
              <w:t>Experiencias Significativas</w:t>
            </w:r>
          </w:p>
        </w:tc>
      </w:tr>
      <w:tr w:rsidR="00FB2352" w:rsidRPr="00992589" w:rsidTr="008B5E2B">
        <w:trPr>
          <w:trHeight w:val="1987"/>
          <w:jc w:val="center"/>
        </w:trPr>
        <w:tc>
          <w:tcPr>
            <w:tcW w:w="5000" w:type="pct"/>
            <w:shd w:val="clear" w:color="auto" w:fill="auto"/>
            <w:vAlign w:val="center"/>
            <w:hideMark/>
          </w:tcPr>
          <w:p w:rsidR="00FB2352" w:rsidRPr="003D6F87" w:rsidRDefault="00FB2352" w:rsidP="00FB2352">
            <w:pPr>
              <w:spacing w:after="0" w:line="240" w:lineRule="auto"/>
              <w:jc w:val="both"/>
              <w:rPr>
                <w:rFonts w:eastAsia="Times New Roman" w:cs="Arial"/>
                <w:b/>
                <w:bCs/>
                <w:sz w:val="18"/>
                <w:lang w:val="es-CO" w:eastAsia="es-CO"/>
              </w:rPr>
            </w:pPr>
            <w:r w:rsidRPr="003D6F87">
              <w:rPr>
                <w:rFonts w:eastAsia="Times New Roman" w:cs="Arial"/>
                <w:b/>
                <w:bCs/>
                <w:sz w:val="18"/>
                <w:lang w:val="es-MX" w:eastAsia="es-CO"/>
              </w:rPr>
              <w:t xml:space="preserve">Quindío Calarcá - Modalidad Tradicional </w:t>
            </w:r>
          </w:p>
          <w:p w:rsidR="00FB2352" w:rsidRPr="003D6F87" w:rsidRDefault="00FB2352" w:rsidP="00FB2352">
            <w:pPr>
              <w:spacing w:after="0" w:line="240" w:lineRule="auto"/>
              <w:jc w:val="both"/>
              <w:rPr>
                <w:rFonts w:eastAsia="Times New Roman" w:cs="Arial"/>
                <w:b/>
                <w:bCs/>
                <w:sz w:val="18"/>
                <w:lang w:val="es-CO" w:eastAsia="es-CO"/>
              </w:rPr>
            </w:pPr>
            <w:r w:rsidRPr="003D6F87">
              <w:rPr>
                <w:rFonts w:eastAsia="Times New Roman" w:cs="Arial"/>
                <w:sz w:val="18"/>
                <w:lang w:eastAsia="es-CO"/>
              </w:rPr>
              <w:t xml:space="preserve">El 14 de agosto de 2016 se llevó a cabo el 19° Campeonato Departamental de Hapkido en el municipio de la Tebaida Quindío, en el cual el programa Generaciones con Bienestar participó con 14 deportistas del programa Generaciones con Bienestar quienes obtuvieron 6 medallas de oro, 2 de plata y 2 de bronce en la modalidad de combate sumando así 58 puntos, y empatando en el cuarto lugar con el club BULHOLANG I de la ciudad de Armenia Quindío con la misma totalidad de puntos en la sumatoria total de medallas con su respectiva puntuación, pasando por encima de clubes quienes llevan un recorrido de hasta más de 10 años en cuanto competencia y formación deportiva, por el contrario GCB con tan solo unos meses de preparación se obtuvo tan alto logro. </w:t>
            </w:r>
          </w:p>
        </w:tc>
      </w:tr>
      <w:tr w:rsidR="00FB2352" w:rsidRPr="00992589" w:rsidTr="008B5E2B">
        <w:trPr>
          <w:trHeight w:val="1548"/>
          <w:jc w:val="center"/>
        </w:trPr>
        <w:tc>
          <w:tcPr>
            <w:tcW w:w="5000" w:type="pct"/>
            <w:shd w:val="clear" w:color="auto" w:fill="auto"/>
            <w:vAlign w:val="center"/>
            <w:hideMark/>
          </w:tcPr>
          <w:p w:rsidR="00FB2352" w:rsidRPr="003D6F87" w:rsidRDefault="00FB2352" w:rsidP="00FB2352">
            <w:pPr>
              <w:spacing w:after="0" w:line="240" w:lineRule="auto"/>
              <w:jc w:val="both"/>
              <w:rPr>
                <w:rFonts w:eastAsia="Times New Roman" w:cs="Arial"/>
                <w:b/>
                <w:bCs/>
                <w:sz w:val="18"/>
                <w:lang w:val="es-CO" w:eastAsia="es-CO"/>
              </w:rPr>
            </w:pPr>
            <w:r w:rsidRPr="003D6F87">
              <w:rPr>
                <w:rFonts w:eastAsia="Times New Roman" w:cs="Arial"/>
                <w:b/>
                <w:bCs/>
                <w:sz w:val="18"/>
                <w:lang w:val="es-MX" w:eastAsia="es-CO"/>
              </w:rPr>
              <w:lastRenderedPageBreak/>
              <w:t>Atlántico – Barranquilla - Modalidad Tradicional</w:t>
            </w:r>
          </w:p>
          <w:p w:rsidR="00FB2352" w:rsidRPr="003D6F87" w:rsidRDefault="00FB2352" w:rsidP="00FB2352">
            <w:pPr>
              <w:spacing w:after="0" w:line="240" w:lineRule="auto"/>
              <w:jc w:val="both"/>
              <w:rPr>
                <w:rFonts w:eastAsia="Times New Roman" w:cs="Arial"/>
                <w:sz w:val="18"/>
                <w:lang w:val="es-CO" w:eastAsia="es-CO"/>
              </w:rPr>
            </w:pPr>
            <w:r w:rsidRPr="003D6F87">
              <w:rPr>
                <w:rFonts w:eastAsia="Times New Roman" w:cs="Arial"/>
                <w:sz w:val="18"/>
                <w:lang w:val="es-CO" w:eastAsia="es-CO"/>
              </w:rPr>
              <w:t>En el marco del programa Generaciones con Bienestar se desarrolla una estrategia para la participación de adolescentes y jóvenes vinculados a acciones de violencia y pandillas juveniles en el Distrito de Barranquilla. Se realizó la convocaría a las pandillas identificando líderes representativos de los sectores de intervención que sean un modelo significativo para los beneficiarios, facilitando el contacto efectivo y la mediación con los grupos de pandillas que participan. El piloto se utilizando como herramienta de integración e intervención el futbol callejero.</w:t>
            </w:r>
          </w:p>
        </w:tc>
      </w:tr>
      <w:tr w:rsidR="00FB2352" w:rsidRPr="00992589" w:rsidTr="008B5E2B">
        <w:trPr>
          <w:trHeight w:val="1683"/>
          <w:jc w:val="center"/>
        </w:trPr>
        <w:tc>
          <w:tcPr>
            <w:tcW w:w="5000" w:type="pct"/>
            <w:shd w:val="clear" w:color="auto" w:fill="auto"/>
            <w:vAlign w:val="center"/>
          </w:tcPr>
          <w:p w:rsidR="00FB2352" w:rsidRPr="003D6F87" w:rsidRDefault="00FB2352" w:rsidP="00FB2352">
            <w:pPr>
              <w:spacing w:after="0" w:line="240" w:lineRule="auto"/>
              <w:jc w:val="both"/>
              <w:rPr>
                <w:rFonts w:eastAsia="Times New Roman" w:cs="Arial"/>
                <w:b/>
                <w:bCs/>
                <w:sz w:val="18"/>
                <w:lang w:val="es-CO" w:eastAsia="es-CO"/>
              </w:rPr>
            </w:pPr>
            <w:r w:rsidRPr="003D6F87">
              <w:rPr>
                <w:rFonts w:eastAsia="Times New Roman" w:cs="Arial"/>
                <w:b/>
                <w:bCs/>
                <w:sz w:val="18"/>
                <w:lang w:val="es-MX" w:eastAsia="es-CO"/>
              </w:rPr>
              <w:t xml:space="preserve">Amazona Leticia – Modalidad Étnico </w:t>
            </w:r>
          </w:p>
          <w:p w:rsidR="00FB2352" w:rsidRPr="003D6F87" w:rsidRDefault="00FB2352" w:rsidP="00FB2352">
            <w:pPr>
              <w:spacing w:after="0" w:line="240" w:lineRule="auto"/>
              <w:jc w:val="both"/>
              <w:rPr>
                <w:rFonts w:eastAsia="Times New Roman" w:cs="Arial"/>
                <w:sz w:val="18"/>
                <w:lang w:val="es-CO" w:eastAsia="es-CO"/>
              </w:rPr>
            </w:pPr>
            <w:r w:rsidRPr="003D6F87">
              <w:rPr>
                <w:rFonts w:eastAsia="Times New Roman" w:cs="Arial"/>
                <w:sz w:val="18"/>
                <w:lang w:eastAsia="es-CO"/>
              </w:rPr>
              <w:t xml:space="preserve">FORTALECIMIENTO DE HUERTAS CASERAS: siembra de semillas en la comunidad, relacionando el proceso de siembra con las chagras su significado cultural y la importancia dentro de su cultura </w:t>
            </w:r>
          </w:p>
          <w:p w:rsidR="00FB2352" w:rsidRPr="003D6F87" w:rsidRDefault="00FB2352" w:rsidP="00FB2352">
            <w:pPr>
              <w:spacing w:after="0" w:line="240" w:lineRule="auto"/>
              <w:jc w:val="both"/>
              <w:rPr>
                <w:rFonts w:eastAsia="Times New Roman" w:cs="Arial"/>
                <w:sz w:val="18"/>
                <w:lang w:eastAsia="es-CO"/>
              </w:rPr>
            </w:pPr>
            <w:r w:rsidRPr="003D6F87">
              <w:rPr>
                <w:rFonts w:eastAsia="Times New Roman" w:cs="Arial"/>
                <w:sz w:val="18"/>
                <w:lang w:eastAsia="es-CO"/>
              </w:rPr>
              <w:t xml:space="preserve">CULTURA ECO- PEDAGOGICA: ELABORACIÓN DE ARTESANIAS CON MATERIAL RECICLADO: fortalecimiento de una culturo ECO- PEDAGOGICA, de </w:t>
            </w:r>
            <w:r w:rsidRPr="003D6F87">
              <w:rPr>
                <w:rFonts w:eastAsia="Times New Roman" w:cs="Arial"/>
                <w:sz w:val="18"/>
                <w:lang w:val="es-CO" w:eastAsia="es-CO"/>
              </w:rPr>
              <w:t xml:space="preserve">los niños, niñas y adolescentes </w:t>
            </w:r>
            <w:r w:rsidRPr="003D6F87">
              <w:rPr>
                <w:rFonts w:eastAsia="Times New Roman" w:cs="Arial"/>
                <w:sz w:val="18"/>
                <w:lang w:eastAsia="es-CO"/>
              </w:rPr>
              <w:t>realizaron trabajos manuales en el marco de los encuentros vivenciales, elaborando canastas con material reciclado, artesanías para presentaciones culturales dentro de la comunidad, trajes tradicionales, entre otras.</w:t>
            </w:r>
          </w:p>
        </w:tc>
      </w:tr>
      <w:tr w:rsidR="00FB2352" w:rsidRPr="00992589" w:rsidTr="008B5E2B">
        <w:trPr>
          <w:trHeight w:val="1835"/>
          <w:jc w:val="center"/>
        </w:trPr>
        <w:tc>
          <w:tcPr>
            <w:tcW w:w="5000" w:type="pct"/>
            <w:shd w:val="clear" w:color="auto" w:fill="auto"/>
            <w:vAlign w:val="center"/>
          </w:tcPr>
          <w:p w:rsidR="00FB2352" w:rsidRPr="003D6F87" w:rsidRDefault="00FB2352" w:rsidP="00FB2352">
            <w:pPr>
              <w:spacing w:after="0" w:line="240" w:lineRule="auto"/>
              <w:jc w:val="both"/>
              <w:rPr>
                <w:rFonts w:eastAsia="Times New Roman" w:cs="Arial"/>
                <w:b/>
                <w:bCs/>
                <w:sz w:val="18"/>
                <w:lang w:val="es-CO" w:eastAsia="es-CO"/>
              </w:rPr>
            </w:pPr>
            <w:r w:rsidRPr="003D6F87">
              <w:rPr>
                <w:rFonts w:eastAsia="Times New Roman" w:cs="Arial"/>
                <w:b/>
                <w:bCs/>
                <w:sz w:val="18"/>
                <w:lang w:val="es-MX" w:eastAsia="es-CO"/>
              </w:rPr>
              <w:t>Meta, Casanare y Guaviare – Modalidad Étnico</w:t>
            </w:r>
          </w:p>
          <w:p w:rsidR="00FB2352" w:rsidRPr="003D6F87" w:rsidRDefault="00FB2352" w:rsidP="00FB2352">
            <w:pPr>
              <w:spacing w:after="0" w:line="240" w:lineRule="auto"/>
              <w:jc w:val="both"/>
              <w:rPr>
                <w:rFonts w:eastAsia="Times New Roman" w:cs="Arial"/>
                <w:sz w:val="18"/>
                <w:lang w:eastAsia="es-CO"/>
              </w:rPr>
            </w:pPr>
            <w:r w:rsidRPr="003D6F87">
              <w:rPr>
                <w:rFonts w:eastAsia="Times New Roman" w:cs="Arial"/>
                <w:sz w:val="18"/>
                <w:lang w:eastAsia="es-CO"/>
              </w:rPr>
              <w:t xml:space="preserve">La bitácora de la paz es una cartilla que motiva a los niños, las niñas y adolescentes a construir un proceso de paz mediante un proceso que depende de todos y todas: instituciones, familia, escuela. Esta construcción permite el fortalecimiento de las capacidades como agentes de cambio trasformadores, reconociendo al ser humano desde la humanidad, pensando a los otros desde la comunidad, como colombianos, como ciudadanos del mundo, como cohabitantes de un espacio que pertenecen y que deben cuidar, expandir y crear. La Bitácora ha sido creada e inspirada para proponer una serie de preguntas, reflexiones, ejercicios y prácticas acerquen a Ser Parte, Vivir y Construir y la Paz. </w:t>
            </w:r>
          </w:p>
        </w:tc>
      </w:tr>
      <w:tr w:rsidR="00FB2352" w:rsidRPr="00992589" w:rsidTr="008B5E2B">
        <w:trPr>
          <w:trHeight w:val="3108"/>
          <w:jc w:val="center"/>
        </w:trPr>
        <w:tc>
          <w:tcPr>
            <w:tcW w:w="5000" w:type="pct"/>
            <w:shd w:val="clear" w:color="auto" w:fill="auto"/>
            <w:vAlign w:val="center"/>
            <w:hideMark/>
          </w:tcPr>
          <w:p w:rsidR="00FB2352" w:rsidRPr="003D6F87" w:rsidRDefault="00FB2352" w:rsidP="00FB2352">
            <w:pPr>
              <w:spacing w:after="0" w:line="240" w:lineRule="auto"/>
              <w:jc w:val="both"/>
              <w:rPr>
                <w:rFonts w:eastAsia="Times New Roman" w:cs="Arial"/>
                <w:sz w:val="18"/>
                <w:lang w:val="es-CO" w:eastAsia="es-CO"/>
              </w:rPr>
            </w:pPr>
            <w:r w:rsidRPr="003D6F87">
              <w:rPr>
                <w:rFonts w:eastAsia="Times New Roman" w:cs="Arial"/>
                <w:b/>
                <w:bCs/>
                <w:sz w:val="18"/>
                <w:lang w:val="es-MX" w:eastAsia="es-CO"/>
              </w:rPr>
              <w:t>Risaralda - Modalidad Étnica</w:t>
            </w:r>
          </w:p>
          <w:p w:rsidR="00FB2352" w:rsidRPr="003D6F87" w:rsidRDefault="00FB2352" w:rsidP="00FB2352">
            <w:pPr>
              <w:spacing w:after="0" w:line="240" w:lineRule="auto"/>
              <w:jc w:val="both"/>
              <w:rPr>
                <w:rFonts w:eastAsia="Times New Roman" w:cs="Arial"/>
                <w:sz w:val="18"/>
                <w:lang w:val="es-CO" w:eastAsia="es-CO"/>
              </w:rPr>
            </w:pPr>
            <w:r w:rsidRPr="003D6F87">
              <w:rPr>
                <w:rFonts w:eastAsia="Times New Roman" w:cs="Arial"/>
                <w:sz w:val="18"/>
                <w:lang w:val="es-CO" w:eastAsia="es-CO"/>
              </w:rPr>
              <w:t xml:space="preserve">Objetivo: interactuar con otros participantes por medio de cartas que se escribían en donde contaban sus historias de vida y experiencias con el programa. Empieza como una estrategia para acercar a los niños, niñas y adolescentes indígenas Embera, residentes en diferentes resguardos del departamento de Risaralda, esto, partiendo del hecho de que en los resguardos los niños, niñas y adolescentes no tienen equipos móviles con redes, ni acceso a internet, y a veces ni equipos para que interactuaran a través de redes virtuales. </w:t>
            </w:r>
          </w:p>
          <w:p w:rsidR="00FB2352" w:rsidRPr="003D6F87" w:rsidRDefault="00FB2352" w:rsidP="00FB2352">
            <w:pPr>
              <w:autoSpaceDE w:val="0"/>
              <w:autoSpaceDN w:val="0"/>
              <w:spacing w:after="0" w:line="240" w:lineRule="auto"/>
              <w:jc w:val="both"/>
              <w:rPr>
                <w:rFonts w:eastAsia="Times New Roman" w:cs="Arial"/>
                <w:sz w:val="18"/>
                <w:lang w:val="es-CO" w:eastAsia="es-CO"/>
              </w:rPr>
            </w:pPr>
            <w:r w:rsidRPr="003D6F87">
              <w:rPr>
                <w:rFonts w:eastAsia="Times New Roman" w:cs="Arial"/>
                <w:sz w:val="18"/>
                <w:lang w:val="es-CO" w:eastAsia="es-CO"/>
              </w:rPr>
              <w:t xml:space="preserve">Este intercambio de cartas con contenidos de actividades de cosmovisión indígena, finalmente se convirtió en un intercambio de cartas, en donde a través de mensajes los niños, niñas y adolescentes Embera de Risaralda compartían sus pensamientos respecto a los módulos vistos en el programa, y que desde un concepto personal de cada uno de los niños, niñas y adolescentes consideraba importante de dar a conocer a otros los niños, niñas y adolescentes Embera de su misma edad, que no conocían (ni conocen), en resguardos bastante apartados unos de otros. En este sentido se generó una red comunitaria de los niños, niñas y adolescentes distantes entre sí, y que aparte de ser Embera solo tenían en común pertenecer al Programa Generaciones Étnicas con Bienestar. </w:t>
            </w:r>
          </w:p>
        </w:tc>
      </w:tr>
    </w:tbl>
    <w:p w:rsidR="00FB2352" w:rsidRPr="00992589" w:rsidRDefault="00FB2352" w:rsidP="00B61E9F">
      <w:pPr>
        <w:rPr>
          <w:lang w:eastAsia="es-CO"/>
        </w:rPr>
      </w:pPr>
    </w:p>
    <w:p w:rsidR="00FB2352" w:rsidRPr="00992589" w:rsidRDefault="00FB2352" w:rsidP="00B61E9F">
      <w:pPr>
        <w:ind w:left="708" w:firstLine="708"/>
        <w:rPr>
          <w:b/>
          <w:lang w:val="es-ES_tradnl"/>
        </w:rPr>
      </w:pPr>
      <w:r w:rsidRPr="00992589">
        <w:rPr>
          <w:b/>
          <w:lang w:val="es-ES_tradnl"/>
        </w:rPr>
        <w:t>Articulación: gestiones realizadas y resultados obtenidos</w:t>
      </w:r>
    </w:p>
    <w:p w:rsidR="00FB2352" w:rsidRPr="00992589" w:rsidRDefault="00FB2352" w:rsidP="00FB2352">
      <w:pPr>
        <w:spacing w:after="0" w:line="240" w:lineRule="auto"/>
        <w:jc w:val="both"/>
        <w:rPr>
          <w:rFonts w:cs="Arial"/>
        </w:rPr>
      </w:pPr>
      <w:r w:rsidRPr="00992589">
        <w:rPr>
          <w:rFonts w:cs="Arial"/>
        </w:rPr>
        <w:t>Con el propósito de movilizar entidades responsables al cumplimiento de la garantía de derechos de los niños, niñas y adolescentes, fundamentalmente cuando éstos se encuentran inobservados, amenazados o vulnerados, se desarrollan acciones de coordinación institucional con los agentes del Sistema Nacional de Bienestar Familiar (SNBF), organismos de cooperación internacional, organizaciones de la sociedad civil, fundaciones, gremios económicos y sectores sociales.</w:t>
      </w:r>
    </w:p>
    <w:p w:rsidR="00FB2352" w:rsidRPr="00992589" w:rsidRDefault="00FB2352" w:rsidP="00FB2352">
      <w:pPr>
        <w:spacing w:after="0" w:line="240" w:lineRule="auto"/>
        <w:jc w:val="both"/>
        <w:rPr>
          <w:rFonts w:eastAsia="Times New Roman" w:cs="Arial"/>
          <w:bCs/>
          <w:lang w:eastAsia="es-CO"/>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A corte de 31 de diciembre, los indicadores relacionados con esta gestión tienen un avance superior al 90%, lo que evidencia que los casos de inobservancia, amenaza o vulneración de derechos identificados mediante el diagnóstico, han sido gestionados frente a las autoridades </w:t>
      </w:r>
      <w:r w:rsidRPr="00992589">
        <w:rPr>
          <w:rFonts w:eastAsia="Times New Roman" w:cs="Arial"/>
          <w:bCs/>
          <w:lang w:eastAsia="es-CO"/>
        </w:rPr>
        <w:lastRenderedPageBreak/>
        <w:t xml:space="preserve">correspondientes. Así, de 42.400 casos identificados en el mes de diciembre, 39.974 recibieron respuesta efectiva. </w:t>
      </w:r>
    </w:p>
    <w:p w:rsidR="00FB2352" w:rsidRPr="00992589" w:rsidRDefault="00FB2352" w:rsidP="00FB2352">
      <w:pPr>
        <w:spacing w:after="0" w:line="240" w:lineRule="auto"/>
        <w:jc w:val="both"/>
        <w:rPr>
          <w:rFonts w:eastAsia="Times New Roman" w:cs="Arial"/>
          <w:bCs/>
          <w:lang w:eastAsia="es-CO"/>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352"/>
        <w:gridCol w:w="4202"/>
        <w:gridCol w:w="1286"/>
        <w:gridCol w:w="1520"/>
        <w:gridCol w:w="1035"/>
      </w:tblGrid>
      <w:tr w:rsidR="00FB2352" w:rsidRPr="00992589" w:rsidTr="008B5E2B">
        <w:trPr>
          <w:trHeight w:val="450"/>
          <w:tblHeader/>
        </w:trPr>
        <w:tc>
          <w:tcPr>
            <w:tcW w:w="719" w:type="pct"/>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bCs/>
                <w:color w:val="FFFFFF" w:themeColor="background1"/>
                <w:sz w:val="18"/>
                <w:szCs w:val="20"/>
                <w:lang w:val="es-CO" w:eastAsia="es-CO"/>
              </w:rPr>
            </w:pPr>
            <w:r w:rsidRPr="008B5E2B">
              <w:rPr>
                <w:rFonts w:eastAsia="Times New Roman" w:cs="Arial"/>
                <w:b/>
                <w:bCs/>
                <w:color w:val="FFFFFF" w:themeColor="background1"/>
                <w:sz w:val="18"/>
                <w:szCs w:val="20"/>
                <w:lang w:val="es-CO" w:eastAsia="es-ES"/>
              </w:rPr>
              <w:t>COD 2016</w:t>
            </w:r>
          </w:p>
        </w:tc>
        <w:tc>
          <w:tcPr>
            <w:tcW w:w="2236" w:type="pct"/>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bCs/>
                <w:color w:val="FFFFFF" w:themeColor="background1"/>
                <w:sz w:val="18"/>
                <w:szCs w:val="20"/>
                <w:lang w:val="es-CO" w:eastAsia="es-CO"/>
              </w:rPr>
            </w:pPr>
            <w:r w:rsidRPr="008B5E2B">
              <w:rPr>
                <w:rFonts w:eastAsia="Times New Roman" w:cs="Arial"/>
                <w:b/>
                <w:bCs/>
                <w:color w:val="FFFFFF" w:themeColor="background1"/>
                <w:sz w:val="18"/>
                <w:szCs w:val="20"/>
                <w:lang w:val="es-CO" w:eastAsia="es-ES"/>
              </w:rPr>
              <w:t>Nombre del Indicador</w:t>
            </w:r>
          </w:p>
        </w:tc>
        <w:tc>
          <w:tcPr>
            <w:tcW w:w="684" w:type="pct"/>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color w:val="FFFFFF" w:themeColor="background1"/>
                <w:sz w:val="18"/>
                <w:szCs w:val="20"/>
                <w:lang w:val="es-CO" w:eastAsia="es-CO"/>
              </w:rPr>
            </w:pPr>
            <w:r w:rsidRPr="008B5E2B">
              <w:rPr>
                <w:rFonts w:eastAsia="Times New Roman" w:cs="Arial"/>
                <w:b/>
                <w:color w:val="FFFFFF" w:themeColor="background1"/>
                <w:sz w:val="18"/>
                <w:szCs w:val="20"/>
                <w:lang w:val="es-CO" w:eastAsia="es-ES"/>
              </w:rPr>
              <w:t>Numerador</w:t>
            </w:r>
          </w:p>
        </w:tc>
        <w:tc>
          <w:tcPr>
            <w:tcW w:w="809" w:type="pct"/>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color w:val="FFFFFF" w:themeColor="background1"/>
                <w:sz w:val="18"/>
                <w:szCs w:val="20"/>
                <w:lang w:val="es-CO" w:eastAsia="es-CO"/>
              </w:rPr>
            </w:pPr>
            <w:r w:rsidRPr="008B5E2B">
              <w:rPr>
                <w:rFonts w:eastAsia="Times New Roman" w:cs="Arial"/>
                <w:b/>
                <w:color w:val="FFFFFF" w:themeColor="background1"/>
                <w:sz w:val="18"/>
                <w:szCs w:val="20"/>
                <w:lang w:val="es-CO" w:eastAsia="es-ES"/>
              </w:rPr>
              <w:t>Denominador</w:t>
            </w:r>
          </w:p>
        </w:tc>
        <w:tc>
          <w:tcPr>
            <w:tcW w:w="551" w:type="pct"/>
            <w:shd w:val="clear" w:color="auto" w:fill="76923C" w:themeFill="accent3" w:themeFillShade="BF"/>
            <w:vAlign w:val="center"/>
            <w:hideMark/>
          </w:tcPr>
          <w:p w:rsidR="00FB2352" w:rsidRPr="008B5E2B" w:rsidRDefault="00FB2352" w:rsidP="00FB2352">
            <w:pPr>
              <w:spacing w:after="0" w:line="240" w:lineRule="auto"/>
              <w:jc w:val="center"/>
              <w:rPr>
                <w:rFonts w:eastAsia="Times New Roman" w:cs="Arial"/>
                <w:b/>
                <w:color w:val="FFFFFF" w:themeColor="background1"/>
                <w:sz w:val="18"/>
                <w:szCs w:val="20"/>
                <w:lang w:val="es-CO" w:eastAsia="es-CO"/>
              </w:rPr>
            </w:pPr>
            <w:r w:rsidRPr="008B5E2B">
              <w:rPr>
                <w:rFonts w:eastAsia="Times New Roman" w:cs="Arial"/>
                <w:b/>
                <w:color w:val="FFFFFF" w:themeColor="background1"/>
                <w:sz w:val="18"/>
                <w:szCs w:val="20"/>
                <w:lang w:val="es-CO" w:eastAsia="es-ES"/>
              </w:rPr>
              <w:t>% de Avance</w:t>
            </w:r>
          </w:p>
        </w:tc>
      </w:tr>
      <w:tr w:rsidR="00FB2352" w:rsidRPr="00992589" w:rsidTr="008B5E2B">
        <w:trPr>
          <w:trHeight w:val="675"/>
        </w:trPr>
        <w:tc>
          <w:tcPr>
            <w:tcW w:w="719" w:type="pct"/>
            <w:shd w:val="clear" w:color="auto" w:fill="auto"/>
            <w:vAlign w:val="center"/>
            <w:hideMark/>
          </w:tcPr>
          <w:p w:rsidR="00FB2352" w:rsidRPr="003D6F87" w:rsidRDefault="00FB2352" w:rsidP="00FB2352">
            <w:pPr>
              <w:spacing w:after="0" w:line="240" w:lineRule="auto"/>
              <w:jc w:val="both"/>
              <w:rPr>
                <w:rFonts w:eastAsia="Times New Roman" w:cs="Arial"/>
                <w:bCs/>
                <w:sz w:val="18"/>
                <w:szCs w:val="20"/>
                <w:lang w:val="es-CO" w:eastAsia="es-CO"/>
              </w:rPr>
            </w:pPr>
            <w:r w:rsidRPr="003D6F87">
              <w:rPr>
                <w:rFonts w:eastAsia="Times New Roman" w:cs="Arial"/>
                <w:bCs/>
                <w:sz w:val="18"/>
                <w:szCs w:val="20"/>
                <w:lang w:val="es-CO" w:eastAsia="es-ES"/>
              </w:rPr>
              <w:t xml:space="preserve">M2-PM1-02 </w:t>
            </w:r>
          </w:p>
        </w:tc>
        <w:tc>
          <w:tcPr>
            <w:tcW w:w="2236" w:type="pct"/>
            <w:shd w:val="clear" w:color="auto" w:fill="auto"/>
            <w:vAlign w:val="center"/>
            <w:hideMark/>
          </w:tcPr>
          <w:p w:rsidR="00FB2352" w:rsidRPr="003D6F87" w:rsidRDefault="00FB2352" w:rsidP="00FB2352">
            <w:pPr>
              <w:spacing w:after="0" w:line="240" w:lineRule="auto"/>
              <w:jc w:val="both"/>
              <w:rPr>
                <w:rFonts w:eastAsia="Times New Roman" w:cs="Arial"/>
                <w:bCs/>
                <w:sz w:val="18"/>
                <w:szCs w:val="20"/>
                <w:lang w:val="es-CO" w:eastAsia="es-CO"/>
              </w:rPr>
            </w:pPr>
            <w:r w:rsidRPr="003D6F87">
              <w:rPr>
                <w:rFonts w:eastAsia="Times New Roman" w:cs="Arial"/>
                <w:bCs/>
                <w:sz w:val="18"/>
                <w:szCs w:val="20"/>
                <w:lang w:val="es-CO" w:eastAsia="es-ES"/>
              </w:rPr>
              <w:t>Porcentaje de respuestas efectivas a las gestiones realizadas por el operador para la activación de la ruta de restablecimiento de derechos.</w:t>
            </w:r>
          </w:p>
        </w:tc>
        <w:tc>
          <w:tcPr>
            <w:tcW w:w="684" w:type="pct"/>
            <w:shd w:val="clear" w:color="000000" w:fill="FFFFFF"/>
            <w:vAlign w:val="center"/>
            <w:hideMark/>
          </w:tcPr>
          <w:p w:rsidR="00FB2352" w:rsidRPr="003D6F87" w:rsidRDefault="00FB2352" w:rsidP="00FB2352">
            <w:pPr>
              <w:spacing w:after="0" w:line="240" w:lineRule="auto"/>
              <w:jc w:val="center"/>
              <w:rPr>
                <w:rFonts w:eastAsia="Times New Roman" w:cs="Arial"/>
                <w:sz w:val="18"/>
                <w:szCs w:val="20"/>
                <w:lang w:val="es-CO" w:eastAsia="es-CO"/>
              </w:rPr>
            </w:pPr>
            <w:r w:rsidRPr="003D6F87">
              <w:rPr>
                <w:sz w:val="18"/>
              </w:rPr>
              <w:t>39974</w:t>
            </w:r>
          </w:p>
        </w:tc>
        <w:tc>
          <w:tcPr>
            <w:tcW w:w="809" w:type="pct"/>
            <w:shd w:val="clear" w:color="000000" w:fill="FFFFFF"/>
            <w:vAlign w:val="center"/>
            <w:hideMark/>
          </w:tcPr>
          <w:p w:rsidR="00FB2352" w:rsidRPr="003D6F87" w:rsidRDefault="00FB2352" w:rsidP="00FB2352">
            <w:pPr>
              <w:spacing w:after="0" w:line="240" w:lineRule="auto"/>
              <w:jc w:val="center"/>
              <w:rPr>
                <w:rFonts w:eastAsia="Times New Roman" w:cs="Arial"/>
                <w:sz w:val="18"/>
                <w:szCs w:val="20"/>
                <w:lang w:val="es-CO" w:eastAsia="es-CO"/>
              </w:rPr>
            </w:pPr>
            <w:r w:rsidRPr="003D6F87">
              <w:rPr>
                <w:sz w:val="18"/>
              </w:rPr>
              <w:t>42400</w:t>
            </w:r>
          </w:p>
        </w:tc>
        <w:tc>
          <w:tcPr>
            <w:tcW w:w="551" w:type="pct"/>
            <w:shd w:val="clear" w:color="000000" w:fill="FFFFFF"/>
            <w:vAlign w:val="center"/>
            <w:hideMark/>
          </w:tcPr>
          <w:p w:rsidR="00FB2352" w:rsidRPr="003D6F87" w:rsidRDefault="00FB2352" w:rsidP="00FB2352">
            <w:pPr>
              <w:spacing w:after="0" w:line="240" w:lineRule="auto"/>
              <w:jc w:val="center"/>
              <w:rPr>
                <w:rFonts w:eastAsia="Times New Roman" w:cs="Arial"/>
                <w:sz w:val="18"/>
                <w:szCs w:val="20"/>
                <w:lang w:val="es-CO" w:eastAsia="es-CO"/>
              </w:rPr>
            </w:pPr>
            <w:r w:rsidRPr="003D6F87">
              <w:rPr>
                <w:sz w:val="18"/>
              </w:rPr>
              <w:t>94,3%</w:t>
            </w:r>
          </w:p>
        </w:tc>
      </w:tr>
      <w:tr w:rsidR="00FB2352" w:rsidRPr="00992589" w:rsidTr="008B5E2B">
        <w:trPr>
          <w:trHeight w:val="675"/>
        </w:trPr>
        <w:tc>
          <w:tcPr>
            <w:tcW w:w="719" w:type="pct"/>
            <w:shd w:val="clear" w:color="auto" w:fill="auto"/>
            <w:vAlign w:val="center"/>
          </w:tcPr>
          <w:p w:rsidR="00FB2352" w:rsidRPr="003D6F87" w:rsidRDefault="00FB2352" w:rsidP="00FB2352">
            <w:pPr>
              <w:spacing w:after="0" w:line="240" w:lineRule="auto"/>
              <w:jc w:val="both"/>
              <w:rPr>
                <w:rFonts w:eastAsia="Times New Roman" w:cs="Arial"/>
                <w:bCs/>
                <w:sz w:val="18"/>
                <w:szCs w:val="20"/>
                <w:lang w:val="es-CO" w:eastAsia="es-ES"/>
              </w:rPr>
            </w:pPr>
            <w:r w:rsidRPr="003D6F87">
              <w:rPr>
                <w:rFonts w:eastAsia="Times New Roman" w:cs="Arial"/>
                <w:bCs/>
                <w:sz w:val="18"/>
                <w:szCs w:val="20"/>
                <w:lang w:val="es-CO" w:eastAsia="es-ES"/>
              </w:rPr>
              <w:t xml:space="preserve">M2-PM1-03 </w:t>
            </w:r>
          </w:p>
        </w:tc>
        <w:tc>
          <w:tcPr>
            <w:tcW w:w="2236" w:type="pct"/>
            <w:shd w:val="clear" w:color="auto" w:fill="auto"/>
            <w:vAlign w:val="center"/>
          </w:tcPr>
          <w:p w:rsidR="00FB2352" w:rsidRPr="003D6F87" w:rsidRDefault="00FB2352" w:rsidP="00FB2352">
            <w:pPr>
              <w:spacing w:after="0" w:line="240" w:lineRule="auto"/>
              <w:jc w:val="both"/>
              <w:rPr>
                <w:rFonts w:eastAsia="Times New Roman" w:cs="Arial"/>
                <w:bCs/>
                <w:sz w:val="18"/>
                <w:szCs w:val="20"/>
                <w:lang w:val="es-CO" w:eastAsia="es-ES"/>
              </w:rPr>
            </w:pPr>
            <w:r w:rsidRPr="003D6F87">
              <w:rPr>
                <w:rFonts w:eastAsia="Times New Roman" w:cs="Arial"/>
                <w:bCs/>
                <w:sz w:val="18"/>
                <w:szCs w:val="20"/>
                <w:lang w:val="es-CO" w:eastAsia="es-ES"/>
              </w:rPr>
              <w:t>Porcentaje de casos de vulneración, amenaza o inobservancia de derechos identificados por diagnóstico de derechos, con gestiones realizadas por el operador para la activación de ruta de restablecimiento</w:t>
            </w:r>
          </w:p>
        </w:tc>
        <w:tc>
          <w:tcPr>
            <w:tcW w:w="684" w:type="pct"/>
            <w:shd w:val="clear" w:color="000000" w:fill="FFFFFF"/>
            <w:vAlign w:val="center"/>
          </w:tcPr>
          <w:p w:rsidR="00FB2352" w:rsidRPr="003D6F87" w:rsidRDefault="00FB2352" w:rsidP="00FB2352">
            <w:pPr>
              <w:spacing w:after="0" w:line="240" w:lineRule="auto"/>
              <w:jc w:val="center"/>
              <w:rPr>
                <w:sz w:val="18"/>
              </w:rPr>
            </w:pPr>
            <w:r w:rsidRPr="003D6F87">
              <w:rPr>
                <w:sz w:val="18"/>
              </w:rPr>
              <w:t>42400</w:t>
            </w:r>
          </w:p>
        </w:tc>
        <w:tc>
          <w:tcPr>
            <w:tcW w:w="809" w:type="pct"/>
            <w:shd w:val="clear" w:color="000000" w:fill="FFFFFF"/>
            <w:vAlign w:val="center"/>
          </w:tcPr>
          <w:p w:rsidR="00FB2352" w:rsidRPr="003D6F87" w:rsidRDefault="00FB2352" w:rsidP="00FB2352">
            <w:pPr>
              <w:spacing w:after="0" w:line="240" w:lineRule="auto"/>
              <w:jc w:val="center"/>
              <w:rPr>
                <w:sz w:val="18"/>
              </w:rPr>
            </w:pPr>
            <w:r w:rsidRPr="003D6F87">
              <w:rPr>
                <w:sz w:val="18"/>
              </w:rPr>
              <w:t>42400</w:t>
            </w:r>
          </w:p>
        </w:tc>
        <w:tc>
          <w:tcPr>
            <w:tcW w:w="551" w:type="pct"/>
            <w:shd w:val="clear" w:color="000000" w:fill="FFFFFF"/>
            <w:vAlign w:val="center"/>
          </w:tcPr>
          <w:p w:rsidR="00FB2352" w:rsidRPr="003D6F87" w:rsidRDefault="00FB2352" w:rsidP="00FB2352">
            <w:pPr>
              <w:spacing w:after="0" w:line="240" w:lineRule="auto"/>
              <w:jc w:val="center"/>
              <w:rPr>
                <w:sz w:val="18"/>
              </w:rPr>
            </w:pPr>
            <w:r w:rsidRPr="003D6F87">
              <w:rPr>
                <w:sz w:val="18"/>
              </w:rPr>
              <w:t>100%</w:t>
            </w:r>
          </w:p>
        </w:tc>
      </w:tr>
    </w:tbl>
    <w:p w:rsidR="00FB2352" w:rsidRPr="00992589" w:rsidRDefault="008B5E2B" w:rsidP="00FB2352">
      <w:pPr>
        <w:spacing w:after="0" w:line="240" w:lineRule="auto"/>
        <w:jc w:val="both"/>
        <w:rPr>
          <w:rFonts w:eastAsia="Times New Roman" w:cs="Arial"/>
          <w:bCs/>
          <w:sz w:val="18"/>
          <w:lang w:eastAsia="es-CO"/>
        </w:rPr>
      </w:pPr>
      <w:r w:rsidRPr="008B5E2B">
        <w:rPr>
          <w:rFonts w:eastAsia="Times New Roman" w:cs="Arial"/>
          <w:b/>
          <w:bCs/>
          <w:sz w:val="16"/>
          <w:lang w:eastAsia="es-CO"/>
        </w:rPr>
        <w:t>Fuente:</w:t>
      </w:r>
      <w:r>
        <w:rPr>
          <w:rFonts w:eastAsia="Times New Roman" w:cs="Arial"/>
          <w:bCs/>
          <w:sz w:val="16"/>
          <w:lang w:eastAsia="es-CO"/>
        </w:rPr>
        <w:t xml:space="preserve"> </w:t>
      </w:r>
      <w:r w:rsidR="00FB2352" w:rsidRPr="003D6F87">
        <w:rPr>
          <w:rFonts w:eastAsia="Times New Roman" w:cs="Arial"/>
          <w:bCs/>
          <w:sz w:val="16"/>
          <w:lang w:eastAsia="es-CO"/>
        </w:rPr>
        <w:t xml:space="preserve">Reporte  SIMEI- Indicadores diciembre 31 de 2016, Dirección de Planeación. </w:t>
      </w:r>
    </w:p>
    <w:p w:rsidR="00EE3C3F" w:rsidRPr="00D21160" w:rsidRDefault="00EE3C3F" w:rsidP="00EE3C3F">
      <w:pPr>
        <w:rPr>
          <w:rFonts w:ascii="Calibri" w:hAnsi="Calibri"/>
          <w:i/>
          <w:iCs/>
          <w:sz w:val="16"/>
          <w:lang w:val="es-CO"/>
        </w:rPr>
      </w:pPr>
      <w:r w:rsidRPr="00D21160">
        <w:rPr>
          <w:i/>
          <w:iCs/>
          <w:sz w:val="16"/>
        </w:rPr>
        <w:t>Nota: Información preliminar, sujeta a actualización del cierre oficial de metas sociales y financieras.</w:t>
      </w:r>
    </w:p>
    <w:p w:rsidR="00EE3C3F" w:rsidRPr="00D21160" w:rsidRDefault="00EE3C3F" w:rsidP="00EE3C3F">
      <w:pPr>
        <w:spacing w:after="0" w:line="240" w:lineRule="auto"/>
        <w:jc w:val="both"/>
        <w:rPr>
          <w:rFonts w:cs="Arial"/>
          <w:sz w:val="16"/>
          <w:lang w:val="es-CO" w:eastAsia="es-ES"/>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Es importante señalar que particularmente en las zonas rurales o en comunidades étnicas, los derechos relacionados con la prestación de servicios públicos como acueducto, alcantarillado y energía eléctrica, no reciben respuesta efectiva dado que son condiciones que afectan a toda la comunidad. En estos casos, se reporta a los entes territoriales la situación de los niños, las niñas y adolescentes participantes con el fin de que pueda priorizarse su atención o que se desarrollen acciones que mitiguen las situaciones evidenciadas. </w:t>
      </w:r>
    </w:p>
    <w:p w:rsidR="00FB2352" w:rsidRPr="00992589" w:rsidRDefault="00FB2352" w:rsidP="00B61E9F">
      <w:pPr>
        <w:rPr>
          <w:lang w:eastAsia="es-CO"/>
        </w:rPr>
      </w:pPr>
    </w:p>
    <w:p w:rsidR="00FB2352" w:rsidRPr="00992589" w:rsidRDefault="00FB2352" w:rsidP="00B61E9F">
      <w:pPr>
        <w:ind w:left="708" w:firstLine="708"/>
        <w:rPr>
          <w:b/>
          <w:lang w:val="es-ES_tradnl"/>
        </w:rPr>
      </w:pPr>
      <w:r w:rsidRPr="00992589">
        <w:rPr>
          <w:b/>
          <w:lang w:val="es-ES_tradnl"/>
        </w:rPr>
        <w:t>Fortalecimiento técnico</w:t>
      </w: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Durante la vigencia 2016, desde la Dirección de Niñez se viene trabajando en el fortalecimiento técnico del programa mediante el acompañamiento del equipo de la Subdirección de Gestión Técnica a las jornadas de asistencia técnica con operadores y enlaces regionales. Adicional a este ejercicio, se han definido acciones específicas desde el programa para la prevención de violencias y trabajo infantil. </w:t>
      </w:r>
    </w:p>
    <w:p w:rsidR="00FB2352" w:rsidRPr="00992589" w:rsidRDefault="00FB2352" w:rsidP="00FB2352">
      <w:pPr>
        <w:spacing w:after="0" w:line="240" w:lineRule="auto"/>
        <w:jc w:val="both"/>
        <w:rPr>
          <w:rFonts w:eastAsia="Times New Roman" w:cs="Arial"/>
          <w:bCs/>
          <w:lang w:eastAsia="es-CO"/>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En la ciudad de Barranquilla se adelantó el piloto para trabajar con 200 adolescentes vinculados a pandillas, para que mediante el futbol callejero se propusieran espacios de dialogo y convivencia, abordando el desarrollo de competencias ciudadanas y acciones de participación desde el componente de formación y participación del programa. </w:t>
      </w:r>
    </w:p>
    <w:p w:rsidR="00FB2352" w:rsidRPr="00992589" w:rsidRDefault="00FB2352" w:rsidP="00FB2352">
      <w:pPr>
        <w:spacing w:after="0" w:line="240" w:lineRule="auto"/>
        <w:jc w:val="both"/>
        <w:rPr>
          <w:rFonts w:eastAsia="Times New Roman" w:cs="Arial"/>
          <w:bCs/>
          <w:lang w:eastAsia="es-CO"/>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Con respecto a la prevención de las peores formas de trabajo infantil, se seleccionaron 58 municipios en 7 regionales (Nariño, Valle del Cauca, Antioquia, Bolívar, Amazonas, Caldas, Meta) para acompañar técnicamente a las regionales ICBF y operadores con el fin de que se incluyeran acciones específicas en sus propuestas metodológicas, para la prevención de esta temática. </w:t>
      </w:r>
    </w:p>
    <w:p w:rsidR="00FB2352" w:rsidRPr="00992589" w:rsidRDefault="00FB2352" w:rsidP="00FB2352">
      <w:pPr>
        <w:spacing w:after="0" w:line="240" w:lineRule="auto"/>
        <w:jc w:val="both"/>
        <w:rPr>
          <w:rFonts w:eastAsia="Times New Roman" w:cs="Arial"/>
          <w:bCs/>
          <w:lang w:eastAsia="es-CO"/>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En la modalidad étnica, junto a la Subdirección General, se definieron las instrucciones para los procesos de concertación y contratación, con el fin de que el proceso cumpliera con los criterios de publicidad y transparencia, de acuerdo a las solicitudes y acuerdos a los que el ICBF ha llegado en los diferentes espacios de diálogo en los que ha participado con las organizaciones étnicas. En este sentido se busca incluir a Cabildos, Resguardos, Consejos Comunitarios, Kumpañys, </w:t>
      </w:r>
      <w:r w:rsidRPr="00992589">
        <w:rPr>
          <w:rFonts w:eastAsia="Times New Roman" w:cs="Arial"/>
          <w:bCs/>
          <w:lang w:eastAsia="es-CO"/>
        </w:rPr>
        <w:lastRenderedPageBreak/>
        <w:t>comunidades y organizaciones que tendrían capacidad de asumir la operación de Generaciones con Bienestar en la modalidad étnica.</w:t>
      </w:r>
    </w:p>
    <w:p w:rsidR="00FB2352" w:rsidRPr="00992589" w:rsidRDefault="00FB2352" w:rsidP="00FB2352">
      <w:pPr>
        <w:spacing w:after="0" w:line="240" w:lineRule="auto"/>
        <w:jc w:val="both"/>
        <w:rPr>
          <w:rFonts w:eastAsia="Times New Roman" w:cs="Arial"/>
          <w:bCs/>
          <w:lang w:eastAsia="es-CO"/>
        </w:rPr>
      </w:pPr>
    </w:p>
    <w:p w:rsidR="00FB2352" w:rsidRPr="00992589" w:rsidRDefault="00FB2352" w:rsidP="00FB2352">
      <w:pPr>
        <w:spacing w:after="0" w:line="240" w:lineRule="auto"/>
        <w:jc w:val="both"/>
        <w:rPr>
          <w:rFonts w:eastAsia="Times New Roman" w:cs="Arial"/>
          <w:bCs/>
          <w:lang w:eastAsia="es-CO"/>
        </w:rPr>
      </w:pPr>
      <w:r w:rsidRPr="00992589">
        <w:rPr>
          <w:rFonts w:eastAsia="Times New Roman" w:cs="Arial"/>
          <w:bCs/>
          <w:lang w:eastAsia="es-CO"/>
        </w:rPr>
        <w:t xml:space="preserve">Finalmente, como un ejercicio conjunto de la Dirección de Niñez y Adolescencia, se plantearon las siguientes acciones para el fortalecimiento técnico del programa: </w:t>
      </w:r>
    </w:p>
    <w:p w:rsidR="00FB2352" w:rsidRPr="00992589" w:rsidRDefault="00FB2352" w:rsidP="00FB2352">
      <w:pPr>
        <w:spacing w:after="0" w:line="240" w:lineRule="auto"/>
        <w:jc w:val="both"/>
        <w:rPr>
          <w:rFonts w:eastAsia="Times New Roman" w:cs="Arial"/>
          <w:bCs/>
          <w:lang w:eastAsia="es-CO"/>
        </w:rPr>
      </w:pP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 xml:space="preserve">Fortalecer líneas de prevención que deben enfatizarse en el programa a partir de la identificación de riesgos y oportunidades para los </w:t>
      </w:r>
      <w:r w:rsidR="0063584B">
        <w:rPr>
          <w:rFonts w:eastAsia="Times New Roman" w:cs="Arial"/>
          <w:bCs/>
          <w:lang w:eastAsia="es-CO"/>
        </w:rPr>
        <w:t>participantes en el territorio.</w:t>
      </w:r>
    </w:p>
    <w:p w:rsidR="0063584B" w:rsidRPr="00992589" w:rsidRDefault="0063584B" w:rsidP="0063584B">
      <w:pPr>
        <w:pStyle w:val="Prrafodelista"/>
        <w:spacing w:after="0" w:line="240" w:lineRule="auto"/>
        <w:ind w:left="360"/>
        <w:contextualSpacing/>
        <w:jc w:val="both"/>
        <w:rPr>
          <w:rFonts w:eastAsia="Times New Roman" w:cs="Arial"/>
          <w:bCs/>
          <w:lang w:eastAsia="es-CO"/>
        </w:rPr>
      </w:pP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Inclusión de organizaciones sociales y comunitarias del territorio en el desarrollo del programa. Se busca dejar capacidad instalada para dar continuidad a las acciones en ausen</w:t>
      </w:r>
      <w:r w:rsidR="0063584B">
        <w:rPr>
          <w:rFonts w:eastAsia="Times New Roman" w:cs="Arial"/>
          <w:bCs/>
          <w:lang w:eastAsia="es-CO"/>
        </w:rPr>
        <w:t>cia de presencia institucional.</w:t>
      </w:r>
    </w:p>
    <w:p w:rsidR="0063584B" w:rsidRPr="0063584B" w:rsidRDefault="0063584B" w:rsidP="0063584B">
      <w:pPr>
        <w:spacing w:after="0" w:line="240" w:lineRule="auto"/>
        <w:contextualSpacing/>
        <w:jc w:val="both"/>
        <w:rPr>
          <w:rFonts w:eastAsia="Times New Roman" w:cs="Arial"/>
          <w:bCs/>
          <w:lang w:eastAsia="es-CO"/>
        </w:rPr>
      </w:pPr>
    </w:p>
    <w:p w:rsidR="0063584B"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Incluir contenidos técnicos que se vienen desarrollando por el equipo de la Subdirección de Gestión Técnica para la prevención de los riesgos que afectan a los niños, niñas y adolescentes.</w:t>
      </w:r>
    </w:p>
    <w:p w:rsidR="00FB2352" w:rsidRPr="0063584B" w:rsidRDefault="00FB2352" w:rsidP="0063584B">
      <w:pPr>
        <w:spacing w:after="0" w:line="240" w:lineRule="auto"/>
        <w:contextualSpacing/>
        <w:jc w:val="both"/>
        <w:rPr>
          <w:rFonts w:eastAsia="Times New Roman" w:cs="Arial"/>
          <w:bCs/>
          <w:lang w:eastAsia="es-CO"/>
        </w:rPr>
      </w:pPr>
      <w:r w:rsidRPr="0063584B">
        <w:rPr>
          <w:rFonts w:eastAsia="Times New Roman" w:cs="Arial"/>
          <w:bCs/>
          <w:lang w:eastAsia="es-CO"/>
        </w:rPr>
        <w:t xml:space="preserve"> </w:t>
      </w: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Trabajar en la identificación de indicadores que permitan observar y medir el proceso de los participantes en el programa, orientado al desarrollo de sus habilidades para el logro de sus proyectos de vida.</w:t>
      </w:r>
    </w:p>
    <w:p w:rsidR="0063584B" w:rsidRPr="0063584B" w:rsidRDefault="0063584B" w:rsidP="0063584B">
      <w:pPr>
        <w:spacing w:after="0" w:line="240" w:lineRule="auto"/>
        <w:contextualSpacing/>
        <w:jc w:val="both"/>
        <w:rPr>
          <w:rFonts w:eastAsia="Times New Roman" w:cs="Arial"/>
          <w:bCs/>
          <w:lang w:eastAsia="es-CO"/>
        </w:rPr>
      </w:pP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Consolidar el trabajo con las familias de los participantes del programa, articulando con los contenidos de Entornos Protectores y acompañar técnicamente a los operadores para que se motive la participación activa y oportuna de pa</w:t>
      </w:r>
      <w:r w:rsidR="0063584B">
        <w:rPr>
          <w:rFonts w:eastAsia="Times New Roman" w:cs="Arial"/>
          <w:bCs/>
          <w:lang w:eastAsia="es-CO"/>
        </w:rPr>
        <w:t>dres, madres o cuidadores.</w:t>
      </w:r>
    </w:p>
    <w:p w:rsidR="0063584B" w:rsidRPr="0063584B" w:rsidRDefault="0063584B" w:rsidP="0063584B">
      <w:pPr>
        <w:spacing w:after="0" w:line="240" w:lineRule="auto"/>
        <w:contextualSpacing/>
        <w:jc w:val="both"/>
        <w:rPr>
          <w:rFonts w:eastAsia="Times New Roman" w:cs="Arial"/>
          <w:bCs/>
          <w:lang w:eastAsia="es-CO"/>
        </w:rPr>
      </w:pPr>
    </w:p>
    <w:p w:rsidR="0063584B"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Fortalecer el perfil de los promotores de derechos para garantizar las competencias requeridas para el trabajo con los participantes de acuerdo con los objetivos del programa. Proceso de formación y acompañamiento permanente a los promotores de derechos.</w:t>
      </w:r>
    </w:p>
    <w:p w:rsidR="00FB2352" w:rsidRPr="0063584B" w:rsidRDefault="00FB2352" w:rsidP="0063584B">
      <w:pPr>
        <w:spacing w:after="0" w:line="240" w:lineRule="auto"/>
        <w:contextualSpacing/>
        <w:jc w:val="both"/>
        <w:rPr>
          <w:rFonts w:eastAsia="Times New Roman" w:cs="Arial"/>
          <w:bCs/>
          <w:lang w:eastAsia="es-CO"/>
        </w:rPr>
      </w:pPr>
      <w:r w:rsidRPr="0063584B">
        <w:rPr>
          <w:rFonts w:eastAsia="Times New Roman" w:cs="Arial"/>
          <w:bCs/>
          <w:lang w:eastAsia="es-CO"/>
        </w:rPr>
        <w:t xml:space="preserve"> </w:t>
      </w: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ABC de las rutas de protección, con el fin de que los referentes regionales, operadores y promotores de derechos, cuenten con la información actualizada sobre la activación de rutas para el restablecimiento de derechos inobserva</w:t>
      </w:r>
      <w:r w:rsidR="0063584B">
        <w:rPr>
          <w:rFonts w:eastAsia="Times New Roman" w:cs="Arial"/>
          <w:bCs/>
          <w:lang w:eastAsia="es-CO"/>
        </w:rPr>
        <w:t>dos, amenazados o vulnerados.</w:t>
      </w:r>
    </w:p>
    <w:p w:rsidR="0063584B" w:rsidRPr="0063584B" w:rsidRDefault="0063584B" w:rsidP="0063584B">
      <w:pPr>
        <w:spacing w:after="0" w:line="240" w:lineRule="auto"/>
        <w:contextualSpacing/>
        <w:jc w:val="both"/>
        <w:rPr>
          <w:rFonts w:eastAsia="Times New Roman" w:cs="Arial"/>
          <w:bCs/>
          <w:lang w:eastAsia="es-CO"/>
        </w:rPr>
      </w:pPr>
    </w:p>
    <w:p w:rsidR="00FB2352" w:rsidRDefault="00FB2352" w:rsidP="00D712DC">
      <w:pPr>
        <w:pStyle w:val="Prrafodelista"/>
        <w:numPr>
          <w:ilvl w:val="0"/>
          <w:numId w:val="89"/>
        </w:numPr>
        <w:spacing w:after="0" w:line="240" w:lineRule="auto"/>
        <w:contextualSpacing/>
        <w:jc w:val="both"/>
        <w:rPr>
          <w:rFonts w:eastAsia="Times New Roman" w:cs="Arial"/>
          <w:bCs/>
          <w:lang w:eastAsia="es-CO"/>
        </w:rPr>
      </w:pPr>
      <w:r w:rsidRPr="00992589">
        <w:rPr>
          <w:rFonts w:eastAsia="Times New Roman" w:cs="Arial"/>
          <w:bCs/>
          <w:lang w:eastAsia="es-CO"/>
        </w:rPr>
        <w:t>Desarrollar unos pilotos en donde se pueda articular el trabajo y experiencias de las diferentes estrategias de la Dir</w:t>
      </w:r>
      <w:r w:rsidR="0063584B">
        <w:rPr>
          <w:rFonts w:eastAsia="Times New Roman" w:cs="Arial"/>
          <w:bCs/>
          <w:lang w:eastAsia="es-CO"/>
        </w:rPr>
        <w:t>ección de Niñez y Adolescencia.</w:t>
      </w:r>
    </w:p>
    <w:p w:rsidR="0063584B" w:rsidRPr="0063584B" w:rsidRDefault="0063584B" w:rsidP="0063584B">
      <w:pPr>
        <w:spacing w:after="0" w:line="240" w:lineRule="auto"/>
        <w:contextualSpacing/>
        <w:jc w:val="both"/>
        <w:rPr>
          <w:rFonts w:eastAsia="Times New Roman" w:cs="Arial"/>
          <w:bCs/>
          <w:lang w:eastAsia="es-CO"/>
        </w:rPr>
      </w:pPr>
    </w:p>
    <w:p w:rsidR="00575CB1" w:rsidRDefault="00FB2352" w:rsidP="00D712DC">
      <w:pPr>
        <w:pStyle w:val="Prrafodelista"/>
        <w:numPr>
          <w:ilvl w:val="0"/>
          <w:numId w:val="89"/>
        </w:numPr>
        <w:spacing w:after="0" w:line="240" w:lineRule="auto"/>
        <w:contextualSpacing/>
        <w:jc w:val="both"/>
        <w:rPr>
          <w:rFonts w:eastAsia="Times New Roman" w:cs="Arial"/>
          <w:bCs/>
          <w:lang w:eastAsia="es-CO"/>
        </w:rPr>
      </w:pPr>
      <w:r w:rsidRPr="00575CB1">
        <w:rPr>
          <w:rFonts w:eastAsia="Times New Roman" w:cs="Arial"/>
          <w:bCs/>
          <w:lang w:eastAsia="es-CO"/>
        </w:rPr>
        <w:t>Articular acciones en los territorios en donde GCB/AMAS/Prevención Embarazo/ Entornos Protectores compartan operadores, aprovechando las ventajas que los aliados recon</w:t>
      </w:r>
      <w:r w:rsidR="0063584B">
        <w:rPr>
          <w:rFonts w:eastAsia="Times New Roman" w:cs="Arial"/>
          <w:bCs/>
          <w:lang w:eastAsia="es-CO"/>
        </w:rPr>
        <w:t>ocen de cada forma de atención.</w:t>
      </w:r>
    </w:p>
    <w:p w:rsidR="0063584B" w:rsidRPr="0063584B" w:rsidRDefault="0063584B" w:rsidP="0063584B">
      <w:pPr>
        <w:spacing w:after="0" w:line="240" w:lineRule="auto"/>
        <w:contextualSpacing/>
        <w:jc w:val="both"/>
        <w:rPr>
          <w:rFonts w:eastAsia="Times New Roman" w:cs="Arial"/>
          <w:bCs/>
          <w:lang w:eastAsia="es-CO"/>
        </w:rPr>
      </w:pPr>
    </w:p>
    <w:p w:rsidR="004309E4" w:rsidRPr="00575CB1" w:rsidRDefault="004309E4" w:rsidP="00D712DC">
      <w:pPr>
        <w:pStyle w:val="Prrafodelista"/>
        <w:numPr>
          <w:ilvl w:val="0"/>
          <w:numId w:val="89"/>
        </w:numPr>
        <w:spacing w:after="0" w:line="240" w:lineRule="auto"/>
        <w:contextualSpacing/>
        <w:jc w:val="both"/>
        <w:rPr>
          <w:rFonts w:eastAsia="Times New Roman" w:cs="Arial"/>
          <w:bCs/>
          <w:lang w:eastAsia="es-CO"/>
        </w:rPr>
      </w:pPr>
      <w:r w:rsidRPr="00575CB1">
        <w:rPr>
          <w:rFonts w:eastAsia="Times New Roman" w:cs="Arial"/>
          <w:bCs/>
          <w:lang w:eastAsia="es-CO"/>
        </w:rPr>
        <w:t xml:space="preserve">Con el fin de ajustar los lineamientos técnicos del programa, incluyendo acciones que parten de las propuestas de los participantes, sus familias, aliados estratégicos y regionales del ICBF, durante la vigencia 2016 el ICBF desarrolló una evaluación de impacto y resultados del Programa “Generaciones con Bienestar”. Estos resultados permitirán identificar posibilidades de mejora en las acciones de prevención y garantía de derechos de la niñez y la adolescencia.  </w:t>
      </w:r>
    </w:p>
    <w:p w:rsidR="004309E4" w:rsidRDefault="004309E4" w:rsidP="004309E4">
      <w:pPr>
        <w:pStyle w:val="Prrafodelista"/>
        <w:spacing w:after="0" w:line="240" w:lineRule="auto"/>
        <w:ind w:left="714"/>
        <w:jc w:val="both"/>
        <w:rPr>
          <w:rFonts w:eastAsia="Times New Roman" w:cs="Arial"/>
          <w:bCs/>
          <w:lang w:eastAsia="es-CO"/>
        </w:rPr>
      </w:pPr>
    </w:p>
    <w:p w:rsidR="00B61E9F" w:rsidRPr="004309E4" w:rsidRDefault="00B61E9F" w:rsidP="004309E4">
      <w:pPr>
        <w:pStyle w:val="Prrafodelista"/>
        <w:spacing w:after="0" w:line="240" w:lineRule="auto"/>
        <w:ind w:left="714"/>
        <w:jc w:val="both"/>
        <w:rPr>
          <w:rFonts w:eastAsia="Times New Roman" w:cs="Arial"/>
          <w:bCs/>
          <w:lang w:eastAsia="es-CO"/>
        </w:rPr>
      </w:pPr>
    </w:p>
    <w:p w:rsidR="00FB2352" w:rsidRPr="00575CB1" w:rsidRDefault="00FB2352" w:rsidP="00B61E9F">
      <w:pPr>
        <w:ind w:left="708" w:firstLine="708"/>
        <w:rPr>
          <w:b/>
          <w:lang w:eastAsia="es-ES"/>
        </w:rPr>
      </w:pPr>
      <w:r w:rsidRPr="00575CB1">
        <w:rPr>
          <w:b/>
          <w:lang w:eastAsia="es-ES"/>
        </w:rPr>
        <w:t xml:space="preserve">Estrategia de Prevención de Embarazo en la Adolescencia </w:t>
      </w:r>
    </w:p>
    <w:p w:rsidR="004309E4" w:rsidRPr="004309E4" w:rsidRDefault="004309E4" w:rsidP="004309E4">
      <w:pPr>
        <w:pStyle w:val="Sinespaciado"/>
        <w:ind w:left="360"/>
        <w:jc w:val="both"/>
        <w:rPr>
          <w:rFonts w:cs="Arial"/>
        </w:rPr>
      </w:pPr>
      <w:r w:rsidRPr="004309E4">
        <w:rPr>
          <w:rFonts w:cs="Arial"/>
        </w:rPr>
        <w:t>Siguiendo los últimos resultados de la Encuesta Nacional de Demografía y Salud,  entre los años 2010 a 2015 el 17.4% de las adolescentes de 15 a 19 años en Colombia ya son madres o embarazadas, disminuyendo en 2,1 puntos porcentuales con respeto a la medición de 2005 a 2010 que reporto 19,5%. El mayor descenso se da en los grupos de adolescentes más favorecidos socialmente: en los quintiles alto y más alto de riqueza, en el nivel superior de educación, en la zona urbana y en las regiones más desarrolladas.</w:t>
      </w:r>
    </w:p>
    <w:p w:rsidR="004309E4" w:rsidRPr="004309E4" w:rsidRDefault="004309E4" w:rsidP="004309E4">
      <w:pPr>
        <w:pStyle w:val="Sinespaciado"/>
        <w:ind w:left="360"/>
        <w:jc w:val="both"/>
        <w:rPr>
          <w:rFonts w:cs="Arial"/>
        </w:rPr>
      </w:pPr>
    </w:p>
    <w:p w:rsidR="004309E4" w:rsidRPr="004309E4" w:rsidRDefault="004309E4" w:rsidP="004309E4">
      <w:pPr>
        <w:pStyle w:val="Sinespaciado"/>
        <w:ind w:left="360"/>
        <w:jc w:val="both"/>
        <w:rPr>
          <w:rFonts w:cs="Arial"/>
        </w:rPr>
      </w:pPr>
      <w:r w:rsidRPr="004309E4">
        <w:rPr>
          <w:rFonts w:cs="Arial"/>
        </w:rPr>
        <w:t xml:space="preserve">Estos resultados animan a continuar aunando esfuerzos en los procesos para la de prevención del embarazo en la adolescencia, orientados a que las y los adolescentes desarrollen habilidades que les permitan crecer, fortalecer sus proyectos de vida y enfrentar los desafíos que se les presentan en la vida. Esto se logra a través del acceso a una educación de calidad, a servicios de salud amigables, a la información, a la recreación, a la justicia y a un entorno seguro, protector y estimulante. </w:t>
      </w:r>
    </w:p>
    <w:p w:rsidR="004309E4" w:rsidRPr="004309E4" w:rsidRDefault="004309E4" w:rsidP="004309E4">
      <w:pPr>
        <w:pStyle w:val="Sinespaciado"/>
        <w:ind w:left="360"/>
        <w:jc w:val="both"/>
        <w:rPr>
          <w:rFonts w:cs="Arial"/>
        </w:rPr>
      </w:pPr>
    </w:p>
    <w:p w:rsidR="004309E4" w:rsidRPr="004309E4" w:rsidRDefault="004309E4" w:rsidP="004309E4">
      <w:pPr>
        <w:pStyle w:val="Sinespaciado"/>
        <w:ind w:left="360"/>
        <w:jc w:val="both"/>
        <w:rPr>
          <w:rFonts w:cs="Arial"/>
        </w:rPr>
      </w:pPr>
      <w:r w:rsidRPr="004309E4">
        <w:rPr>
          <w:rFonts w:cs="Arial"/>
        </w:rPr>
        <w:t>En este sentido y en el marco del cumplimiento de su misión, el ICBF  asumió el reto de coadyuvar en la formulación, desarrollo y gestión de políticas, proyectos y estrategias para la promoción y la garantía de los derechos sexuales y reproductivos de los niños, niñas y adolescentes en Colombia, En este contexto, ha hecho un especial énfasis en la prevención del embarazo en la adolescencia a nivel nacional y territorial, asumiendo el liderazgo de “La Estrategia de Atención Integral para niñas, niños y adolescentes con énfasis en la Prevención del Embarazo en la Adolescencia”, cuyas acciones son articuladas con las instituciones que hacen parte de la Comisión Nacional Intersectorial para la Promoción y Garantía de los Derechos Sexuales y Reproductivos, en armonía con el mandato del artículo 84  de la ley 1753 por la cual se expide El Plan Nacional de Desarrollo 2014-2018 “Todos por un nuevo país”.</w:t>
      </w:r>
    </w:p>
    <w:p w:rsidR="004309E4" w:rsidRPr="004309E4" w:rsidRDefault="004309E4" w:rsidP="004309E4">
      <w:pPr>
        <w:pStyle w:val="Sinespaciado"/>
        <w:ind w:left="360"/>
        <w:jc w:val="both"/>
        <w:rPr>
          <w:rFonts w:cs="Arial"/>
        </w:rPr>
      </w:pPr>
      <w:r w:rsidRPr="004309E4">
        <w:rPr>
          <w:rFonts w:cs="Arial"/>
        </w:rPr>
        <w:t xml:space="preserve"> </w:t>
      </w:r>
    </w:p>
    <w:p w:rsidR="004309E4" w:rsidRPr="004309E4" w:rsidRDefault="004309E4" w:rsidP="004309E4">
      <w:pPr>
        <w:pStyle w:val="Sinespaciado"/>
        <w:ind w:left="360"/>
        <w:jc w:val="both"/>
        <w:rPr>
          <w:rFonts w:cs="Arial"/>
        </w:rPr>
      </w:pPr>
      <w:r w:rsidRPr="004309E4">
        <w:rPr>
          <w:rFonts w:cs="Arial"/>
        </w:rPr>
        <w:t>Esta apuesta parte del marco de los derechos humanos y especialmente de los Derechos Sexuales y Reproductivos– DSR-, donde se contemplan las lecciones aprendidas de estas últimas décadas en la implementación y ejecución de políticas, planes y programas, con especial énfasis en la experiencia de desarrollo del CONPES 147 /2012 “Lineamientos para el desarrollo de una estrategia para la prevención del embarazo en la adolescencia y la promoción de proyectos de vida para los niños, niñas, adolescentes y jóvenes en edades entre 6 y 19 años”, concebido desde una perspectiva de gestión integral con una incidencia importante en el territorio nacional en los últimos 2 años, así como de las recomendaciones derivadas de las evaluaciones realizadas en este marco.</w:t>
      </w:r>
    </w:p>
    <w:p w:rsidR="004309E4" w:rsidRPr="004309E4" w:rsidRDefault="004309E4" w:rsidP="004309E4">
      <w:pPr>
        <w:pStyle w:val="Sinespaciado"/>
        <w:ind w:left="360"/>
        <w:jc w:val="both"/>
        <w:rPr>
          <w:rFonts w:cs="Arial"/>
        </w:rPr>
      </w:pPr>
    </w:p>
    <w:p w:rsidR="004309E4" w:rsidRDefault="004309E4" w:rsidP="004309E4">
      <w:pPr>
        <w:pStyle w:val="Sinespaciado"/>
        <w:ind w:left="360"/>
        <w:jc w:val="both"/>
        <w:rPr>
          <w:rFonts w:cs="Arial"/>
        </w:rPr>
      </w:pPr>
      <w:r w:rsidRPr="004309E4">
        <w:rPr>
          <w:rFonts w:cs="Arial"/>
        </w:rPr>
        <w:t>De esta manera, la Estrategia de Atención Integral para niñas, niños y adolescentes con énfasis en Prevención del Embarazo en la adolescencia (2015 – 2024) “Ejerciendo tus derechos, transformas el mundo”, se presenta en clave de derechos y se plantea como una oportunidad para adelantar las acciones necesarias para promover el desarrollo integral en el país.</w:t>
      </w:r>
    </w:p>
    <w:p w:rsidR="005044B5" w:rsidRPr="004309E4" w:rsidRDefault="005044B5" w:rsidP="004309E4">
      <w:pPr>
        <w:pStyle w:val="Sinespaciado"/>
        <w:ind w:left="360"/>
        <w:jc w:val="both"/>
        <w:rPr>
          <w:rFonts w:cs="Arial"/>
        </w:rPr>
      </w:pPr>
    </w:p>
    <w:p w:rsidR="00FB2352" w:rsidRPr="00992589" w:rsidRDefault="00FB2352" w:rsidP="00FB2352">
      <w:pPr>
        <w:pStyle w:val="Sinespaciado"/>
        <w:ind w:left="1080"/>
        <w:jc w:val="both"/>
        <w:rPr>
          <w:rFonts w:cs="Arial"/>
        </w:rPr>
      </w:pPr>
    </w:p>
    <w:p w:rsidR="00FB2352" w:rsidRDefault="00FB2352" w:rsidP="0038309F">
      <w:pPr>
        <w:ind w:firstLine="708"/>
        <w:rPr>
          <w:b/>
        </w:rPr>
      </w:pPr>
      <w:r w:rsidRPr="00992589">
        <w:rPr>
          <w:b/>
          <w:bCs/>
          <w:lang w:val="es-ES_tradnl"/>
        </w:rPr>
        <w:lastRenderedPageBreak/>
        <w:t xml:space="preserve">Presupuesto </w:t>
      </w:r>
      <w:r w:rsidRPr="00992589">
        <w:rPr>
          <w:b/>
        </w:rPr>
        <w:t>de la Estrategia de Prevención de Embarazo en la Adolescencia</w:t>
      </w:r>
    </w:p>
    <w:p w:rsidR="00FB2352" w:rsidRDefault="00FB2352" w:rsidP="00FB2352">
      <w:pPr>
        <w:pStyle w:val="Sinespaciado"/>
        <w:jc w:val="both"/>
        <w:rPr>
          <w:rFonts w:cs="Arial"/>
          <w:bCs/>
          <w:lang w:val="es-ES_tradnl"/>
        </w:rPr>
      </w:pPr>
      <w:r w:rsidRPr="00992589">
        <w:rPr>
          <w:rFonts w:cs="Arial"/>
          <w:bCs/>
          <w:lang w:val="es-ES_tradnl"/>
        </w:rPr>
        <w:t xml:space="preserve">Durante la presente vigencia la </w:t>
      </w:r>
      <w:r w:rsidR="004309E4">
        <w:rPr>
          <w:rFonts w:cs="Arial"/>
          <w:bCs/>
          <w:lang w:val="es-ES_tradnl"/>
        </w:rPr>
        <w:t>E</w:t>
      </w:r>
      <w:r w:rsidRPr="00992589">
        <w:rPr>
          <w:rFonts w:cs="Arial"/>
          <w:bCs/>
          <w:lang w:val="es-ES_tradnl"/>
        </w:rPr>
        <w:t>strategia ha logrado atender un total de 11.041 participantes. En la siguiente tabla se presentan los recursos programados y apropiados y la atención de la estrategia con corte a 31 de diciembre.</w:t>
      </w:r>
    </w:p>
    <w:p w:rsidR="005044B5" w:rsidRPr="00992589" w:rsidRDefault="005044B5" w:rsidP="00FB2352">
      <w:pPr>
        <w:pStyle w:val="Sinespaciado"/>
        <w:jc w:val="both"/>
        <w:rPr>
          <w:rFonts w:cs="Arial"/>
          <w:bCs/>
          <w:lang w:val="es-ES_tradnl"/>
        </w:rPr>
      </w:pPr>
    </w:p>
    <w:tbl>
      <w:tblPr>
        <w:tblStyle w:val="Tablaconcuadrcula"/>
        <w:tblW w:w="9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413"/>
        <w:gridCol w:w="1701"/>
        <w:gridCol w:w="1559"/>
        <w:gridCol w:w="1843"/>
        <w:gridCol w:w="1417"/>
        <w:gridCol w:w="1134"/>
      </w:tblGrid>
      <w:tr w:rsidR="00FB2352" w:rsidRPr="003D6F87" w:rsidTr="008B5E2B">
        <w:trPr>
          <w:jc w:val="center"/>
        </w:trPr>
        <w:tc>
          <w:tcPr>
            <w:tcW w:w="1413" w:type="dxa"/>
            <w:shd w:val="clear" w:color="auto" w:fill="76923C" w:themeFill="accent3" w:themeFillShade="BF"/>
            <w:vAlign w:val="center"/>
          </w:tcPr>
          <w:p w:rsidR="00FB2352" w:rsidRPr="008B5E2B" w:rsidRDefault="008B5E2B" w:rsidP="00FB2352">
            <w:pPr>
              <w:spacing w:after="0" w:line="240" w:lineRule="auto"/>
              <w:jc w:val="center"/>
              <w:rPr>
                <w:rFonts w:cs="Arial"/>
                <w:b/>
                <w:bCs/>
                <w:color w:val="FFFFFF" w:themeColor="background1"/>
                <w:sz w:val="18"/>
                <w:szCs w:val="20"/>
                <w:lang w:eastAsia="es-CO"/>
              </w:rPr>
            </w:pPr>
            <w:r w:rsidRPr="008B5E2B">
              <w:rPr>
                <w:rFonts w:cs="Arial"/>
                <w:b/>
                <w:bCs/>
                <w:color w:val="FFFFFF" w:themeColor="background1"/>
                <w:sz w:val="18"/>
                <w:szCs w:val="20"/>
                <w:lang w:eastAsia="es-CO"/>
              </w:rPr>
              <w:t>Cupos</w:t>
            </w:r>
          </w:p>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Atendidos</w:t>
            </w:r>
          </w:p>
        </w:tc>
        <w:tc>
          <w:tcPr>
            <w:tcW w:w="1701" w:type="dxa"/>
            <w:shd w:val="clear" w:color="auto" w:fill="76923C" w:themeFill="accent3" w:themeFillShade="BF"/>
            <w:vAlign w:val="center"/>
          </w:tcPr>
          <w:p w:rsidR="00FB2352" w:rsidRPr="008B5E2B" w:rsidRDefault="008B5E2B" w:rsidP="00FB2352">
            <w:pPr>
              <w:spacing w:after="0" w:line="240" w:lineRule="auto"/>
              <w:jc w:val="center"/>
              <w:rPr>
                <w:rFonts w:cs="Arial"/>
                <w:b/>
                <w:bCs/>
                <w:color w:val="FFFFFF" w:themeColor="background1"/>
                <w:sz w:val="18"/>
                <w:szCs w:val="20"/>
                <w:lang w:eastAsia="es-CO"/>
              </w:rPr>
            </w:pPr>
            <w:r w:rsidRPr="008B5E2B">
              <w:rPr>
                <w:rFonts w:cs="Arial"/>
                <w:b/>
                <w:bCs/>
                <w:color w:val="FFFFFF" w:themeColor="background1"/>
                <w:sz w:val="18"/>
                <w:szCs w:val="20"/>
                <w:lang w:eastAsia="es-CO"/>
              </w:rPr>
              <w:t>Apropiación</w:t>
            </w:r>
          </w:p>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Inicial</w:t>
            </w:r>
          </w:p>
        </w:tc>
        <w:tc>
          <w:tcPr>
            <w:tcW w:w="1559" w:type="dxa"/>
            <w:shd w:val="clear" w:color="auto" w:fill="76923C" w:themeFill="accent3" w:themeFillShade="BF"/>
            <w:vAlign w:val="center"/>
          </w:tcPr>
          <w:p w:rsidR="00FB2352" w:rsidRPr="008B5E2B" w:rsidRDefault="008B5E2B" w:rsidP="00FB2352">
            <w:pPr>
              <w:spacing w:after="0" w:line="240" w:lineRule="auto"/>
              <w:jc w:val="center"/>
              <w:rPr>
                <w:rFonts w:cs="Arial"/>
                <w:b/>
                <w:bCs/>
                <w:color w:val="FFFFFF" w:themeColor="background1"/>
                <w:sz w:val="18"/>
                <w:szCs w:val="20"/>
                <w:lang w:eastAsia="es-CO"/>
              </w:rPr>
            </w:pPr>
            <w:r w:rsidRPr="008B5E2B">
              <w:rPr>
                <w:rFonts w:cs="Arial"/>
                <w:b/>
                <w:bCs/>
                <w:color w:val="FFFFFF" w:themeColor="background1"/>
                <w:sz w:val="18"/>
                <w:szCs w:val="20"/>
                <w:lang w:eastAsia="es-CO"/>
              </w:rPr>
              <w:t>Apropiación</w:t>
            </w:r>
          </w:p>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Vigente</w:t>
            </w:r>
          </w:p>
        </w:tc>
        <w:tc>
          <w:tcPr>
            <w:tcW w:w="1843" w:type="dxa"/>
            <w:shd w:val="clear" w:color="auto" w:fill="76923C" w:themeFill="accent3" w:themeFillShade="BF"/>
            <w:vAlign w:val="center"/>
          </w:tcPr>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Comprometido</w:t>
            </w:r>
          </w:p>
        </w:tc>
        <w:tc>
          <w:tcPr>
            <w:tcW w:w="1417" w:type="dxa"/>
            <w:shd w:val="clear" w:color="auto" w:fill="76923C" w:themeFill="accent3" w:themeFillShade="BF"/>
            <w:vAlign w:val="center"/>
          </w:tcPr>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Obligado</w:t>
            </w:r>
          </w:p>
        </w:tc>
        <w:tc>
          <w:tcPr>
            <w:tcW w:w="1134" w:type="dxa"/>
            <w:shd w:val="clear" w:color="auto" w:fill="76923C" w:themeFill="accent3" w:themeFillShade="BF"/>
            <w:vAlign w:val="center"/>
          </w:tcPr>
          <w:p w:rsidR="00FB2352" w:rsidRPr="008B5E2B" w:rsidRDefault="008B5E2B" w:rsidP="00FB2352">
            <w:pPr>
              <w:pStyle w:val="Sinespaciado"/>
              <w:jc w:val="center"/>
              <w:rPr>
                <w:rFonts w:cs="Arial"/>
                <w:b/>
                <w:color w:val="FFFFFF" w:themeColor="background1"/>
                <w:sz w:val="18"/>
                <w:szCs w:val="20"/>
              </w:rPr>
            </w:pPr>
            <w:r w:rsidRPr="008B5E2B">
              <w:rPr>
                <w:rFonts w:cs="Arial"/>
                <w:b/>
                <w:bCs/>
                <w:color w:val="FFFFFF" w:themeColor="background1"/>
                <w:sz w:val="18"/>
                <w:szCs w:val="20"/>
                <w:lang w:eastAsia="es-CO"/>
              </w:rPr>
              <w:t>Pagado</w:t>
            </w:r>
          </w:p>
        </w:tc>
      </w:tr>
      <w:tr w:rsidR="00FB2352" w:rsidRPr="003D6F87" w:rsidTr="008B5E2B">
        <w:trPr>
          <w:trHeight w:val="435"/>
          <w:jc w:val="center"/>
        </w:trPr>
        <w:tc>
          <w:tcPr>
            <w:tcW w:w="1413"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11.041</w:t>
            </w:r>
          </w:p>
        </w:tc>
        <w:tc>
          <w:tcPr>
            <w:tcW w:w="1701"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$ 10.000</w:t>
            </w:r>
          </w:p>
        </w:tc>
        <w:tc>
          <w:tcPr>
            <w:tcW w:w="1559"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$ 10.004</w:t>
            </w:r>
          </w:p>
        </w:tc>
        <w:tc>
          <w:tcPr>
            <w:tcW w:w="1843"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$ 10.004</w:t>
            </w:r>
          </w:p>
        </w:tc>
        <w:tc>
          <w:tcPr>
            <w:tcW w:w="1417"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$ 9.907</w:t>
            </w:r>
          </w:p>
        </w:tc>
        <w:tc>
          <w:tcPr>
            <w:tcW w:w="1134" w:type="dxa"/>
            <w:vAlign w:val="center"/>
          </w:tcPr>
          <w:p w:rsidR="00FB2352" w:rsidRPr="003D6F87" w:rsidRDefault="00FB2352" w:rsidP="00FB2352">
            <w:pPr>
              <w:pStyle w:val="Sinespaciado"/>
              <w:jc w:val="center"/>
              <w:rPr>
                <w:rFonts w:cs="Arial"/>
                <w:sz w:val="18"/>
                <w:szCs w:val="20"/>
              </w:rPr>
            </w:pPr>
            <w:r w:rsidRPr="003D6F87">
              <w:rPr>
                <w:rFonts w:cs="Arial"/>
                <w:sz w:val="18"/>
                <w:szCs w:val="20"/>
                <w:lang w:eastAsia="es-CO"/>
              </w:rPr>
              <w:t>$ 9.344</w:t>
            </w:r>
          </w:p>
        </w:tc>
      </w:tr>
    </w:tbl>
    <w:p w:rsidR="00FB2352" w:rsidRDefault="00FB2352" w:rsidP="00FB2352">
      <w:pPr>
        <w:pStyle w:val="Sinespaciado"/>
        <w:jc w:val="both"/>
        <w:rPr>
          <w:rFonts w:cs="Arial"/>
          <w:sz w:val="16"/>
        </w:rPr>
      </w:pPr>
      <w:r w:rsidRPr="008B5E2B">
        <w:rPr>
          <w:rFonts w:cs="Arial"/>
          <w:b/>
          <w:sz w:val="16"/>
        </w:rPr>
        <w:t>Fuente:</w:t>
      </w:r>
      <w:r w:rsidRPr="003D6F87">
        <w:rPr>
          <w:rFonts w:cs="Arial"/>
          <w:sz w:val="16"/>
        </w:rPr>
        <w:t xml:space="preserve"> SIIF Nación a 31 de Diciembre de 2016/ Ejecución MSYF a 31 de Diciembre de 2016- Dirección de Planeación. Cifras en millones de pesos.</w:t>
      </w:r>
    </w:p>
    <w:p w:rsidR="00EE3C3F" w:rsidRPr="00D21160" w:rsidRDefault="00EE3C3F" w:rsidP="00EE3C3F">
      <w:pPr>
        <w:rPr>
          <w:rFonts w:ascii="Calibri" w:hAnsi="Calibri"/>
          <w:i/>
          <w:iCs/>
          <w:sz w:val="16"/>
          <w:lang w:val="es-CO"/>
        </w:rPr>
      </w:pPr>
      <w:r w:rsidRPr="00D21160">
        <w:rPr>
          <w:i/>
          <w:iCs/>
          <w:sz w:val="16"/>
        </w:rPr>
        <w:t>Nota: Información preliminar, sujeta a actualización del cierre oficial de metas sociales y financieras.</w:t>
      </w:r>
    </w:p>
    <w:p w:rsidR="005F336B" w:rsidRDefault="005F336B" w:rsidP="0038309F">
      <w:pPr>
        <w:ind w:left="708" w:firstLine="708"/>
        <w:rPr>
          <w:b/>
          <w:bCs/>
          <w:lang w:val="es-ES_tradnl"/>
        </w:rPr>
      </w:pPr>
    </w:p>
    <w:p w:rsidR="00FB2352" w:rsidRPr="00992589" w:rsidRDefault="00EE3C3F" w:rsidP="0038309F">
      <w:pPr>
        <w:ind w:left="708" w:firstLine="708"/>
        <w:rPr>
          <w:b/>
          <w:bCs/>
          <w:lang w:val="es-ES_tradnl"/>
        </w:rPr>
      </w:pPr>
      <w:r>
        <w:rPr>
          <w:b/>
          <w:bCs/>
          <w:lang w:val="es-ES_tradnl"/>
        </w:rPr>
        <w:t>A</w:t>
      </w:r>
      <w:r w:rsidR="00FB2352" w:rsidRPr="00992589">
        <w:rPr>
          <w:b/>
          <w:bCs/>
          <w:lang w:val="es-ES_tradnl"/>
        </w:rPr>
        <w:t>cciones desarrolladas en el marco de la Estrategia</w:t>
      </w:r>
    </w:p>
    <w:p w:rsidR="00FB2352" w:rsidRPr="00992589" w:rsidRDefault="00FB2352" w:rsidP="00FB2352">
      <w:pPr>
        <w:pStyle w:val="Sinespaciado"/>
        <w:jc w:val="both"/>
        <w:rPr>
          <w:rFonts w:cs="Arial"/>
        </w:rPr>
      </w:pPr>
      <w:r w:rsidRPr="00992589">
        <w:rPr>
          <w:rFonts w:cs="Arial"/>
        </w:rPr>
        <w:t>A continuación se enuncian las principales acciones desarrolladas  para la prevención del embarazo en la adolescencia, enunciando las metodologías empleadas, los territorios  en los que se desarrollaron acciones y la inversión realizada:</w:t>
      </w:r>
    </w:p>
    <w:p w:rsidR="00FB2352" w:rsidRPr="00992589" w:rsidRDefault="00FB2352" w:rsidP="00FB2352">
      <w:pPr>
        <w:pStyle w:val="Sinespaciado"/>
        <w:jc w:val="both"/>
        <w:rPr>
          <w:rFonts w:cs="Arial"/>
        </w:rPr>
      </w:pPr>
    </w:p>
    <w:tbl>
      <w:tblPr>
        <w:tblStyle w:val="Tablaconcuadrcula1"/>
        <w:tblW w:w="907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4111"/>
        <w:gridCol w:w="3119"/>
        <w:gridCol w:w="1842"/>
      </w:tblGrid>
      <w:tr w:rsidR="00FB2352" w:rsidRPr="001C43B4" w:rsidTr="001C43B4">
        <w:trPr>
          <w:trHeight w:val="377"/>
          <w:tblHeader/>
          <w:jc w:val="center"/>
        </w:trPr>
        <w:tc>
          <w:tcPr>
            <w:tcW w:w="4111" w:type="dxa"/>
            <w:shd w:val="clear" w:color="auto" w:fill="76923C" w:themeFill="accent3" w:themeFillShade="BF"/>
            <w:vAlign w:val="center"/>
          </w:tcPr>
          <w:p w:rsidR="00FB2352" w:rsidRPr="001C43B4" w:rsidRDefault="008B5E2B" w:rsidP="00FB2352">
            <w:pPr>
              <w:tabs>
                <w:tab w:val="left" w:pos="426"/>
              </w:tabs>
              <w:spacing w:after="0" w:line="240" w:lineRule="auto"/>
              <w:jc w:val="center"/>
              <w:rPr>
                <w:rFonts w:cs="Arial"/>
                <w:b/>
                <w:color w:val="FFFFFF" w:themeColor="background1"/>
                <w:sz w:val="16"/>
                <w:szCs w:val="16"/>
              </w:rPr>
            </w:pPr>
            <w:r w:rsidRPr="001C43B4">
              <w:rPr>
                <w:rFonts w:cs="Arial"/>
                <w:b/>
                <w:color w:val="FFFFFF" w:themeColor="background1"/>
                <w:sz w:val="16"/>
                <w:szCs w:val="16"/>
              </w:rPr>
              <w:t>Descripción Y Metodologías</w:t>
            </w:r>
          </w:p>
        </w:tc>
        <w:tc>
          <w:tcPr>
            <w:tcW w:w="3119" w:type="dxa"/>
            <w:shd w:val="clear" w:color="auto" w:fill="76923C" w:themeFill="accent3" w:themeFillShade="BF"/>
            <w:vAlign w:val="center"/>
          </w:tcPr>
          <w:p w:rsidR="00FB2352" w:rsidRPr="001C43B4" w:rsidRDefault="008B5E2B" w:rsidP="00FB2352">
            <w:pPr>
              <w:tabs>
                <w:tab w:val="left" w:pos="426"/>
              </w:tabs>
              <w:spacing w:after="0" w:line="240" w:lineRule="auto"/>
              <w:jc w:val="center"/>
              <w:rPr>
                <w:rFonts w:cs="Arial"/>
                <w:b/>
                <w:color w:val="FFFFFF" w:themeColor="background1"/>
                <w:sz w:val="16"/>
                <w:szCs w:val="16"/>
              </w:rPr>
            </w:pPr>
            <w:r w:rsidRPr="001C43B4">
              <w:rPr>
                <w:rFonts w:cs="Arial"/>
                <w:b/>
                <w:color w:val="FFFFFF" w:themeColor="background1"/>
                <w:sz w:val="16"/>
                <w:szCs w:val="16"/>
              </w:rPr>
              <w:t>Territorios Focalizados</w:t>
            </w:r>
          </w:p>
        </w:tc>
        <w:tc>
          <w:tcPr>
            <w:tcW w:w="1842" w:type="dxa"/>
            <w:shd w:val="clear" w:color="auto" w:fill="76923C" w:themeFill="accent3" w:themeFillShade="BF"/>
            <w:vAlign w:val="center"/>
          </w:tcPr>
          <w:p w:rsidR="00FB2352" w:rsidRPr="001C43B4" w:rsidRDefault="008B5E2B" w:rsidP="00FB2352">
            <w:pPr>
              <w:tabs>
                <w:tab w:val="left" w:pos="426"/>
              </w:tabs>
              <w:spacing w:after="0" w:line="240" w:lineRule="auto"/>
              <w:jc w:val="center"/>
              <w:rPr>
                <w:rFonts w:cs="Arial"/>
                <w:b/>
                <w:color w:val="FFFFFF" w:themeColor="background1"/>
                <w:sz w:val="16"/>
                <w:szCs w:val="16"/>
              </w:rPr>
            </w:pPr>
            <w:r w:rsidRPr="001C43B4">
              <w:rPr>
                <w:rFonts w:cs="Arial"/>
                <w:b/>
                <w:color w:val="FFFFFF" w:themeColor="background1"/>
                <w:sz w:val="16"/>
                <w:szCs w:val="16"/>
              </w:rPr>
              <w:t>Inversión ICBF</w:t>
            </w:r>
          </w:p>
        </w:tc>
      </w:tr>
      <w:tr w:rsidR="00FB2352" w:rsidRPr="001C43B4" w:rsidTr="001C43B4">
        <w:trPr>
          <w:jc w:val="center"/>
        </w:trPr>
        <w:tc>
          <w:tcPr>
            <w:tcW w:w="4111"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 xml:space="preserve">En alianza con la Organización Juntos Construyendo Futuro y previa concertación con autoridades indígenas y líderes comunitarios, se implementaron procesos de cualificación y fortalecimiento de las capacidades para la garantía y protección de los derechos sexuales y reproductivos de los niños y las niñas con enfoque diferencial étnico; brindando pautas para la prevención del maltrato, el abuso sexual y el embarazo en la adolescencia por medio de talleres con niños, niñas y adolescentes en habilidades para la vida, participación significativa y protagónica en los espacios de toma de decisión, habilidades comunicativas y la promoción de los derechos sexuales con intervenciones teatrales, vivenciales, lúdicos y reflexivos. Así mismo generando diálogos comunitarios e intercambios de saberes alrededor del cuerpo y la sexualidad y con actividades de movilización social y  concientización colectiva sobre el embarazo a temprana edad. </w:t>
            </w:r>
          </w:p>
        </w:tc>
        <w:tc>
          <w:tcPr>
            <w:tcW w:w="3119" w:type="dxa"/>
            <w:vAlign w:val="center"/>
          </w:tcPr>
          <w:p w:rsidR="00FB2352" w:rsidRPr="001C43B4" w:rsidRDefault="00FB2352" w:rsidP="00FB2352">
            <w:pPr>
              <w:tabs>
                <w:tab w:val="left" w:pos="426"/>
              </w:tabs>
              <w:spacing w:after="0" w:line="240" w:lineRule="auto"/>
              <w:jc w:val="both"/>
              <w:rPr>
                <w:rFonts w:cs="Arial"/>
                <w:bCs/>
                <w:sz w:val="16"/>
                <w:szCs w:val="16"/>
              </w:rPr>
            </w:pPr>
            <w:r w:rsidRPr="001C43B4">
              <w:rPr>
                <w:rFonts w:cs="Arial"/>
                <w:bCs/>
                <w:sz w:val="16"/>
                <w:szCs w:val="16"/>
              </w:rPr>
              <w:t xml:space="preserve">5 departamentos, 39 municipios: </w:t>
            </w:r>
          </w:p>
          <w:p w:rsidR="00FB2352" w:rsidRPr="001C43B4" w:rsidRDefault="00FB2352" w:rsidP="00FB2352">
            <w:pPr>
              <w:tabs>
                <w:tab w:val="left" w:pos="426"/>
              </w:tabs>
              <w:spacing w:after="0" w:line="240" w:lineRule="auto"/>
              <w:jc w:val="both"/>
              <w:rPr>
                <w:rFonts w:cs="Arial"/>
                <w:bCs/>
                <w:sz w:val="16"/>
                <w:szCs w:val="16"/>
              </w:rPr>
            </w:pPr>
          </w:p>
          <w:p w:rsidR="00FB2352" w:rsidRPr="001C43B4" w:rsidRDefault="00FB2352" w:rsidP="00FB2352">
            <w:pPr>
              <w:tabs>
                <w:tab w:val="left" w:pos="426"/>
              </w:tabs>
              <w:spacing w:after="0" w:line="240" w:lineRule="auto"/>
              <w:rPr>
                <w:rFonts w:cs="Arial"/>
                <w:sz w:val="16"/>
                <w:szCs w:val="16"/>
              </w:rPr>
            </w:pPr>
            <w:r w:rsidRPr="001C43B4">
              <w:rPr>
                <w:rFonts w:cs="Arial"/>
                <w:b/>
                <w:bCs/>
                <w:sz w:val="16"/>
                <w:szCs w:val="16"/>
                <w:u w:val="single"/>
              </w:rPr>
              <w:t>La Guajira</w:t>
            </w:r>
            <w:r w:rsidRPr="001C43B4">
              <w:rPr>
                <w:rFonts w:cs="Arial"/>
                <w:b/>
                <w:sz w:val="16"/>
                <w:szCs w:val="16"/>
              </w:rPr>
              <w:t>:</w:t>
            </w:r>
            <w:r w:rsidRPr="001C43B4">
              <w:rPr>
                <w:rFonts w:cs="Arial"/>
                <w:sz w:val="16"/>
                <w:szCs w:val="16"/>
              </w:rPr>
              <w:t xml:space="preserve"> Riohacha, Dibulla, Manaure, Uribía.</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b/>
                <w:bCs/>
                <w:sz w:val="16"/>
                <w:szCs w:val="16"/>
                <w:u w:val="single"/>
              </w:rPr>
              <w:t>Magdalena</w:t>
            </w:r>
            <w:r w:rsidRPr="001C43B4">
              <w:rPr>
                <w:rFonts w:cs="Arial"/>
                <w:bCs/>
                <w:sz w:val="16"/>
                <w:szCs w:val="16"/>
              </w:rPr>
              <w:t>:</w:t>
            </w:r>
            <w:r w:rsidRPr="001C43B4">
              <w:rPr>
                <w:rFonts w:cs="Arial"/>
                <w:sz w:val="16"/>
                <w:szCs w:val="16"/>
              </w:rPr>
              <w:t xml:space="preserve"> Santa Marta, Algarrobo, Aracataca, Ariguaní, Chibolo, Ciénaga, El Banco, El Retén, Fundación, Pedraza, Pivijay, Plato, </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D712DC">
            <w:pPr>
              <w:pStyle w:val="Prrafodelista"/>
              <w:numPr>
                <w:ilvl w:val="0"/>
                <w:numId w:val="144"/>
              </w:numPr>
              <w:tabs>
                <w:tab w:val="left" w:pos="426"/>
              </w:tabs>
              <w:spacing w:after="0" w:line="240" w:lineRule="auto"/>
              <w:ind w:left="360"/>
              <w:contextualSpacing/>
              <w:jc w:val="both"/>
              <w:rPr>
                <w:rFonts w:cs="Arial"/>
                <w:sz w:val="16"/>
                <w:szCs w:val="16"/>
              </w:rPr>
            </w:pPr>
            <w:r w:rsidRPr="001C43B4">
              <w:rPr>
                <w:rFonts w:cs="Arial"/>
                <w:b/>
                <w:bCs/>
                <w:sz w:val="16"/>
                <w:szCs w:val="16"/>
                <w:u w:val="single"/>
              </w:rPr>
              <w:t>Bolívar:</w:t>
            </w:r>
            <w:r w:rsidRPr="001C43B4">
              <w:rPr>
                <w:rFonts w:cs="Arial"/>
                <w:sz w:val="16"/>
                <w:szCs w:val="16"/>
              </w:rPr>
              <w:t xml:space="preserve"> Cartagena, Cantagallo, Montecristo, Morales, San Jacinto, San Pablo, Santa Rosa Del Sur y Simití.</w:t>
            </w:r>
          </w:p>
          <w:p w:rsidR="00FB2352" w:rsidRPr="001C43B4" w:rsidRDefault="00FB2352" w:rsidP="00D712DC">
            <w:pPr>
              <w:pStyle w:val="Prrafodelista"/>
              <w:numPr>
                <w:ilvl w:val="0"/>
                <w:numId w:val="144"/>
              </w:numPr>
              <w:tabs>
                <w:tab w:val="left" w:pos="426"/>
              </w:tabs>
              <w:spacing w:after="0" w:line="240" w:lineRule="auto"/>
              <w:ind w:left="360"/>
              <w:contextualSpacing/>
              <w:jc w:val="both"/>
              <w:rPr>
                <w:rFonts w:cs="Arial"/>
                <w:sz w:val="16"/>
                <w:szCs w:val="16"/>
              </w:rPr>
            </w:pPr>
            <w:r w:rsidRPr="001C43B4">
              <w:rPr>
                <w:rFonts w:cs="Arial"/>
                <w:b/>
                <w:bCs/>
                <w:sz w:val="16"/>
                <w:szCs w:val="16"/>
                <w:u w:val="single"/>
              </w:rPr>
              <w:t>Córdoba</w:t>
            </w:r>
            <w:r w:rsidRPr="001C43B4">
              <w:rPr>
                <w:rFonts w:cs="Arial"/>
                <w:b/>
                <w:sz w:val="16"/>
                <w:szCs w:val="16"/>
              </w:rPr>
              <w:t>:</w:t>
            </w:r>
            <w:r w:rsidRPr="001C43B4">
              <w:rPr>
                <w:rFonts w:cs="Arial"/>
                <w:sz w:val="16"/>
                <w:szCs w:val="16"/>
              </w:rPr>
              <w:t xml:space="preserve"> Montería, Ayapel, Buenavista, Canalete, La Apartada, Montelíbano, Planeta Rica, Puerto Libertador, San Andrés de Sotavento, Tierralta, Valencia y Chinú.</w:t>
            </w:r>
          </w:p>
          <w:p w:rsidR="00FB2352" w:rsidRPr="001C43B4" w:rsidRDefault="00FB2352" w:rsidP="00D712DC">
            <w:pPr>
              <w:pStyle w:val="Prrafodelista"/>
              <w:numPr>
                <w:ilvl w:val="0"/>
                <w:numId w:val="144"/>
              </w:numPr>
              <w:tabs>
                <w:tab w:val="left" w:pos="426"/>
              </w:tabs>
              <w:spacing w:after="0" w:line="240" w:lineRule="auto"/>
              <w:ind w:left="360"/>
              <w:contextualSpacing/>
              <w:jc w:val="both"/>
              <w:rPr>
                <w:rFonts w:cs="Arial"/>
                <w:sz w:val="16"/>
                <w:szCs w:val="16"/>
              </w:rPr>
            </w:pPr>
            <w:r w:rsidRPr="001C43B4">
              <w:rPr>
                <w:rFonts w:cs="Arial"/>
                <w:b/>
                <w:bCs/>
                <w:sz w:val="16"/>
                <w:szCs w:val="16"/>
                <w:u w:val="single"/>
              </w:rPr>
              <w:t>San Andrés</w:t>
            </w:r>
            <w:r w:rsidRPr="001C43B4">
              <w:rPr>
                <w:rFonts w:cs="Arial"/>
                <w:b/>
                <w:sz w:val="16"/>
                <w:szCs w:val="16"/>
              </w:rPr>
              <w:t>:</w:t>
            </w:r>
            <w:r w:rsidRPr="001C43B4">
              <w:rPr>
                <w:rFonts w:cs="Arial"/>
                <w:sz w:val="16"/>
                <w:szCs w:val="16"/>
              </w:rPr>
              <w:t xml:space="preserve"> San Andrés</w:t>
            </w:r>
          </w:p>
        </w:tc>
        <w:tc>
          <w:tcPr>
            <w:tcW w:w="1842" w:type="dxa"/>
            <w:vAlign w:val="center"/>
          </w:tcPr>
          <w:p w:rsidR="00FB2352" w:rsidRPr="001C43B4" w:rsidRDefault="00FB2352" w:rsidP="00FB2352">
            <w:pPr>
              <w:tabs>
                <w:tab w:val="left" w:pos="426"/>
              </w:tabs>
              <w:spacing w:after="0" w:line="240" w:lineRule="auto"/>
              <w:jc w:val="center"/>
              <w:rPr>
                <w:rFonts w:cs="Arial"/>
                <w:b/>
                <w:bCs/>
                <w:sz w:val="16"/>
                <w:szCs w:val="16"/>
              </w:rPr>
            </w:pPr>
            <w:r w:rsidRPr="001C43B4">
              <w:rPr>
                <w:rFonts w:cs="Arial"/>
                <w:b/>
                <w:bCs/>
                <w:sz w:val="16"/>
                <w:szCs w:val="16"/>
              </w:rPr>
              <w:t>$ 1.904.052.500</w:t>
            </w:r>
          </w:p>
        </w:tc>
      </w:tr>
      <w:tr w:rsidR="00FB2352" w:rsidRPr="001C43B4" w:rsidTr="001C43B4">
        <w:trPr>
          <w:jc w:val="center"/>
        </w:trPr>
        <w:tc>
          <w:tcPr>
            <w:tcW w:w="4111"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En convenio con Profamilia se desarrollaron acciones integrales en la promoción de derechos sexuales y derechos reproductivos con niños, niñas y adolescentes buscando mitigar los altos índices de embarazo a temprana edad en el centro del País y que se referencias en la columna del frente. Dentro de las metodologías implementadas se destacan: talleres lúdicos para adolescentes y jóvenes haciendo uso del arte, la música, la pintura, actividades que permiten la conceptualización y la construcción de conocimiento sobre sexualidad que contribuya a la toma de decisiones frente a su ejercicio.</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lastRenderedPageBreak/>
              <w:t xml:space="preserve">De otro lado, se desarrollaron acciones de </w:t>
            </w: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coordinación y formación interinstitucional e intersectorial, para los agentes educativos, cuidadores y funcionarios líderes de los procesos, en salud sexual y reproductiva, en los municipios en los que se implementó el proceso, a través de metodologías vivenciales, reflexivas y diálogo de saberes alrededor de la sexualidad y los derechos</w:t>
            </w:r>
            <w:r w:rsidRPr="001C43B4">
              <w:rPr>
                <w:rFonts w:cs="Arial"/>
                <w:b/>
                <w:sz w:val="16"/>
                <w:szCs w:val="16"/>
              </w:rPr>
              <w:t>.</w:t>
            </w:r>
          </w:p>
        </w:tc>
        <w:tc>
          <w:tcPr>
            <w:tcW w:w="3119" w:type="dxa"/>
            <w:vAlign w:val="center"/>
          </w:tcPr>
          <w:p w:rsidR="00FB2352" w:rsidRPr="001C43B4" w:rsidRDefault="00FB2352" w:rsidP="00FB2352">
            <w:pPr>
              <w:tabs>
                <w:tab w:val="left" w:pos="426"/>
              </w:tabs>
              <w:spacing w:after="0" w:line="240" w:lineRule="auto"/>
              <w:jc w:val="both"/>
              <w:rPr>
                <w:rFonts w:cs="Arial"/>
                <w:bCs/>
                <w:sz w:val="16"/>
                <w:szCs w:val="16"/>
              </w:rPr>
            </w:pPr>
            <w:r w:rsidRPr="001C43B4">
              <w:rPr>
                <w:rFonts w:cs="Arial"/>
                <w:bCs/>
                <w:sz w:val="16"/>
                <w:szCs w:val="16"/>
              </w:rPr>
              <w:lastRenderedPageBreak/>
              <w:t xml:space="preserve">5 departamentos, 48 municipios: </w:t>
            </w:r>
          </w:p>
          <w:p w:rsidR="00FB2352" w:rsidRPr="001C43B4" w:rsidRDefault="00FB2352" w:rsidP="00FB2352">
            <w:pPr>
              <w:tabs>
                <w:tab w:val="left" w:pos="175"/>
              </w:tabs>
              <w:spacing w:after="0" w:line="240" w:lineRule="auto"/>
              <w:jc w:val="both"/>
              <w:rPr>
                <w:rFonts w:cs="Arial"/>
                <w:b/>
                <w:bCs/>
                <w:sz w:val="16"/>
                <w:szCs w:val="16"/>
                <w:u w:val="single"/>
              </w:rPr>
            </w:pPr>
          </w:p>
          <w:p w:rsidR="00FB2352" w:rsidRPr="001C43B4" w:rsidRDefault="00FB2352" w:rsidP="00D712DC">
            <w:pPr>
              <w:pStyle w:val="Prrafodelista"/>
              <w:numPr>
                <w:ilvl w:val="0"/>
                <w:numId w:val="145"/>
              </w:numPr>
              <w:tabs>
                <w:tab w:val="left" w:pos="322"/>
              </w:tabs>
              <w:spacing w:after="0" w:line="240" w:lineRule="auto"/>
              <w:ind w:left="360"/>
              <w:contextualSpacing/>
              <w:jc w:val="both"/>
              <w:rPr>
                <w:rFonts w:cs="Arial"/>
                <w:sz w:val="16"/>
                <w:szCs w:val="16"/>
              </w:rPr>
            </w:pPr>
            <w:r w:rsidRPr="001C43B4">
              <w:rPr>
                <w:rFonts w:cs="Arial"/>
                <w:b/>
                <w:bCs/>
                <w:sz w:val="16"/>
                <w:szCs w:val="16"/>
                <w:u w:val="single"/>
              </w:rPr>
              <w:t xml:space="preserve">Antioquía: </w:t>
            </w:r>
            <w:r w:rsidRPr="001C43B4">
              <w:rPr>
                <w:rFonts w:cs="Arial"/>
                <w:sz w:val="16"/>
                <w:szCs w:val="16"/>
              </w:rPr>
              <w:t>Caracolí, Dabeiba, Yalí, Mutatá, Puerto Nare, Puerto Berrio, Apartado, Puerto Triunfo, Carepa, Turbo, Chigorodó, Yondó, Maceo</w:t>
            </w:r>
          </w:p>
          <w:p w:rsidR="00FB2352" w:rsidRPr="001C43B4" w:rsidRDefault="00FB2352" w:rsidP="00D712DC">
            <w:pPr>
              <w:pStyle w:val="Prrafodelista"/>
              <w:numPr>
                <w:ilvl w:val="0"/>
                <w:numId w:val="145"/>
              </w:numPr>
              <w:tabs>
                <w:tab w:val="left" w:pos="322"/>
              </w:tabs>
              <w:spacing w:after="0" w:line="240" w:lineRule="auto"/>
              <w:ind w:left="360"/>
              <w:contextualSpacing/>
              <w:jc w:val="both"/>
              <w:rPr>
                <w:rFonts w:cs="Arial"/>
                <w:sz w:val="16"/>
                <w:szCs w:val="16"/>
              </w:rPr>
            </w:pPr>
            <w:r w:rsidRPr="001C43B4">
              <w:rPr>
                <w:rFonts w:cs="Arial"/>
                <w:b/>
                <w:bCs/>
                <w:sz w:val="16"/>
                <w:szCs w:val="16"/>
                <w:u w:val="single"/>
              </w:rPr>
              <w:t>Quindío:</w:t>
            </w:r>
            <w:r w:rsidRPr="001C43B4">
              <w:rPr>
                <w:rFonts w:cs="Arial"/>
                <w:bCs/>
                <w:sz w:val="16"/>
                <w:szCs w:val="16"/>
              </w:rPr>
              <w:t xml:space="preserve"> </w:t>
            </w:r>
            <w:r w:rsidRPr="001C43B4">
              <w:rPr>
                <w:rFonts w:cs="Arial"/>
                <w:sz w:val="16"/>
                <w:szCs w:val="16"/>
              </w:rPr>
              <w:t>Calarcá, Circasia, La Tebaida.</w:t>
            </w:r>
          </w:p>
          <w:p w:rsidR="00FB2352" w:rsidRPr="001C43B4" w:rsidRDefault="00FB2352" w:rsidP="00D712DC">
            <w:pPr>
              <w:pStyle w:val="Prrafodelista"/>
              <w:numPr>
                <w:ilvl w:val="0"/>
                <w:numId w:val="145"/>
              </w:numPr>
              <w:tabs>
                <w:tab w:val="left" w:pos="322"/>
              </w:tabs>
              <w:spacing w:after="0" w:line="240" w:lineRule="auto"/>
              <w:ind w:left="360"/>
              <w:contextualSpacing/>
              <w:jc w:val="both"/>
              <w:rPr>
                <w:rFonts w:cs="Arial"/>
                <w:sz w:val="16"/>
                <w:szCs w:val="16"/>
              </w:rPr>
            </w:pPr>
            <w:r w:rsidRPr="001C43B4">
              <w:rPr>
                <w:rFonts w:cs="Arial"/>
                <w:b/>
                <w:sz w:val="16"/>
                <w:szCs w:val="16"/>
                <w:u w:val="single"/>
              </w:rPr>
              <w:t>Risaralda:</w:t>
            </w:r>
            <w:r w:rsidRPr="001C43B4">
              <w:rPr>
                <w:rFonts w:cs="Arial"/>
                <w:sz w:val="16"/>
                <w:szCs w:val="16"/>
              </w:rPr>
              <w:t xml:space="preserve"> Dos Quebradas, La Virginia, Santa Rosa de Cabal.</w:t>
            </w:r>
          </w:p>
          <w:p w:rsidR="00FB2352" w:rsidRPr="001C43B4" w:rsidRDefault="00FB2352" w:rsidP="00D712DC">
            <w:pPr>
              <w:pStyle w:val="Prrafodelista"/>
              <w:numPr>
                <w:ilvl w:val="0"/>
                <w:numId w:val="145"/>
              </w:numPr>
              <w:tabs>
                <w:tab w:val="left" w:pos="322"/>
              </w:tabs>
              <w:spacing w:after="0" w:line="240" w:lineRule="auto"/>
              <w:ind w:left="360"/>
              <w:contextualSpacing/>
              <w:jc w:val="both"/>
              <w:rPr>
                <w:rFonts w:cs="Arial"/>
                <w:sz w:val="16"/>
                <w:szCs w:val="16"/>
              </w:rPr>
            </w:pPr>
            <w:r w:rsidRPr="001C43B4">
              <w:rPr>
                <w:rFonts w:cs="Arial"/>
                <w:b/>
                <w:sz w:val="16"/>
                <w:szCs w:val="16"/>
                <w:u w:val="single"/>
              </w:rPr>
              <w:t>Caldas:</w:t>
            </w:r>
            <w:r w:rsidRPr="001C43B4">
              <w:rPr>
                <w:rFonts w:cs="Arial"/>
                <w:sz w:val="16"/>
                <w:szCs w:val="16"/>
              </w:rPr>
              <w:t xml:space="preserve"> Chinchina, Anserma, La Dorada, San José, Manizales, </w:t>
            </w:r>
            <w:r w:rsidRPr="001C43B4">
              <w:rPr>
                <w:rFonts w:cs="Arial"/>
                <w:sz w:val="16"/>
                <w:szCs w:val="16"/>
              </w:rPr>
              <w:lastRenderedPageBreak/>
              <w:t>Neira, Norcasia, Viterbo, Palestina, Villa María, Rio Sucio.</w:t>
            </w:r>
          </w:p>
          <w:p w:rsidR="00FB2352" w:rsidRPr="001C43B4" w:rsidRDefault="00FB2352" w:rsidP="00D712DC">
            <w:pPr>
              <w:pStyle w:val="Prrafodelista"/>
              <w:numPr>
                <w:ilvl w:val="0"/>
                <w:numId w:val="145"/>
              </w:numPr>
              <w:tabs>
                <w:tab w:val="left" w:pos="322"/>
              </w:tabs>
              <w:spacing w:after="0" w:line="240" w:lineRule="auto"/>
              <w:ind w:left="360"/>
              <w:contextualSpacing/>
              <w:jc w:val="both"/>
              <w:rPr>
                <w:rFonts w:cs="Arial"/>
                <w:sz w:val="16"/>
                <w:szCs w:val="16"/>
              </w:rPr>
            </w:pPr>
            <w:r w:rsidRPr="001C43B4">
              <w:rPr>
                <w:rFonts w:cs="Arial"/>
                <w:b/>
                <w:sz w:val="16"/>
                <w:szCs w:val="16"/>
                <w:u w:val="single"/>
              </w:rPr>
              <w:t>Cundinamarca:</w:t>
            </w:r>
            <w:r w:rsidRPr="001C43B4">
              <w:rPr>
                <w:rFonts w:cs="Arial"/>
                <w:sz w:val="16"/>
                <w:szCs w:val="16"/>
              </w:rPr>
              <w:t xml:space="preserve"> Bojacá, Sopó, Chocontá, Suesca, Cogua, Susa, El Rosal, Tena, Gachancipa, Ubaté, Guachetá, Girardot, La Mesa, Guaduas, Lenguazaque, Puerto Salgar, Sesquilé, Tabio, Simijaca y Tocancipá</w:t>
            </w:r>
          </w:p>
        </w:tc>
        <w:tc>
          <w:tcPr>
            <w:tcW w:w="1842" w:type="dxa"/>
            <w:vAlign w:val="center"/>
          </w:tcPr>
          <w:p w:rsidR="00FB2352" w:rsidRPr="001C43B4" w:rsidRDefault="00FB2352" w:rsidP="00FB2352">
            <w:pPr>
              <w:tabs>
                <w:tab w:val="left" w:pos="175"/>
              </w:tabs>
              <w:spacing w:after="0" w:line="240" w:lineRule="auto"/>
              <w:jc w:val="center"/>
              <w:rPr>
                <w:rFonts w:cs="Arial"/>
                <w:b/>
                <w:bCs/>
                <w:sz w:val="16"/>
                <w:szCs w:val="16"/>
              </w:rPr>
            </w:pPr>
            <w:r w:rsidRPr="001C43B4">
              <w:rPr>
                <w:rFonts w:cs="Arial"/>
                <w:b/>
                <w:bCs/>
                <w:sz w:val="16"/>
                <w:szCs w:val="16"/>
              </w:rPr>
              <w:lastRenderedPageBreak/>
              <w:t>$ 1.200.000.000</w:t>
            </w:r>
          </w:p>
        </w:tc>
      </w:tr>
      <w:tr w:rsidR="00FB2352" w:rsidRPr="001C43B4" w:rsidTr="001C43B4">
        <w:trPr>
          <w:jc w:val="center"/>
        </w:trPr>
        <w:tc>
          <w:tcPr>
            <w:tcW w:w="4111"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lastRenderedPageBreak/>
              <w:t xml:space="preserve">En conjunto con el Instituto Proinapsa de la Universidad Industrial de Santander este proyecto tuvo como propósito la formación integral para el desarrollo de capacidades en adolescentes de 15 a 19 años, para la promoción de los derechos sexuales y reproductivos, las habilidades psicosociales para la vida y la equidad de género, mediante la creación de colectivos de comunicación. Es decir a través de comunicación y los modos de comunicarse de los adolescentes, se desarrollan procesos formativos que despiertan el interés de los participantes, el conocimiento en derechos y sexualidad y el fortalecimiento de sus proyectos de vida. </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 xml:space="preserve">Así mismo, se desarrolla un proceso de capacitación a familias, enfocado en herramientas y habilidades para que padres, madres y cuidadores logren conversar de sexualidad y derechos sexuales y reproductivos con sus hijas e hijos y así prevenir los embarazos a temprana edad y otro tipo de vulneraciones. </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 xml:space="preserve">Finalmente, a través de la capacitación de agentes y el fortalecimiento de las mesas intersectoriales de los municipios intervenidos, se desarrollan capacidades en estos agentes para contribuir a la garantía de los derechos sexuales y reproductivos de niñas, niños y adolescentes. </w:t>
            </w:r>
          </w:p>
        </w:tc>
        <w:tc>
          <w:tcPr>
            <w:tcW w:w="3119"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5 departamentos 53 municipios:</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D712DC">
            <w:pPr>
              <w:pStyle w:val="Prrafodelista"/>
              <w:numPr>
                <w:ilvl w:val="0"/>
                <w:numId w:val="146"/>
              </w:numPr>
              <w:spacing w:after="0" w:line="240" w:lineRule="auto"/>
              <w:contextualSpacing/>
              <w:rPr>
                <w:rFonts w:cs="Arial"/>
                <w:sz w:val="16"/>
                <w:szCs w:val="16"/>
              </w:rPr>
            </w:pPr>
            <w:r w:rsidRPr="001C43B4">
              <w:rPr>
                <w:rFonts w:cs="Arial"/>
                <w:b/>
                <w:sz w:val="16"/>
                <w:szCs w:val="16"/>
                <w:u w:val="single"/>
              </w:rPr>
              <w:t>Arauca</w:t>
            </w:r>
            <w:r w:rsidRPr="001C43B4">
              <w:rPr>
                <w:rFonts w:cs="Arial"/>
                <w:b/>
                <w:sz w:val="16"/>
                <w:szCs w:val="16"/>
              </w:rPr>
              <w:t>:</w:t>
            </w:r>
            <w:r w:rsidRPr="001C43B4">
              <w:rPr>
                <w:rFonts w:cs="Arial"/>
                <w:sz w:val="16"/>
                <w:szCs w:val="16"/>
              </w:rPr>
              <w:t xml:space="preserve"> Arauca, Tame, Saravena y Arauquita</w:t>
            </w:r>
          </w:p>
          <w:p w:rsidR="00FB2352" w:rsidRPr="001C43B4" w:rsidRDefault="00FB2352" w:rsidP="00D712DC">
            <w:pPr>
              <w:pStyle w:val="Prrafodelista"/>
              <w:numPr>
                <w:ilvl w:val="0"/>
                <w:numId w:val="146"/>
              </w:numPr>
              <w:spacing w:after="0" w:line="240" w:lineRule="auto"/>
              <w:contextualSpacing/>
              <w:rPr>
                <w:rFonts w:cs="Arial"/>
                <w:sz w:val="16"/>
                <w:szCs w:val="16"/>
              </w:rPr>
            </w:pPr>
            <w:r w:rsidRPr="001C43B4">
              <w:rPr>
                <w:rFonts w:cs="Arial"/>
                <w:b/>
                <w:sz w:val="16"/>
                <w:szCs w:val="16"/>
                <w:u w:val="single"/>
              </w:rPr>
              <w:t>Boyacá</w:t>
            </w:r>
            <w:r w:rsidRPr="001C43B4">
              <w:rPr>
                <w:rFonts w:cs="Arial"/>
                <w:b/>
                <w:sz w:val="16"/>
                <w:szCs w:val="16"/>
              </w:rPr>
              <w:t>:</w:t>
            </w:r>
            <w:r w:rsidRPr="001C43B4">
              <w:rPr>
                <w:rFonts w:cs="Arial"/>
                <w:sz w:val="16"/>
                <w:szCs w:val="16"/>
              </w:rPr>
              <w:t xml:space="preserve"> Tunja, Chiataraque, Santana, Togüí, Puerto Boyacá, Moniquirá, Chiquiza, Muzo, Tota, Arcabuco, Soracá, Cucaita, Ventaquemada, Sáchica, Samacá, Toca, Viracachá, Rondón, Otanche, Oicata, Siachoque, Chiquinquirá, Villa de Leyva, Saboyá y Tunungúa </w:t>
            </w:r>
          </w:p>
          <w:p w:rsidR="00FB2352" w:rsidRPr="001C43B4" w:rsidRDefault="00FB2352" w:rsidP="00D712DC">
            <w:pPr>
              <w:pStyle w:val="Prrafodelista"/>
              <w:numPr>
                <w:ilvl w:val="0"/>
                <w:numId w:val="146"/>
              </w:numPr>
              <w:spacing w:after="0" w:line="240" w:lineRule="auto"/>
              <w:contextualSpacing/>
              <w:rPr>
                <w:rFonts w:cs="Arial"/>
                <w:sz w:val="16"/>
                <w:szCs w:val="16"/>
              </w:rPr>
            </w:pPr>
            <w:r w:rsidRPr="001C43B4">
              <w:rPr>
                <w:rFonts w:cs="Arial"/>
                <w:b/>
                <w:sz w:val="16"/>
                <w:szCs w:val="16"/>
                <w:u w:val="single"/>
              </w:rPr>
              <w:t>Casanare</w:t>
            </w:r>
            <w:r w:rsidRPr="001C43B4">
              <w:rPr>
                <w:rFonts w:cs="Arial"/>
                <w:sz w:val="16"/>
                <w:szCs w:val="16"/>
              </w:rPr>
              <w:t xml:space="preserve">: Paz de Ariporo, Yopal, Tauramena, Villanueva, Monterrey, Aguazul y Sabanalarga </w:t>
            </w:r>
          </w:p>
          <w:p w:rsidR="00FB2352" w:rsidRPr="001C43B4" w:rsidRDefault="00FB2352" w:rsidP="00D712DC">
            <w:pPr>
              <w:pStyle w:val="Prrafodelista"/>
              <w:numPr>
                <w:ilvl w:val="0"/>
                <w:numId w:val="146"/>
              </w:numPr>
              <w:spacing w:after="0" w:line="240" w:lineRule="auto"/>
              <w:contextualSpacing/>
              <w:rPr>
                <w:rFonts w:cs="Arial"/>
                <w:sz w:val="16"/>
                <w:szCs w:val="16"/>
              </w:rPr>
            </w:pPr>
            <w:r w:rsidRPr="001C43B4">
              <w:rPr>
                <w:rFonts w:cs="Arial"/>
                <w:b/>
                <w:sz w:val="16"/>
                <w:szCs w:val="16"/>
                <w:u w:val="single"/>
              </w:rPr>
              <w:t>Norte de Santander:</w:t>
            </w:r>
            <w:r w:rsidRPr="001C43B4">
              <w:rPr>
                <w:rFonts w:cs="Arial"/>
                <w:sz w:val="16"/>
                <w:szCs w:val="16"/>
              </w:rPr>
              <w:t xml:space="preserve"> Convención, El Zulia, Los Patios, Puerto Santander, Sardinata, Teorama, El Tarra, Cúcuta, La Esperanza, Hacari, Ocaña, Tibú, El Carmen y La Playa </w:t>
            </w:r>
          </w:p>
          <w:p w:rsidR="00FB2352" w:rsidRPr="001C43B4" w:rsidRDefault="00FB2352" w:rsidP="00D712DC">
            <w:pPr>
              <w:pStyle w:val="Prrafodelista"/>
              <w:numPr>
                <w:ilvl w:val="0"/>
                <w:numId w:val="146"/>
              </w:numPr>
              <w:spacing w:after="0" w:line="240" w:lineRule="auto"/>
              <w:contextualSpacing/>
              <w:rPr>
                <w:rFonts w:cs="Arial"/>
                <w:sz w:val="16"/>
                <w:szCs w:val="16"/>
              </w:rPr>
            </w:pPr>
            <w:r w:rsidRPr="001C43B4">
              <w:rPr>
                <w:rFonts w:cs="Arial"/>
                <w:b/>
                <w:sz w:val="16"/>
                <w:szCs w:val="16"/>
                <w:u w:val="single"/>
              </w:rPr>
              <w:t>Vichada:</w:t>
            </w:r>
            <w:r w:rsidRPr="001C43B4">
              <w:rPr>
                <w:rFonts w:cs="Arial"/>
                <w:sz w:val="16"/>
                <w:szCs w:val="16"/>
              </w:rPr>
              <w:t xml:space="preserve"> Puerto Carreño, Cumaribo y Santa Rosalía</w:t>
            </w:r>
          </w:p>
        </w:tc>
        <w:tc>
          <w:tcPr>
            <w:tcW w:w="1842" w:type="dxa"/>
            <w:vAlign w:val="center"/>
          </w:tcPr>
          <w:p w:rsidR="00FB2352" w:rsidRPr="001C43B4" w:rsidRDefault="00FB2352" w:rsidP="00FB2352">
            <w:pPr>
              <w:tabs>
                <w:tab w:val="left" w:pos="426"/>
              </w:tabs>
              <w:spacing w:after="0" w:line="240" w:lineRule="auto"/>
              <w:jc w:val="center"/>
              <w:rPr>
                <w:rFonts w:cs="Arial"/>
                <w:b/>
                <w:sz w:val="16"/>
                <w:szCs w:val="16"/>
              </w:rPr>
            </w:pPr>
            <w:r w:rsidRPr="001C43B4">
              <w:rPr>
                <w:rFonts w:cs="Arial"/>
                <w:b/>
                <w:sz w:val="16"/>
                <w:szCs w:val="16"/>
              </w:rPr>
              <w:t>$1.739.699.000</w:t>
            </w:r>
          </w:p>
        </w:tc>
      </w:tr>
      <w:tr w:rsidR="00FB2352" w:rsidRPr="001C43B4" w:rsidTr="001C43B4">
        <w:trPr>
          <w:jc w:val="center"/>
        </w:trPr>
        <w:tc>
          <w:tcPr>
            <w:tcW w:w="4111" w:type="dxa"/>
            <w:vAlign w:val="center"/>
          </w:tcPr>
          <w:p w:rsidR="00FB2352" w:rsidRPr="001C43B4" w:rsidRDefault="00FB2352" w:rsidP="00FB2352">
            <w:pPr>
              <w:spacing w:after="0" w:line="240" w:lineRule="auto"/>
              <w:jc w:val="both"/>
              <w:rPr>
                <w:rFonts w:cs="Arial"/>
                <w:sz w:val="16"/>
                <w:szCs w:val="16"/>
              </w:rPr>
            </w:pPr>
            <w:r w:rsidRPr="001C43B4">
              <w:rPr>
                <w:rFonts w:cs="Arial"/>
                <w:sz w:val="16"/>
                <w:szCs w:val="16"/>
              </w:rPr>
              <w:t xml:space="preserve">En el Pacífico colombiano, de la mano con la ONG La Red, a través de metodologías lúdicas, vivenciales y reflexiones de casos, se desarrolló la formación a niños, niñas y adolescentes en  habilidades para participar significativamente en los espacios de toma de decisiones y con ello agenciar sus derechos sexuales y reproductivos; se realizó  capacitación a Agentes Educativos (madres y padres, líderes juveniles, docentes, personal de salud, madres FAMI, etc.), permitiéndoles desarrollar conocimientos y capacidades para ser garantes de Derechos Sexuales y Reproductivos y prevenir su vulneración; se realizó asistencia técnica a las instancias de articulación intersectorial (departamental y municipal) para identificar el estado de la problemática en relación con embarazos en adolescentes no planeados y  sus contextos de vulneración y luego el desarrollo de una oferta programática institucional pertinente para la garantía y pleno goce de los derechos sexuales y reproductivos en los Niños , niñas y adolescentes. </w:t>
            </w:r>
          </w:p>
        </w:tc>
        <w:tc>
          <w:tcPr>
            <w:tcW w:w="3119"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3 departamentos 36 municipios:</w:t>
            </w:r>
          </w:p>
          <w:p w:rsidR="00FB2352" w:rsidRPr="001C43B4" w:rsidRDefault="00FB2352" w:rsidP="00FB2352">
            <w:pPr>
              <w:tabs>
                <w:tab w:val="left" w:pos="175"/>
              </w:tabs>
              <w:spacing w:after="0" w:line="240" w:lineRule="auto"/>
              <w:jc w:val="both"/>
              <w:rPr>
                <w:rFonts w:cs="Arial"/>
                <w:b/>
                <w:sz w:val="16"/>
                <w:szCs w:val="16"/>
                <w:u w:val="single"/>
              </w:rPr>
            </w:pPr>
          </w:p>
          <w:p w:rsidR="00FB2352" w:rsidRPr="001C43B4" w:rsidRDefault="00FB2352" w:rsidP="00D712DC">
            <w:pPr>
              <w:pStyle w:val="Prrafodelista"/>
              <w:numPr>
                <w:ilvl w:val="0"/>
                <w:numId w:val="147"/>
              </w:numPr>
              <w:tabs>
                <w:tab w:val="left" w:pos="322"/>
              </w:tabs>
              <w:spacing w:after="0" w:line="240" w:lineRule="auto"/>
              <w:ind w:left="360"/>
              <w:contextualSpacing/>
              <w:jc w:val="both"/>
              <w:rPr>
                <w:rFonts w:cs="Arial"/>
                <w:sz w:val="16"/>
                <w:szCs w:val="16"/>
              </w:rPr>
            </w:pPr>
            <w:r w:rsidRPr="001C43B4">
              <w:rPr>
                <w:rFonts w:cs="Arial"/>
                <w:b/>
                <w:sz w:val="16"/>
                <w:szCs w:val="16"/>
                <w:u w:val="single"/>
              </w:rPr>
              <w:t>Valle del Cauca</w:t>
            </w:r>
            <w:r w:rsidRPr="001C43B4">
              <w:rPr>
                <w:rFonts w:cs="Arial"/>
                <w:b/>
                <w:i/>
                <w:sz w:val="16"/>
                <w:szCs w:val="16"/>
              </w:rPr>
              <w:t>:</w:t>
            </w:r>
            <w:r w:rsidRPr="001C43B4">
              <w:rPr>
                <w:rFonts w:cs="Arial"/>
                <w:sz w:val="16"/>
                <w:szCs w:val="16"/>
              </w:rPr>
              <w:t xml:space="preserve"> El Aguila, Ansermanuevo, Bolívar, Cartago, La Unión, Roldanillo, Toro, Versalles, Zarzal, Buenaventura, Cali y La Cumbre. </w:t>
            </w:r>
          </w:p>
          <w:p w:rsidR="00FB2352" w:rsidRPr="001C43B4" w:rsidRDefault="00FB2352" w:rsidP="00D712DC">
            <w:pPr>
              <w:pStyle w:val="Prrafodelista"/>
              <w:numPr>
                <w:ilvl w:val="0"/>
                <w:numId w:val="147"/>
              </w:numPr>
              <w:tabs>
                <w:tab w:val="left" w:pos="322"/>
              </w:tabs>
              <w:spacing w:after="0" w:line="240" w:lineRule="auto"/>
              <w:ind w:left="360"/>
              <w:contextualSpacing/>
              <w:jc w:val="both"/>
              <w:rPr>
                <w:rFonts w:cs="Arial"/>
                <w:sz w:val="16"/>
                <w:szCs w:val="16"/>
              </w:rPr>
            </w:pPr>
            <w:r w:rsidRPr="001C43B4">
              <w:rPr>
                <w:rFonts w:cs="Arial"/>
                <w:b/>
                <w:sz w:val="16"/>
                <w:szCs w:val="16"/>
                <w:u w:val="single"/>
              </w:rPr>
              <w:t>Chocó</w:t>
            </w:r>
            <w:r w:rsidRPr="001C43B4">
              <w:rPr>
                <w:rFonts w:cs="Arial"/>
                <w:b/>
                <w:sz w:val="16"/>
                <w:szCs w:val="16"/>
              </w:rPr>
              <w:t>:</w:t>
            </w:r>
            <w:r w:rsidRPr="001C43B4">
              <w:rPr>
                <w:rFonts w:cs="Arial"/>
                <w:sz w:val="16"/>
                <w:szCs w:val="16"/>
              </w:rPr>
              <w:t xml:space="preserve"> Istmina, Quibdó, Tadó, Acandí, Unguía, Rio sucio, Bojayá y Bahía Solano. </w:t>
            </w:r>
          </w:p>
          <w:p w:rsidR="00FB2352" w:rsidRPr="001C43B4" w:rsidRDefault="00FB2352" w:rsidP="00D712DC">
            <w:pPr>
              <w:pStyle w:val="Prrafodelista"/>
              <w:numPr>
                <w:ilvl w:val="0"/>
                <w:numId w:val="147"/>
              </w:numPr>
              <w:tabs>
                <w:tab w:val="left" w:pos="322"/>
              </w:tabs>
              <w:spacing w:after="0" w:line="240" w:lineRule="auto"/>
              <w:ind w:left="360"/>
              <w:contextualSpacing/>
              <w:rPr>
                <w:rFonts w:cs="Arial"/>
                <w:sz w:val="16"/>
                <w:szCs w:val="16"/>
              </w:rPr>
            </w:pPr>
            <w:r w:rsidRPr="001C43B4">
              <w:rPr>
                <w:rFonts w:cs="Arial"/>
                <w:b/>
                <w:sz w:val="16"/>
                <w:szCs w:val="16"/>
                <w:u w:val="single"/>
              </w:rPr>
              <w:t>Nariño</w:t>
            </w:r>
            <w:r w:rsidRPr="001C43B4">
              <w:rPr>
                <w:rFonts w:cs="Arial"/>
                <w:sz w:val="16"/>
                <w:szCs w:val="16"/>
              </w:rPr>
              <w:t>: Barbacoas, Olaya Herrera, San Andres de Tumaco, Tuquerres, Pasto, La Unión, Yacuanquer, El Tambo, Buesaco, Policarpa, El Tablón de Gomez, Nariño, Tangua, San Pedro de Cartago, La Florida y La Cruz.</w:t>
            </w:r>
          </w:p>
        </w:tc>
        <w:tc>
          <w:tcPr>
            <w:tcW w:w="1842" w:type="dxa"/>
            <w:vAlign w:val="center"/>
          </w:tcPr>
          <w:p w:rsidR="00FB2352" w:rsidRPr="001C43B4" w:rsidRDefault="00FB2352" w:rsidP="00FB2352">
            <w:pPr>
              <w:tabs>
                <w:tab w:val="left" w:pos="175"/>
              </w:tabs>
              <w:spacing w:after="0" w:line="240" w:lineRule="auto"/>
              <w:jc w:val="both"/>
              <w:rPr>
                <w:rFonts w:cs="Arial"/>
                <w:b/>
                <w:sz w:val="16"/>
                <w:szCs w:val="16"/>
                <w:u w:val="single"/>
              </w:rPr>
            </w:pPr>
            <w:r w:rsidRPr="001C43B4">
              <w:rPr>
                <w:rFonts w:cs="Arial"/>
                <w:b/>
                <w:sz w:val="16"/>
                <w:szCs w:val="16"/>
              </w:rPr>
              <w:t>$1.403.202.000</w:t>
            </w:r>
          </w:p>
        </w:tc>
      </w:tr>
      <w:tr w:rsidR="00FB2352" w:rsidRPr="001C43B4" w:rsidTr="001C43B4">
        <w:trPr>
          <w:jc w:val="center"/>
        </w:trPr>
        <w:tc>
          <w:tcPr>
            <w:tcW w:w="4111" w:type="dxa"/>
            <w:vAlign w:val="center"/>
          </w:tcPr>
          <w:p w:rsidR="00FB2352" w:rsidRPr="001C43B4" w:rsidRDefault="00FB2352" w:rsidP="00FB2352">
            <w:pPr>
              <w:spacing w:after="0" w:line="240" w:lineRule="auto"/>
              <w:ind w:right="113"/>
              <w:jc w:val="both"/>
              <w:rPr>
                <w:rFonts w:cs="Arial"/>
                <w:sz w:val="16"/>
                <w:szCs w:val="16"/>
              </w:rPr>
            </w:pPr>
            <w:r w:rsidRPr="001C43B4">
              <w:rPr>
                <w:rFonts w:cs="Arial"/>
                <w:sz w:val="16"/>
                <w:szCs w:val="16"/>
              </w:rPr>
              <w:t xml:space="preserve">Con la Fundación Juan Felipe Gomez Escobar se realizó una atención integral en de madres adolescentes con el fin de prevenir un segundo embarazo. Esta atención se basó en metodologías vivenciales, historias de vida y fortalecimiento de los </w:t>
            </w:r>
            <w:r w:rsidRPr="001C43B4">
              <w:rPr>
                <w:rFonts w:cs="Arial"/>
                <w:sz w:val="16"/>
                <w:szCs w:val="16"/>
              </w:rPr>
              <w:lastRenderedPageBreak/>
              <w:t>proyectos de vida haciendo énfasis en la reactivación de proyectos aplazados.</w:t>
            </w:r>
          </w:p>
          <w:p w:rsidR="00FB2352" w:rsidRPr="001C43B4" w:rsidRDefault="00FB2352" w:rsidP="00FB2352">
            <w:pPr>
              <w:spacing w:after="0" w:line="240" w:lineRule="auto"/>
              <w:ind w:right="113"/>
              <w:jc w:val="both"/>
              <w:rPr>
                <w:rFonts w:cs="Arial"/>
                <w:sz w:val="16"/>
                <w:szCs w:val="16"/>
              </w:rPr>
            </w:pPr>
          </w:p>
          <w:p w:rsidR="00FB2352" w:rsidRPr="001C43B4" w:rsidRDefault="00FB2352" w:rsidP="00FB2352">
            <w:pPr>
              <w:spacing w:after="0" w:line="240" w:lineRule="auto"/>
              <w:ind w:right="113"/>
              <w:jc w:val="both"/>
              <w:rPr>
                <w:rFonts w:cs="Arial"/>
                <w:sz w:val="16"/>
                <w:szCs w:val="16"/>
              </w:rPr>
            </w:pPr>
            <w:r w:rsidRPr="001C43B4">
              <w:rPr>
                <w:rFonts w:cs="Arial"/>
                <w:sz w:val="16"/>
                <w:szCs w:val="16"/>
              </w:rPr>
              <w:t>Este proceso incluyó un componente familiar y comunitario a fin de fortalecer los entornos próximos a los niños, niñas y adolescentes, y con ello mitigar la vulneración de sus derechos y también el embarazo en la adolescencia. Se fortalecieron los procesos de desarrollo de madres adolescentes a través de un componente psicosocial y uno educativo para robustecer sus conocimientos, fortalecer la toma de decisiones, y la construcción de proyectos de vida sólidos, previniendo así el embarazo subsiguiente.</w:t>
            </w:r>
          </w:p>
        </w:tc>
        <w:tc>
          <w:tcPr>
            <w:tcW w:w="3119"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lastRenderedPageBreak/>
              <w:t>2 departamentos 2 municipios:</w:t>
            </w:r>
          </w:p>
          <w:p w:rsidR="00FB2352" w:rsidRPr="001C43B4" w:rsidRDefault="00FB2352" w:rsidP="00FB2352">
            <w:pPr>
              <w:tabs>
                <w:tab w:val="left" w:pos="175"/>
              </w:tabs>
              <w:spacing w:after="0" w:line="240" w:lineRule="auto"/>
              <w:jc w:val="both"/>
              <w:rPr>
                <w:rFonts w:cs="Arial"/>
                <w:sz w:val="16"/>
                <w:szCs w:val="16"/>
              </w:rPr>
            </w:pPr>
          </w:p>
          <w:p w:rsidR="00FB2352" w:rsidRPr="001C43B4" w:rsidRDefault="00FB2352" w:rsidP="00D712DC">
            <w:pPr>
              <w:pStyle w:val="Prrafodelista"/>
              <w:numPr>
                <w:ilvl w:val="0"/>
                <w:numId w:val="148"/>
              </w:numPr>
              <w:tabs>
                <w:tab w:val="left" w:pos="175"/>
              </w:tabs>
              <w:spacing w:after="0" w:line="240" w:lineRule="auto"/>
              <w:ind w:left="360"/>
              <w:contextualSpacing/>
              <w:jc w:val="both"/>
              <w:rPr>
                <w:rFonts w:cs="Arial"/>
                <w:sz w:val="16"/>
                <w:szCs w:val="16"/>
              </w:rPr>
            </w:pPr>
            <w:r w:rsidRPr="001C43B4">
              <w:rPr>
                <w:rFonts w:cs="Arial"/>
                <w:b/>
                <w:sz w:val="16"/>
                <w:szCs w:val="16"/>
                <w:u w:val="single"/>
              </w:rPr>
              <w:t>Bolívar</w:t>
            </w:r>
            <w:r w:rsidRPr="001C43B4">
              <w:rPr>
                <w:rFonts w:cs="Arial"/>
                <w:b/>
                <w:sz w:val="16"/>
                <w:szCs w:val="16"/>
              </w:rPr>
              <w:t>:</w:t>
            </w:r>
            <w:r w:rsidRPr="001C43B4">
              <w:rPr>
                <w:rFonts w:cs="Arial"/>
                <w:sz w:val="16"/>
                <w:szCs w:val="16"/>
              </w:rPr>
              <w:t xml:space="preserve"> Cartagena (barrios Pozón, Olaya Herrera, Nelson Mandela y Colombiatón) y San Jacinto</w:t>
            </w:r>
          </w:p>
          <w:p w:rsidR="00FB2352" w:rsidRPr="001C43B4" w:rsidRDefault="00FB2352" w:rsidP="00FB2352">
            <w:pPr>
              <w:tabs>
                <w:tab w:val="left" w:pos="175"/>
              </w:tabs>
              <w:spacing w:after="0" w:line="240" w:lineRule="auto"/>
              <w:jc w:val="both"/>
              <w:rPr>
                <w:rFonts w:cs="Arial"/>
                <w:sz w:val="16"/>
                <w:szCs w:val="16"/>
              </w:rPr>
            </w:pPr>
          </w:p>
          <w:p w:rsidR="00FB2352" w:rsidRPr="001C43B4" w:rsidRDefault="00FB2352" w:rsidP="00D712DC">
            <w:pPr>
              <w:pStyle w:val="Prrafodelista"/>
              <w:numPr>
                <w:ilvl w:val="0"/>
                <w:numId w:val="148"/>
              </w:numPr>
              <w:spacing w:after="0" w:line="240" w:lineRule="auto"/>
              <w:ind w:left="360"/>
              <w:contextualSpacing/>
              <w:rPr>
                <w:rFonts w:cs="Arial"/>
                <w:sz w:val="16"/>
                <w:szCs w:val="16"/>
              </w:rPr>
            </w:pPr>
            <w:r w:rsidRPr="001C43B4">
              <w:rPr>
                <w:rFonts w:cs="Arial"/>
                <w:b/>
                <w:sz w:val="16"/>
                <w:szCs w:val="16"/>
                <w:u w:val="single"/>
              </w:rPr>
              <w:lastRenderedPageBreak/>
              <w:t>Córdoba</w:t>
            </w:r>
            <w:r w:rsidRPr="001C43B4">
              <w:rPr>
                <w:rFonts w:cs="Arial"/>
                <w:sz w:val="16"/>
                <w:szCs w:val="16"/>
              </w:rPr>
              <w:t>: Montelíbano</w:t>
            </w:r>
          </w:p>
        </w:tc>
        <w:tc>
          <w:tcPr>
            <w:tcW w:w="1842" w:type="dxa"/>
            <w:vAlign w:val="center"/>
          </w:tcPr>
          <w:p w:rsidR="00FB2352" w:rsidRPr="001C43B4" w:rsidRDefault="00FB2352" w:rsidP="00FB2352">
            <w:pPr>
              <w:tabs>
                <w:tab w:val="left" w:pos="175"/>
              </w:tabs>
              <w:spacing w:after="0" w:line="240" w:lineRule="auto"/>
              <w:jc w:val="center"/>
              <w:rPr>
                <w:rFonts w:cs="Arial"/>
                <w:b/>
                <w:sz w:val="16"/>
                <w:szCs w:val="16"/>
              </w:rPr>
            </w:pPr>
            <w:r w:rsidRPr="001C43B4">
              <w:rPr>
                <w:rFonts w:cs="Arial"/>
                <w:b/>
                <w:sz w:val="16"/>
                <w:szCs w:val="16"/>
              </w:rPr>
              <w:lastRenderedPageBreak/>
              <w:t>$ 240.840.000</w:t>
            </w:r>
          </w:p>
        </w:tc>
      </w:tr>
      <w:tr w:rsidR="00FB2352" w:rsidRPr="001C43B4" w:rsidTr="001C43B4">
        <w:trPr>
          <w:jc w:val="center"/>
        </w:trPr>
        <w:tc>
          <w:tcPr>
            <w:tcW w:w="4111"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lastRenderedPageBreak/>
              <w:t xml:space="preserve">Para la implementación del componente “Participación y Ciudadanía” de la </w:t>
            </w:r>
            <w:r w:rsidRPr="001C43B4">
              <w:rPr>
                <w:rFonts w:cs="Arial"/>
                <w:i/>
                <w:sz w:val="16"/>
                <w:szCs w:val="16"/>
              </w:rPr>
              <w:t>Estrategia de atención integral para niños, niñas y adolescentes, con Énfasis en la prevención del embarazo,</w:t>
            </w:r>
            <w:r w:rsidRPr="001C43B4">
              <w:rPr>
                <w:rFonts w:cs="Arial"/>
                <w:sz w:val="16"/>
                <w:szCs w:val="16"/>
              </w:rPr>
              <w:t xml:space="preserve"> se realizó fortalecimiento y cualificación de niños y niñas integrantes de las mesas de participación municipal (decreto XXX) y de niños y niñas líderes de procesos en derechos sexuales y derechos reproductivos en los municipios de focalizados, promoviendo así  la garantía del derecho a la participación en diferentes edades y contextos.</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En este proceso de formación se abordaron temáticas diferenciadas por grupos de edad : con los niñas y niños de 6 a 9 años se hizo especial hincapié en Cultura de Paz y Resiliencia; con las niñas y niños de 10 a 14 años, se presentó un mayor énfasis en la prevención de la explotación sexual comercial; y a los y las adolescentes de 15 a 19 años se buscó el fortalecimiento de sus proyectos de vida</w:t>
            </w:r>
          </w:p>
        </w:tc>
        <w:tc>
          <w:tcPr>
            <w:tcW w:w="3119" w:type="dxa"/>
            <w:vAlign w:val="center"/>
          </w:tcPr>
          <w:p w:rsidR="00FB2352" w:rsidRPr="001C43B4" w:rsidRDefault="00FB2352" w:rsidP="00FB2352">
            <w:pPr>
              <w:spacing w:after="0" w:line="240" w:lineRule="auto"/>
              <w:rPr>
                <w:rFonts w:cs="Arial"/>
                <w:sz w:val="16"/>
                <w:szCs w:val="16"/>
              </w:rPr>
            </w:pPr>
            <w:r w:rsidRPr="001C43B4">
              <w:rPr>
                <w:rFonts w:cs="Arial"/>
                <w:sz w:val="16"/>
                <w:szCs w:val="16"/>
              </w:rPr>
              <w:t>11 Departamentos 17 municipios:</w:t>
            </w:r>
          </w:p>
          <w:p w:rsidR="00FB2352" w:rsidRPr="001C43B4" w:rsidRDefault="00FB2352" w:rsidP="00FB2352">
            <w:pPr>
              <w:spacing w:after="0" w:line="240" w:lineRule="auto"/>
              <w:rPr>
                <w:rFonts w:cs="Arial"/>
                <w:sz w:val="16"/>
                <w:szCs w:val="16"/>
              </w:rPr>
            </w:pP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Caquetá:</w:t>
            </w:r>
            <w:r w:rsidRPr="001C43B4">
              <w:rPr>
                <w:rFonts w:cs="Arial"/>
                <w:sz w:val="16"/>
                <w:szCs w:val="16"/>
              </w:rPr>
              <w:t xml:space="preserve"> El Doncello y Cartagena del Chairá.</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Caldas:</w:t>
            </w:r>
            <w:r w:rsidRPr="001C43B4">
              <w:rPr>
                <w:rFonts w:cs="Arial"/>
                <w:sz w:val="16"/>
                <w:szCs w:val="16"/>
              </w:rPr>
              <w:t xml:space="preserve"> Villamaría y Neira</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La Guajira</w:t>
            </w:r>
            <w:r w:rsidRPr="001C43B4">
              <w:rPr>
                <w:rFonts w:cs="Arial"/>
                <w:b/>
                <w:sz w:val="16"/>
                <w:szCs w:val="16"/>
              </w:rPr>
              <w:t>:</w:t>
            </w:r>
            <w:r w:rsidRPr="001C43B4">
              <w:rPr>
                <w:rFonts w:cs="Arial"/>
                <w:sz w:val="16"/>
                <w:szCs w:val="16"/>
              </w:rPr>
              <w:t xml:space="preserve"> Riohacha, Manaure y Uribía </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Cesar</w:t>
            </w:r>
            <w:r w:rsidRPr="001C43B4">
              <w:rPr>
                <w:rFonts w:cs="Arial"/>
                <w:b/>
                <w:sz w:val="16"/>
                <w:szCs w:val="16"/>
              </w:rPr>
              <w:t>:</w:t>
            </w:r>
            <w:r w:rsidRPr="001C43B4">
              <w:rPr>
                <w:rFonts w:cs="Arial"/>
                <w:sz w:val="16"/>
                <w:szCs w:val="16"/>
              </w:rPr>
              <w:t xml:space="preserve"> Valledupar y El Copey.</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Nariño:</w:t>
            </w:r>
            <w:r w:rsidRPr="001C43B4">
              <w:rPr>
                <w:rFonts w:cs="Arial"/>
                <w:sz w:val="16"/>
                <w:szCs w:val="16"/>
              </w:rPr>
              <w:t xml:space="preserve"> Tumaco </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Tolima:</w:t>
            </w:r>
            <w:r w:rsidRPr="001C43B4">
              <w:rPr>
                <w:rFonts w:cs="Arial"/>
                <w:sz w:val="16"/>
                <w:szCs w:val="16"/>
              </w:rPr>
              <w:t xml:space="preserve"> Chaparral </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Santander</w:t>
            </w:r>
            <w:r w:rsidRPr="001C43B4">
              <w:rPr>
                <w:rFonts w:cs="Arial"/>
                <w:sz w:val="16"/>
                <w:szCs w:val="16"/>
              </w:rPr>
              <w:t>: Barrancabermeja</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Cauca:</w:t>
            </w:r>
            <w:r w:rsidRPr="001C43B4">
              <w:rPr>
                <w:rFonts w:cs="Arial"/>
                <w:sz w:val="16"/>
                <w:szCs w:val="16"/>
              </w:rPr>
              <w:t xml:space="preserve"> Popayán</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Boyacá:</w:t>
            </w:r>
            <w:r w:rsidRPr="001C43B4">
              <w:rPr>
                <w:rFonts w:cs="Arial"/>
                <w:sz w:val="16"/>
                <w:szCs w:val="16"/>
              </w:rPr>
              <w:t xml:space="preserve"> Tunja </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Valle del Cauca</w:t>
            </w:r>
            <w:r w:rsidRPr="001C43B4">
              <w:rPr>
                <w:rFonts w:cs="Arial"/>
                <w:sz w:val="16"/>
                <w:szCs w:val="16"/>
              </w:rPr>
              <w:t xml:space="preserve">: Cali </w:t>
            </w:r>
          </w:p>
          <w:p w:rsidR="00FB2352" w:rsidRPr="001C43B4" w:rsidRDefault="00FB2352" w:rsidP="00D712DC">
            <w:pPr>
              <w:pStyle w:val="Prrafodelista"/>
              <w:numPr>
                <w:ilvl w:val="0"/>
                <w:numId w:val="149"/>
              </w:numPr>
              <w:spacing w:after="0" w:line="240" w:lineRule="auto"/>
              <w:contextualSpacing/>
              <w:rPr>
                <w:rFonts w:cs="Arial"/>
                <w:sz w:val="16"/>
                <w:szCs w:val="16"/>
              </w:rPr>
            </w:pPr>
            <w:r w:rsidRPr="001C43B4">
              <w:rPr>
                <w:rFonts w:cs="Arial"/>
                <w:b/>
                <w:sz w:val="16"/>
                <w:szCs w:val="16"/>
                <w:u w:val="single"/>
              </w:rPr>
              <w:t>Vaupés:</w:t>
            </w:r>
            <w:r w:rsidRPr="001C43B4">
              <w:rPr>
                <w:rFonts w:cs="Arial"/>
                <w:sz w:val="16"/>
                <w:szCs w:val="16"/>
              </w:rPr>
              <w:t xml:space="preserve"> Mitú </w:t>
            </w:r>
          </w:p>
          <w:p w:rsidR="00FB2352" w:rsidRPr="001C43B4" w:rsidRDefault="00FB2352" w:rsidP="00D712DC">
            <w:pPr>
              <w:pStyle w:val="Prrafodelista"/>
              <w:numPr>
                <w:ilvl w:val="0"/>
                <w:numId w:val="149"/>
              </w:numPr>
              <w:spacing w:after="0" w:line="240" w:lineRule="auto"/>
              <w:contextualSpacing/>
              <w:rPr>
                <w:rFonts w:cs="Arial"/>
                <w:b/>
                <w:sz w:val="16"/>
                <w:szCs w:val="16"/>
                <w:u w:val="single"/>
              </w:rPr>
            </w:pPr>
            <w:r w:rsidRPr="001C43B4">
              <w:rPr>
                <w:rFonts w:cs="Arial"/>
                <w:sz w:val="16"/>
                <w:szCs w:val="16"/>
              </w:rPr>
              <w:t xml:space="preserve">Bogotá </w:t>
            </w:r>
          </w:p>
        </w:tc>
        <w:tc>
          <w:tcPr>
            <w:tcW w:w="1842" w:type="dxa"/>
            <w:vAlign w:val="center"/>
          </w:tcPr>
          <w:p w:rsidR="00FB2352" w:rsidRPr="001C43B4" w:rsidRDefault="00FB2352" w:rsidP="00FB2352">
            <w:pPr>
              <w:spacing w:after="0" w:line="240" w:lineRule="auto"/>
              <w:jc w:val="center"/>
              <w:rPr>
                <w:rFonts w:cs="Arial"/>
                <w:b/>
                <w:sz w:val="16"/>
                <w:szCs w:val="16"/>
              </w:rPr>
            </w:pPr>
            <w:r w:rsidRPr="001C43B4">
              <w:rPr>
                <w:rFonts w:cs="Arial"/>
                <w:b/>
                <w:sz w:val="16"/>
                <w:szCs w:val="16"/>
              </w:rPr>
              <w:t>$ 1.00.000.000</w:t>
            </w:r>
          </w:p>
        </w:tc>
      </w:tr>
      <w:tr w:rsidR="00FB2352" w:rsidRPr="001C43B4" w:rsidTr="001C43B4">
        <w:trPr>
          <w:jc w:val="center"/>
        </w:trPr>
        <w:tc>
          <w:tcPr>
            <w:tcW w:w="4111" w:type="dxa"/>
            <w:vAlign w:val="center"/>
          </w:tcPr>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 xml:space="preserve">A través de la alianza realizada con la Asociación Mujer y Deporte, se promovieron derechos sexuales y reproductivos de niñas y adolescentes, y se fomentó la movilización social a través de estrategias lúdico-deportivas, con enfoque diferencial de género. </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jc w:val="both"/>
              <w:rPr>
                <w:rFonts w:cs="Arial"/>
                <w:sz w:val="16"/>
                <w:szCs w:val="16"/>
              </w:rPr>
            </w:pPr>
            <w:r w:rsidRPr="001C43B4">
              <w:rPr>
                <w:rFonts w:cs="Arial"/>
                <w:sz w:val="16"/>
                <w:szCs w:val="16"/>
              </w:rPr>
              <w:t xml:space="preserve">Los entrenamientos deportivos-recreativos en futsala, karate, fútbol, softbol, ultímate y ciclismo fueron el escenario perfecto, puesto que respondía a los intereses de las niñas y las adolescentes para la promoción de derechos, conocimientos en sexualidad y el fortalecimiento de los proyectos de vida de esta población que en su mayoría era rural. </w:t>
            </w:r>
          </w:p>
          <w:p w:rsidR="00FB2352" w:rsidRPr="001C43B4" w:rsidRDefault="00FB2352" w:rsidP="00FB2352">
            <w:pPr>
              <w:tabs>
                <w:tab w:val="left" w:pos="426"/>
              </w:tabs>
              <w:spacing w:after="0" w:line="240" w:lineRule="auto"/>
              <w:jc w:val="both"/>
              <w:rPr>
                <w:rFonts w:cs="Arial"/>
                <w:sz w:val="16"/>
                <w:szCs w:val="16"/>
              </w:rPr>
            </w:pPr>
          </w:p>
          <w:p w:rsidR="00FB2352" w:rsidRPr="001C43B4" w:rsidRDefault="00FB2352" w:rsidP="00FB2352">
            <w:pPr>
              <w:tabs>
                <w:tab w:val="left" w:pos="426"/>
              </w:tabs>
              <w:spacing w:after="0" w:line="240" w:lineRule="auto"/>
              <w:contextualSpacing/>
              <w:jc w:val="both"/>
              <w:rPr>
                <w:rFonts w:cs="Arial"/>
                <w:sz w:val="16"/>
                <w:szCs w:val="16"/>
              </w:rPr>
            </w:pPr>
            <w:r w:rsidRPr="001C43B4">
              <w:rPr>
                <w:rFonts w:cs="Arial"/>
                <w:sz w:val="16"/>
                <w:szCs w:val="16"/>
              </w:rPr>
              <w:t xml:space="preserve">En el marco de este proceso también se desarrollaron reuniones con representantes de las familias de las niñas y adolescentes, en el marco de “Yo Cuido Mi Futuro”, cuyo fin es trasmitir los mensajes en torno a: (i) La responsabilidad es de dos “Juntos nos protegemos”, (ii) “Soy dueña de mi presente, mi futuro lo planifico”, (iii) El deporte me re-construye “Re-constrúyete tu”, y (iv) Yo soy protagonista, “Yo cuento mis historias”. </w:t>
            </w:r>
          </w:p>
        </w:tc>
        <w:tc>
          <w:tcPr>
            <w:tcW w:w="3119" w:type="dxa"/>
            <w:vAlign w:val="center"/>
          </w:tcPr>
          <w:p w:rsidR="00FB2352" w:rsidRPr="001C43B4" w:rsidRDefault="00FB2352" w:rsidP="00FB2352">
            <w:pPr>
              <w:spacing w:after="0" w:line="240" w:lineRule="auto"/>
              <w:rPr>
                <w:rFonts w:cs="Arial"/>
                <w:sz w:val="16"/>
                <w:szCs w:val="16"/>
              </w:rPr>
            </w:pPr>
            <w:r w:rsidRPr="001C43B4">
              <w:rPr>
                <w:rFonts w:cs="Arial"/>
                <w:sz w:val="16"/>
                <w:szCs w:val="16"/>
              </w:rPr>
              <w:t>6 departamentos, 8 municipios:</w:t>
            </w:r>
          </w:p>
          <w:p w:rsidR="00FB2352" w:rsidRPr="001C43B4" w:rsidRDefault="00FB2352" w:rsidP="00FB2352">
            <w:pPr>
              <w:spacing w:after="0" w:line="240" w:lineRule="auto"/>
              <w:rPr>
                <w:rFonts w:cs="Arial"/>
                <w:sz w:val="16"/>
                <w:szCs w:val="16"/>
              </w:rPr>
            </w:pPr>
          </w:p>
          <w:p w:rsidR="00FB2352" w:rsidRPr="003C55FC" w:rsidRDefault="00FB2352" w:rsidP="00D712DC">
            <w:pPr>
              <w:pStyle w:val="Prrafodelista"/>
              <w:numPr>
                <w:ilvl w:val="0"/>
                <w:numId w:val="150"/>
              </w:numPr>
              <w:spacing w:after="0" w:line="240" w:lineRule="auto"/>
              <w:contextualSpacing/>
              <w:rPr>
                <w:rFonts w:cs="Arial"/>
                <w:sz w:val="16"/>
                <w:szCs w:val="16"/>
              </w:rPr>
            </w:pPr>
            <w:r w:rsidRPr="003C55FC">
              <w:rPr>
                <w:rFonts w:cs="Arial"/>
                <w:b/>
                <w:sz w:val="16"/>
                <w:szCs w:val="16"/>
                <w:u w:val="single"/>
              </w:rPr>
              <w:t>Bolívar:</w:t>
            </w:r>
            <w:r w:rsidRPr="003C55FC">
              <w:rPr>
                <w:rFonts w:cs="Arial"/>
                <w:sz w:val="16"/>
                <w:szCs w:val="16"/>
              </w:rPr>
              <w:t xml:space="preserve"> Cartagena </w:t>
            </w:r>
          </w:p>
          <w:p w:rsidR="00FB2352" w:rsidRPr="003C55FC" w:rsidRDefault="00FB2352" w:rsidP="00D712DC">
            <w:pPr>
              <w:pStyle w:val="Prrafodelista"/>
              <w:numPr>
                <w:ilvl w:val="0"/>
                <w:numId w:val="150"/>
              </w:numPr>
              <w:spacing w:after="0" w:line="240" w:lineRule="auto"/>
              <w:contextualSpacing/>
              <w:rPr>
                <w:rFonts w:cs="Arial"/>
                <w:sz w:val="16"/>
                <w:szCs w:val="16"/>
              </w:rPr>
            </w:pPr>
            <w:r w:rsidRPr="003C55FC">
              <w:rPr>
                <w:rFonts w:cs="Arial"/>
                <w:b/>
                <w:sz w:val="16"/>
                <w:szCs w:val="16"/>
                <w:u w:val="single"/>
              </w:rPr>
              <w:t>Magdalena</w:t>
            </w:r>
            <w:r w:rsidRPr="003C55FC">
              <w:rPr>
                <w:rFonts w:cs="Arial"/>
                <w:sz w:val="16"/>
                <w:szCs w:val="16"/>
              </w:rPr>
              <w:t>: Santa Marta y Ciénaga.</w:t>
            </w:r>
          </w:p>
          <w:p w:rsidR="00FB2352" w:rsidRPr="001C43B4" w:rsidRDefault="00FB2352" w:rsidP="00D712DC">
            <w:pPr>
              <w:pStyle w:val="Prrafodelista"/>
              <w:numPr>
                <w:ilvl w:val="0"/>
                <w:numId w:val="150"/>
              </w:numPr>
              <w:spacing w:after="0" w:line="240" w:lineRule="auto"/>
              <w:contextualSpacing/>
              <w:rPr>
                <w:rFonts w:cs="Arial"/>
                <w:sz w:val="16"/>
                <w:szCs w:val="16"/>
              </w:rPr>
            </w:pPr>
            <w:r w:rsidRPr="003C55FC">
              <w:rPr>
                <w:rFonts w:cs="Arial"/>
                <w:b/>
                <w:sz w:val="16"/>
                <w:szCs w:val="16"/>
                <w:u w:val="single"/>
              </w:rPr>
              <w:t>La Guajira</w:t>
            </w:r>
            <w:r w:rsidRPr="00B614FD">
              <w:rPr>
                <w:rFonts w:cs="Arial"/>
                <w:b/>
                <w:color w:val="76923C" w:themeColor="accent3" w:themeShade="BF"/>
                <w:sz w:val="16"/>
                <w:szCs w:val="16"/>
                <w:u w:val="single"/>
              </w:rPr>
              <w:t>:</w:t>
            </w:r>
            <w:r w:rsidRPr="00B614FD">
              <w:rPr>
                <w:rFonts w:cs="Arial"/>
                <w:color w:val="76923C" w:themeColor="accent3" w:themeShade="BF"/>
                <w:sz w:val="16"/>
                <w:szCs w:val="16"/>
              </w:rPr>
              <w:t xml:space="preserve"> </w:t>
            </w:r>
            <w:r w:rsidRPr="001C43B4">
              <w:rPr>
                <w:rFonts w:cs="Arial"/>
                <w:sz w:val="16"/>
                <w:szCs w:val="16"/>
              </w:rPr>
              <w:t xml:space="preserve">Riohacha </w:t>
            </w:r>
          </w:p>
          <w:p w:rsidR="00FB2352" w:rsidRPr="001C43B4" w:rsidRDefault="00FB2352" w:rsidP="00D712DC">
            <w:pPr>
              <w:pStyle w:val="Prrafodelista"/>
              <w:numPr>
                <w:ilvl w:val="0"/>
                <w:numId w:val="150"/>
              </w:numPr>
              <w:spacing w:after="0" w:line="240" w:lineRule="auto"/>
              <w:contextualSpacing/>
              <w:rPr>
                <w:rFonts w:cs="Arial"/>
                <w:sz w:val="16"/>
                <w:szCs w:val="16"/>
              </w:rPr>
            </w:pPr>
            <w:r w:rsidRPr="001C43B4">
              <w:rPr>
                <w:rFonts w:cs="Arial"/>
                <w:b/>
                <w:sz w:val="16"/>
                <w:szCs w:val="16"/>
                <w:u w:val="single"/>
              </w:rPr>
              <w:t>Norte de Santander</w:t>
            </w:r>
            <w:r w:rsidRPr="001C43B4">
              <w:rPr>
                <w:rFonts w:cs="Arial"/>
                <w:sz w:val="16"/>
                <w:szCs w:val="16"/>
              </w:rPr>
              <w:t xml:space="preserve">: Cúcuta </w:t>
            </w:r>
          </w:p>
          <w:p w:rsidR="00FB2352" w:rsidRPr="001C43B4" w:rsidRDefault="00FB2352" w:rsidP="00D712DC">
            <w:pPr>
              <w:pStyle w:val="Prrafodelista"/>
              <w:numPr>
                <w:ilvl w:val="0"/>
                <w:numId w:val="150"/>
              </w:numPr>
              <w:spacing w:after="0" w:line="240" w:lineRule="auto"/>
              <w:contextualSpacing/>
              <w:rPr>
                <w:rFonts w:cs="Arial"/>
                <w:sz w:val="16"/>
                <w:szCs w:val="16"/>
              </w:rPr>
            </w:pPr>
            <w:r w:rsidRPr="001C43B4">
              <w:rPr>
                <w:rFonts w:cs="Arial"/>
                <w:b/>
                <w:sz w:val="16"/>
                <w:szCs w:val="16"/>
                <w:u w:val="single"/>
              </w:rPr>
              <w:t>Valle del Cauca</w:t>
            </w:r>
            <w:r w:rsidRPr="001C43B4">
              <w:rPr>
                <w:rFonts w:cs="Arial"/>
                <w:sz w:val="16"/>
                <w:szCs w:val="16"/>
              </w:rPr>
              <w:t xml:space="preserve">: Cali </w:t>
            </w:r>
          </w:p>
          <w:p w:rsidR="00FB2352" w:rsidRPr="001C43B4" w:rsidRDefault="00FB2352" w:rsidP="00D712DC">
            <w:pPr>
              <w:pStyle w:val="Prrafodelista"/>
              <w:numPr>
                <w:ilvl w:val="0"/>
                <w:numId w:val="150"/>
              </w:numPr>
              <w:spacing w:after="0" w:line="240" w:lineRule="auto"/>
              <w:contextualSpacing/>
              <w:rPr>
                <w:rFonts w:cs="Arial"/>
                <w:sz w:val="16"/>
                <w:szCs w:val="16"/>
              </w:rPr>
            </w:pPr>
            <w:r w:rsidRPr="001C43B4">
              <w:rPr>
                <w:rFonts w:cs="Arial"/>
                <w:b/>
                <w:sz w:val="16"/>
                <w:szCs w:val="16"/>
                <w:u w:val="single"/>
              </w:rPr>
              <w:t>Córdoba:</w:t>
            </w:r>
            <w:r w:rsidRPr="001C43B4">
              <w:rPr>
                <w:rFonts w:cs="Arial"/>
                <w:sz w:val="16"/>
                <w:szCs w:val="16"/>
              </w:rPr>
              <w:t xml:space="preserve"> Valencia y Tierralta</w:t>
            </w:r>
          </w:p>
        </w:tc>
        <w:tc>
          <w:tcPr>
            <w:tcW w:w="1842" w:type="dxa"/>
            <w:vAlign w:val="center"/>
          </w:tcPr>
          <w:p w:rsidR="00FB2352" w:rsidRPr="001C43B4" w:rsidRDefault="00FB2352" w:rsidP="00FB2352">
            <w:pPr>
              <w:spacing w:after="0" w:line="240" w:lineRule="auto"/>
              <w:jc w:val="center"/>
              <w:rPr>
                <w:rFonts w:cs="Arial"/>
                <w:b/>
                <w:sz w:val="16"/>
                <w:szCs w:val="16"/>
              </w:rPr>
            </w:pPr>
            <w:r w:rsidRPr="001C43B4">
              <w:rPr>
                <w:rFonts w:cs="Arial"/>
                <w:b/>
                <w:sz w:val="16"/>
                <w:szCs w:val="16"/>
              </w:rPr>
              <w:t>$916.815.000</w:t>
            </w:r>
          </w:p>
        </w:tc>
      </w:tr>
    </w:tbl>
    <w:p w:rsidR="00FB2352" w:rsidRPr="001C43B4" w:rsidRDefault="005044B5" w:rsidP="00FB2352">
      <w:pPr>
        <w:pStyle w:val="Sinespaciado"/>
        <w:jc w:val="both"/>
        <w:rPr>
          <w:rFonts w:cs="Arial"/>
          <w:sz w:val="16"/>
          <w:szCs w:val="16"/>
        </w:rPr>
      </w:pPr>
      <w:r>
        <w:rPr>
          <w:rFonts w:cs="Arial"/>
          <w:b/>
          <w:sz w:val="16"/>
          <w:szCs w:val="16"/>
        </w:rPr>
        <w:t xml:space="preserve">   </w:t>
      </w:r>
      <w:r w:rsidR="00FB2352" w:rsidRPr="001C43B4">
        <w:rPr>
          <w:rFonts w:cs="Arial"/>
          <w:b/>
          <w:sz w:val="16"/>
          <w:szCs w:val="16"/>
        </w:rPr>
        <w:t>Fuente:</w:t>
      </w:r>
      <w:r w:rsidR="00FB2352" w:rsidRPr="001C43B4">
        <w:rPr>
          <w:rFonts w:cs="Arial"/>
          <w:sz w:val="16"/>
          <w:szCs w:val="16"/>
        </w:rPr>
        <w:t xml:space="preserve"> Elaboración Propia DNA- Equipo PEA</w:t>
      </w:r>
    </w:p>
    <w:p w:rsidR="009C25F2" w:rsidRDefault="009C25F2" w:rsidP="0038309F">
      <w:pPr>
        <w:ind w:left="708" w:firstLine="708"/>
        <w:rPr>
          <w:b/>
          <w:bCs/>
          <w:lang w:val="es-ES_tradnl"/>
        </w:rPr>
      </w:pPr>
    </w:p>
    <w:p w:rsidR="00FB2352" w:rsidRPr="00992589" w:rsidRDefault="00FB2352" w:rsidP="0038309F">
      <w:pPr>
        <w:ind w:left="708" w:firstLine="708"/>
        <w:rPr>
          <w:b/>
          <w:bCs/>
          <w:lang w:val="es-ES_tradnl"/>
        </w:rPr>
      </w:pPr>
      <w:r w:rsidRPr="00992589">
        <w:rPr>
          <w:b/>
          <w:bCs/>
          <w:lang w:val="es-ES_tradnl"/>
        </w:rPr>
        <w:t xml:space="preserve">Indicadores </w:t>
      </w:r>
    </w:p>
    <w:p w:rsidR="00FB2352" w:rsidRPr="00992589" w:rsidRDefault="00FB2352" w:rsidP="00FB2352">
      <w:pPr>
        <w:pStyle w:val="Sinespaciado"/>
        <w:jc w:val="both"/>
        <w:rPr>
          <w:rFonts w:cs="Arial"/>
        </w:rPr>
      </w:pPr>
      <w:r w:rsidRPr="00992589">
        <w:rPr>
          <w:rFonts w:cs="Arial"/>
        </w:rPr>
        <w:lastRenderedPageBreak/>
        <w:t>El ICBF en su plan indicativo institucional encargó a la Dirección de Niñez y Adolescencia la implementación de la estrategia nacional de prevención de embarazo en la adolescencia en 33 Departamentos, 353 municipios con las más altas tasas de embarazo en la adolescencia, violencia sexual, intrafamiliar y pobreza, y cualificar a 15.000 agentes educativos, institucionales y comunitarios en Derechos sexuales y reproductivos. A continuación, se presenta el avance de los indicadores del plan de acción asociados a estos retos:</w:t>
      </w:r>
    </w:p>
    <w:p w:rsidR="00FB2352" w:rsidRPr="00992589" w:rsidRDefault="00FB2352" w:rsidP="00FB2352">
      <w:pPr>
        <w:pStyle w:val="Sinespaciado"/>
        <w:jc w:val="both"/>
        <w:rPr>
          <w:rFonts w:cs="Arial"/>
        </w:rPr>
      </w:pPr>
    </w:p>
    <w:tbl>
      <w:tblPr>
        <w:tblW w:w="906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122"/>
        <w:gridCol w:w="1417"/>
        <w:gridCol w:w="1276"/>
        <w:gridCol w:w="4253"/>
      </w:tblGrid>
      <w:tr w:rsidR="00FB2352" w:rsidRPr="00B614FD" w:rsidTr="00B614FD">
        <w:trPr>
          <w:tblHeader/>
          <w:jc w:val="center"/>
        </w:trPr>
        <w:tc>
          <w:tcPr>
            <w:tcW w:w="2122" w:type="dxa"/>
            <w:shd w:val="clear" w:color="auto" w:fill="76923C" w:themeFill="accent3" w:themeFillShade="BF"/>
            <w:vAlign w:val="center"/>
          </w:tcPr>
          <w:p w:rsidR="00FB2352" w:rsidRPr="00B614FD" w:rsidRDefault="00B614FD" w:rsidP="00FB2352">
            <w:pPr>
              <w:tabs>
                <w:tab w:val="left" w:pos="426"/>
              </w:tabs>
              <w:spacing w:after="0" w:line="240" w:lineRule="auto"/>
              <w:jc w:val="center"/>
              <w:rPr>
                <w:rFonts w:cs="Arial"/>
                <w:b/>
                <w:color w:val="FFFFFF" w:themeColor="background1"/>
                <w:sz w:val="18"/>
                <w:szCs w:val="18"/>
              </w:rPr>
            </w:pPr>
            <w:r w:rsidRPr="00B614FD">
              <w:rPr>
                <w:rFonts w:cs="Arial"/>
                <w:b/>
                <w:color w:val="FFFFFF" w:themeColor="background1"/>
                <w:sz w:val="18"/>
                <w:szCs w:val="18"/>
              </w:rPr>
              <w:t>Indicador</w:t>
            </w:r>
          </w:p>
        </w:tc>
        <w:tc>
          <w:tcPr>
            <w:tcW w:w="1417" w:type="dxa"/>
            <w:shd w:val="clear" w:color="auto" w:fill="76923C" w:themeFill="accent3" w:themeFillShade="BF"/>
            <w:vAlign w:val="center"/>
          </w:tcPr>
          <w:p w:rsidR="00FB2352" w:rsidRPr="00B614FD" w:rsidRDefault="00B614FD" w:rsidP="00FB2352">
            <w:pPr>
              <w:tabs>
                <w:tab w:val="left" w:pos="426"/>
              </w:tabs>
              <w:spacing w:after="0" w:line="240" w:lineRule="auto"/>
              <w:jc w:val="center"/>
              <w:rPr>
                <w:rFonts w:cs="Arial"/>
                <w:b/>
                <w:color w:val="FFFFFF" w:themeColor="background1"/>
                <w:sz w:val="18"/>
                <w:szCs w:val="18"/>
              </w:rPr>
            </w:pPr>
            <w:r w:rsidRPr="00B614FD">
              <w:rPr>
                <w:rFonts w:cs="Arial"/>
                <w:b/>
                <w:color w:val="FFFFFF" w:themeColor="background1"/>
                <w:sz w:val="18"/>
                <w:szCs w:val="18"/>
              </w:rPr>
              <w:t>Meta</w:t>
            </w:r>
          </w:p>
          <w:p w:rsidR="00FB2352" w:rsidRPr="00B614FD" w:rsidRDefault="00B614FD" w:rsidP="00FB2352">
            <w:pPr>
              <w:tabs>
                <w:tab w:val="left" w:pos="426"/>
              </w:tabs>
              <w:spacing w:after="0" w:line="240" w:lineRule="auto"/>
              <w:jc w:val="center"/>
              <w:rPr>
                <w:rFonts w:cs="Arial"/>
                <w:b/>
                <w:color w:val="FFFFFF" w:themeColor="background1"/>
                <w:sz w:val="18"/>
                <w:szCs w:val="18"/>
              </w:rPr>
            </w:pPr>
            <w:r w:rsidRPr="00B614FD">
              <w:rPr>
                <w:rFonts w:cs="Arial"/>
                <w:b/>
                <w:color w:val="FFFFFF" w:themeColor="background1"/>
                <w:sz w:val="18"/>
                <w:szCs w:val="18"/>
              </w:rPr>
              <w:t>2016</w:t>
            </w:r>
          </w:p>
        </w:tc>
        <w:tc>
          <w:tcPr>
            <w:tcW w:w="1276" w:type="dxa"/>
            <w:shd w:val="clear" w:color="auto" w:fill="76923C" w:themeFill="accent3" w:themeFillShade="BF"/>
            <w:vAlign w:val="center"/>
          </w:tcPr>
          <w:p w:rsidR="00FB2352" w:rsidRPr="00B614FD" w:rsidRDefault="00B614FD" w:rsidP="00FB2352">
            <w:pPr>
              <w:tabs>
                <w:tab w:val="left" w:pos="426"/>
              </w:tabs>
              <w:spacing w:after="0" w:line="240" w:lineRule="auto"/>
              <w:jc w:val="center"/>
              <w:rPr>
                <w:rFonts w:cs="Arial"/>
                <w:b/>
                <w:color w:val="FFFFFF" w:themeColor="background1"/>
                <w:sz w:val="18"/>
                <w:szCs w:val="18"/>
              </w:rPr>
            </w:pPr>
            <w:r w:rsidRPr="00B614FD">
              <w:rPr>
                <w:rFonts w:cs="Arial"/>
                <w:b/>
                <w:color w:val="FFFFFF" w:themeColor="background1"/>
                <w:sz w:val="18"/>
                <w:szCs w:val="18"/>
              </w:rPr>
              <w:t>Resultado 2016</w:t>
            </w:r>
          </w:p>
        </w:tc>
        <w:tc>
          <w:tcPr>
            <w:tcW w:w="4253" w:type="dxa"/>
            <w:shd w:val="clear" w:color="auto" w:fill="76923C" w:themeFill="accent3" w:themeFillShade="BF"/>
            <w:vAlign w:val="center"/>
          </w:tcPr>
          <w:p w:rsidR="00FB2352" w:rsidRPr="00B614FD" w:rsidRDefault="00B614FD" w:rsidP="00FB2352">
            <w:pPr>
              <w:tabs>
                <w:tab w:val="left" w:pos="426"/>
              </w:tabs>
              <w:spacing w:after="0" w:line="240" w:lineRule="auto"/>
              <w:jc w:val="center"/>
              <w:rPr>
                <w:rFonts w:cs="Arial"/>
                <w:b/>
                <w:color w:val="FFFFFF" w:themeColor="background1"/>
                <w:sz w:val="18"/>
                <w:szCs w:val="18"/>
              </w:rPr>
            </w:pPr>
            <w:r w:rsidRPr="00B614FD">
              <w:rPr>
                <w:rFonts w:cs="Arial"/>
                <w:b/>
                <w:color w:val="FFFFFF" w:themeColor="background1"/>
                <w:sz w:val="18"/>
                <w:szCs w:val="18"/>
              </w:rPr>
              <w:t>Observaciones</w:t>
            </w:r>
          </w:p>
        </w:tc>
      </w:tr>
      <w:tr w:rsidR="00FB2352" w:rsidRPr="00B614FD" w:rsidTr="00B614FD">
        <w:trPr>
          <w:jc w:val="center"/>
        </w:trPr>
        <w:tc>
          <w:tcPr>
            <w:tcW w:w="2122" w:type="dxa"/>
            <w:shd w:val="clear" w:color="auto" w:fill="auto"/>
            <w:vAlign w:val="center"/>
          </w:tcPr>
          <w:p w:rsidR="00FB2352" w:rsidRPr="00B614FD" w:rsidRDefault="00FB2352" w:rsidP="00FB2352">
            <w:pPr>
              <w:spacing w:after="0" w:line="240" w:lineRule="auto"/>
              <w:jc w:val="both"/>
              <w:rPr>
                <w:rFonts w:cs="Arial"/>
                <w:sz w:val="18"/>
                <w:szCs w:val="18"/>
              </w:rPr>
            </w:pPr>
            <w:r w:rsidRPr="00B614FD">
              <w:rPr>
                <w:rFonts w:cs="Arial"/>
                <w:sz w:val="18"/>
                <w:szCs w:val="18"/>
              </w:rPr>
              <w:t>PA – 13 Número de departamentos con la estrategia de prevención de embarazo en la adolescencia implementada</w:t>
            </w:r>
          </w:p>
        </w:tc>
        <w:tc>
          <w:tcPr>
            <w:tcW w:w="1417"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15</w:t>
            </w:r>
          </w:p>
        </w:tc>
        <w:tc>
          <w:tcPr>
            <w:tcW w:w="1276"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15</w:t>
            </w:r>
          </w:p>
        </w:tc>
        <w:tc>
          <w:tcPr>
            <w:tcW w:w="4253" w:type="dxa"/>
            <w:shd w:val="clear" w:color="auto" w:fill="auto"/>
            <w:vAlign w:val="center"/>
          </w:tcPr>
          <w:p w:rsidR="00FB2352" w:rsidRPr="00B614FD" w:rsidRDefault="00FB2352" w:rsidP="00FB2352">
            <w:pPr>
              <w:spacing w:after="0" w:line="240" w:lineRule="auto"/>
              <w:jc w:val="both"/>
              <w:rPr>
                <w:rFonts w:cs="Arial"/>
                <w:sz w:val="18"/>
                <w:szCs w:val="18"/>
              </w:rPr>
            </w:pPr>
            <w:r w:rsidRPr="00B614FD">
              <w:rPr>
                <w:rFonts w:cs="Arial"/>
                <w:sz w:val="18"/>
                <w:szCs w:val="18"/>
                <w:lang w:eastAsia="es-ES"/>
              </w:rPr>
              <w:t xml:space="preserve">En la vigencia 2016 se viene implementando la estrategia de prevención de embarazo en la adolescencia en los departamentos de: </w:t>
            </w:r>
            <w:r w:rsidRPr="00B614FD">
              <w:rPr>
                <w:rFonts w:cs="Arial"/>
                <w:sz w:val="18"/>
                <w:szCs w:val="18"/>
              </w:rPr>
              <w:t>Cauca, Vaupés, Vichada, Santander, Boyacá, Guaviare, Caquetá, Casanare, Arauca, Antioquia, Valle del cauca, Guajira, Bogotá  D.C, Norte de Santander y  Nariño</w:t>
            </w:r>
          </w:p>
        </w:tc>
      </w:tr>
      <w:tr w:rsidR="00FB2352" w:rsidRPr="00B614FD" w:rsidTr="00B614FD">
        <w:trPr>
          <w:jc w:val="center"/>
        </w:trPr>
        <w:tc>
          <w:tcPr>
            <w:tcW w:w="2122" w:type="dxa"/>
            <w:shd w:val="clear" w:color="auto" w:fill="auto"/>
            <w:vAlign w:val="center"/>
          </w:tcPr>
          <w:p w:rsidR="00FB2352" w:rsidRPr="00B614FD" w:rsidRDefault="00FB2352" w:rsidP="00FB2352">
            <w:pPr>
              <w:spacing w:after="0" w:line="240" w:lineRule="auto"/>
              <w:jc w:val="both"/>
              <w:rPr>
                <w:rFonts w:cs="Arial"/>
                <w:sz w:val="18"/>
                <w:szCs w:val="18"/>
              </w:rPr>
            </w:pPr>
            <w:r w:rsidRPr="00B614FD">
              <w:rPr>
                <w:rFonts w:cs="Arial"/>
                <w:sz w:val="18"/>
                <w:szCs w:val="18"/>
              </w:rPr>
              <w:t>PA -14 Número de Municipios priorizados con la implementación de la estrategia de prevención de embarazo en la adolescencia</w:t>
            </w:r>
          </w:p>
        </w:tc>
        <w:tc>
          <w:tcPr>
            <w:tcW w:w="1417"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190</w:t>
            </w:r>
          </w:p>
        </w:tc>
        <w:tc>
          <w:tcPr>
            <w:tcW w:w="1276"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190</w:t>
            </w:r>
          </w:p>
        </w:tc>
        <w:tc>
          <w:tcPr>
            <w:tcW w:w="4253" w:type="dxa"/>
            <w:shd w:val="clear" w:color="auto" w:fill="auto"/>
            <w:vAlign w:val="center"/>
          </w:tcPr>
          <w:p w:rsidR="00FB2352" w:rsidRPr="00B614FD" w:rsidRDefault="00FB2352" w:rsidP="00FB2352">
            <w:pPr>
              <w:spacing w:after="0" w:line="240" w:lineRule="auto"/>
              <w:jc w:val="both"/>
              <w:rPr>
                <w:rFonts w:cs="Arial"/>
                <w:sz w:val="18"/>
                <w:szCs w:val="18"/>
              </w:rPr>
            </w:pPr>
            <w:r w:rsidRPr="00B614FD">
              <w:rPr>
                <w:rFonts w:cs="Arial"/>
                <w:sz w:val="18"/>
                <w:szCs w:val="18"/>
                <w:lang w:eastAsia="es-ES"/>
              </w:rPr>
              <w:t>10 Alianzas estratégicas y 33 gestores de prevención de embarazo  permitieron implementar la estrategia con el fortalecimiento de las mesas intersectoriales municipales.</w:t>
            </w:r>
          </w:p>
        </w:tc>
      </w:tr>
      <w:tr w:rsidR="00FB2352" w:rsidRPr="00B614FD" w:rsidTr="00B614FD">
        <w:trPr>
          <w:jc w:val="center"/>
        </w:trPr>
        <w:tc>
          <w:tcPr>
            <w:tcW w:w="2122" w:type="dxa"/>
            <w:shd w:val="clear" w:color="auto" w:fill="auto"/>
            <w:vAlign w:val="center"/>
          </w:tcPr>
          <w:p w:rsidR="00FB2352" w:rsidRPr="00B614FD" w:rsidRDefault="00FB2352" w:rsidP="00FB2352">
            <w:pPr>
              <w:spacing w:after="0" w:line="240" w:lineRule="auto"/>
              <w:jc w:val="both"/>
              <w:rPr>
                <w:rFonts w:cs="Arial"/>
                <w:sz w:val="18"/>
                <w:szCs w:val="18"/>
              </w:rPr>
            </w:pPr>
            <w:r w:rsidRPr="00B614FD">
              <w:rPr>
                <w:rFonts w:cs="Arial"/>
                <w:sz w:val="18"/>
                <w:szCs w:val="18"/>
              </w:rPr>
              <w:t>PA-15 Número de  Agentes educativos, institucionales y comunitarios de Programas del ICBF formados en derechos sexuales y reproductivos y prevención del embarazo en la adolescencia.</w:t>
            </w:r>
          </w:p>
        </w:tc>
        <w:tc>
          <w:tcPr>
            <w:tcW w:w="1417"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5800</w:t>
            </w:r>
          </w:p>
        </w:tc>
        <w:tc>
          <w:tcPr>
            <w:tcW w:w="1276" w:type="dxa"/>
            <w:shd w:val="clear" w:color="auto" w:fill="auto"/>
            <w:vAlign w:val="center"/>
          </w:tcPr>
          <w:p w:rsidR="00FB2352" w:rsidRPr="00B614FD" w:rsidRDefault="00FB2352" w:rsidP="00FB2352">
            <w:pPr>
              <w:tabs>
                <w:tab w:val="left" w:pos="426"/>
              </w:tabs>
              <w:spacing w:after="0" w:line="240" w:lineRule="auto"/>
              <w:jc w:val="center"/>
              <w:rPr>
                <w:rFonts w:cs="Arial"/>
                <w:sz w:val="18"/>
                <w:szCs w:val="18"/>
              </w:rPr>
            </w:pPr>
            <w:r w:rsidRPr="00B614FD">
              <w:rPr>
                <w:rFonts w:cs="Arial"/>
                <w:sz w:val="18"/>
                <w:szCs w:val="18"/>
              </w:rPr>
              <w:t>7499</w:t>
            </w:r>
          </w:p>
        </w:tc>
        <w:tc>
          <w:tcPr>
            <w:tcW w:w="4253" w:type="dxa"/>
            <w:shd w:val="clear" w:color="auto" w:fill="auto"/>
            <w:vAlign w:val="center"/>
          </w:tcPr>
          <w:p w:rsidR="00FB2352" w:rsidRPr="00B614FD" w:rsidRDefault="00FB2352" w:rsidP="00FB2352">
            <w:pPr>
              <w:spacing w:after="0" w:line="240" w:lineRule="auto"/>
              <w:jc w:val="both"/>
              <w:rPr>
                <w:rFonts w:cs="Arial"/>
                <w:sz w:val="18"/>
                <w:szCs w:val="18"/>
                <w:lang w:eastAsia="es-ES"/>
              </w:rPr>
            </w:pPr>
            <w:r w:rsidRPr="00B614FD">
              <w:rPr>
                <w:rFonts w:cs="Arial"/>
                <w:sz w:val="18"/>
                <w:szCs w:val="18"/>
                <w:lang w:eastAsia="es-ES"/>
              </w:rPr>
              <w:t>A la fecha se han formado 7499 agentes educativos ,institucionales y comunitarios  en derechos sexuales y reproductivos a través de los Gestores Territoriales para la prevención del embarazo en la adolescencia,  de las alianzas suscritas por la Dirección De Niñez Y  Adolescencia con Profamilia, Proinapsa de la UIS, ONG La Red, Asomujer y Deporte y por medio del Sena y del curso de la Universidad de los ANDES en COURSERA,</w:t>
            </w:r>
          </w:p>
        </w:tc>
      </w:tr>
    </w:tbl>
    <w:p w:rsidR="00FB2352" w:rsidRPr="00B614FD" w:rsidRDefault="005044B5" w:rsidP="00FB2352">
      <w:pPr>
        <w:pStyle w:val="Sinespaciado"/>
        <w:jc w:val="both"/>
        <w:rPr>
          <w:rFonts w:cs="Arial"/>
          <w:sz w:val="16"/>
          <w:szCs w:val="16"/>
        </w:rPr>
      </w:pPr>
      <w:r>
        <w:rPr>
          <w:rFonts w:cs="Arial"/>
          <w:b/>
          <w:sz w:val="16"/>
          <w:szCs w:val="16"/>
        </w:rPr>
        <w:t xml:space="preserve">   </w:t>
      </w:r>
      <w:r w:rsidR="00FB2352" w:rsidRPr="00B614FD">
        <w:rPr>
          <w:rFonts w:cs="Arial"/>
          <w:b/>
          <w:sz w:val="16"/>
          <w:szCs w:val="16"/>
        </w:rPr>
        <w:t>Fuente:</w:t>
      </w:r>
      <w:r w:rsidR="00FB2352" w:rsidRPr="00B614FD">
        <w:rPr>
          <w:rFonts w:cs="Arial"/>
          <w:sz w:val="16"/>
          <w:szCs w:val="16"/>
        </w:rPr>
        <w:t xml:space="preserve"> Reporte SIMEI- Indicadores a 31 de diciembre de 2016- Dirección de Planeación.</w:t>
      </w:r>
    </w:p>
    <w:p w:rsidR="00646D3D" w:rsidRPr="00D21160" w:rsidRDefault="005044B5" w:rsidP="00646D3D">
      <w:pPr>
        <w:rPr>
          <w:rFonts w:ascii="Calibri" w:hAnsi="Calibri"/>
          <w:i/>
          <w:iCs/>
          <w:sz w:val="16"/>
          <w:lang w:val="es-CO"/>
        </w:rPr>
      </w:pPr>
      <w:r>
        <w:rPr>
          <w:i/>
          <w:iCs/>
          <w:sz w:val="16"/>
        </w:rPr>
        <w:t xml:space="preserve">   </w:t>
      </w:r>
      <w:r w:rsidR="00646D3D" w:rsidRPr="00D21160">
        <w:rPr>
          <w:i/>
          <w:iCs/>
          <w:sz w:val="16"/>
        </w:rPr>
        <w:t>Nota: Información preliminar, sujeta a actualización del cierre oficial de metas sociales y financieras.</w:t>
      </w:r>
    </w:p>
    <w:p w:rsidR="00FB2352" w:rsidRPr="00992589" w:rsidRDefault="00FB2352" w:rsidP="0038309F">
      <w:pPr>
        <w:ind w:left="708"/>
        <w:rPr>
          <w:b/>
          <w:bCs/>
          <w:lang w:val="es-ES_tradnl"/>
        </w:rPr>
      </w:pPr>
      <w:r w:rsidRPr="00992589">
        <w:rPr>
          <w:b/>
          <w:bCs/>
          <w:lang w:val="es-ES_tradnl"/>
        </w:rPr>
        <w:t>Creación de la Subdirección de Prevención de Embarazo en la Adolescencia</w:t>
      </w:r>
    </w:p>
    <w:p w:rsidR="00FB2352" w:rsidRPr="00992589" w:rsidRDefault="00FB2352" w:rsidP="00FB2352">
      <w:pPr>
        <w:spacing w:after="0" w:line="240" w:lineRule="auto"/>
        <w:jc w:val="both"/>
        <w:rPr>
          <w:rFonts w:cs="Arial"/>
          <w:lang w:eastAsia="es-ES"/>
        </w:rPr>
      </w:pPr>
      <w:r w:rsidRPr="00992589">
        <w:rPr>
          <w:rFonts w:cs="Arial"/>
          <w:lang w:eastAsia="es-ES"/>
        </w:rPr>
        <w:t>En un trabajo articulado con las Direcciones de Planeación y Gestión Humana, el ICBF elaboró los estudios técnicos para la creación de la Subdirección de Prevención de Embarazo en la Adolescencia, para su trámite en el marco de la modificación del Decreto 0987 de 2012, que define la estructura y funciones del ICBF. Esta propuesta de creación y modificación fue radicada ante el Departamento de Prosperidad Social (DPS), quien debe dar su visto bueno como entidad cabeza de sector</w:t>
      </w:r>
      <w:r w:rsidR="00122358">
        <w:rPr>
          <w:rFonts w:cs="Arial"/>
          <w:lang w:eastAsia="es-ES"/>
        </w:rPr>
        <w:t xml:space="preserve"> para continuar con el trámite ante Función Pública</w:t>
      </w:r>
      <w:r w:rsidRPr="00992589">
        <w:rPr>
          <w:rFonts w:cs="Arial"/>
          <w:lang w:eastAsia="es-ES"/>
        </w:rPr>
        <w:t xml:space="preserve">. </w:t>
      </w:r>
    </w:p>
    <w:p w:rsidR="00646D3D" w:rsidRDefault="00646D3D" w:rsidP="0038309F">
      <w:pPr>
        <w:ind w:left="708"/>
        <w:rPr>
          <w:b/>
          <w:bCs/>
          <w:lang w:val="es-ES_tradnl"/>
        </w:rPr>
      </w:pPr>
    </w:p>
    <w:p w:rsidR="00FB2352" w:rsidRPr="00992589" w:rsidRDefault="00FB2352" w:rsidP="0038309F">
      <w:pPr>
        <w:ind w:left="708"/>
        <w:rPr>
          <w:b/>
          <w:bCs/>
          <w:lang w:val="es-ES_tradnl"/>
        </w:rPr>
      </w:pPr>
      <w:r w:rsidRPr="00992589">
        <w:rPr>
          <w:b/>
          <w:bCs/>
          <w:lang w:val="es-ES_tradnl"/>
        </w:rPr>
        <w:t>Avances en la construcción del documento técnico de la estrategia de Prevención de Embarazo en la Adolescencia</w:t>
      </w:r>
    </w:p>
    <w:p w:rsidR="00FB2352" w:rsidRPr="00992589" w:rsidRDefault="00FB2352" w:rsidP="00FB2352">
      <w:pPr>
        <w:spacing w:after="0" w:line="240" w:lineRule="auto"/>
        <w:jc w:val="both"/>
        <w:rPr>
          <w:rFonts w:cs="Arial"/>
          <w:lang w:eastAsia="es-ES"/>
        </w:rPr>
      </w:pPr>
      <w:r w:rsidRPr="00992589">
        <w:rPr>
          <w:rFonts w:cs="Arial"/>
          <w:lang w:val="es-CO" w:eastAsia="es-ES"/>
        </w:rPr>
        <w:t>Durante el</w:t>
      </w:r>
      <w:r w:rsidRPr="00992589">
        <w:rPr>
          <w:rFonts w:cs="Arial"/>
          <w:lang w:eastAsia="es-ES"/>
        </w:rPr>
        <w:t xml:space="preserve"> primer semestre de 2016 se finalizó el documento técnico que establece La Estrategia de Atención Integral para Niñas, Niños y Adolescentes con énfasis en la Prevención del Embarazo </w:t>
      </w:r>
      <w:r w:rsidRPr="00992589">
        <w:rPr>
          <w:rFonts w:cs="Arial"/>
          <w:lang w:eastAsia="es-ES"/>
        </w:rPr>
        <w:lastRenderedPageBreak/>
        <w:t xml:space="preserve">en la Adolescencia (2015 – 2025). Este compromiso nacional liderado por la Dirección de Niñez y Adolescencia del ICBF y el Ministerio de Salud y Protección Social, se presenta en dos partes, la primera, plantea las bases de la Estrategia, la segunda comprende la estructura de la Estrategia Nacional en su fundamentación técnica y su propósito orientado a promover el desarrollo integral de las niñas niños y adolescentes, identificando siete realizaciones, seis componentes de carácter intersectorial, y cuatro líneas de acción, finalizando con un apartado de orientaciones generales para la operación. </w:t>
      </w:r>
    </w:p>
    <w:p w:rsidR="009C25F2" w:rsidRDefault="009C25F2" w:rsidP="0038309F">
      <w:pPr>
        <w:ind w:left="708"/>
        <w:rPr>
          <w:rFonts w:eastAsia="Times New Roman"/>
          <w:b/>
          <w:lang w:eastAsia="es-ES"/>
        </w:rPr>
      </w:pPr>
    </w:p>
    <w:p w:rsidR="00FB2352" w:rsidRPr="00D87C26" w:rsidRDefault="00FB2352" w:rsidP="0038309F">
      <w:pPr>
        <w:ind w:left="708"/>
        <w:rPr>
          <w:rFonts w:eastAsia="Times New Roman"/>
          <w:b/>
          <w:lang w:eastAsia="es-ES"/>
        </w:rPr>
      </w:pPr>
      <w:r w:rsidRPr="00D87C26">
        <w:rPr>
          <w:rFonts w:eastAsia="Times New Roman"/>
          <w:b/>
          <w:lang w:eastAsia="es-ES"/>
        </w:rPr>
        <w:t>Estrategia de Acciones Masivas de Alto Impacto Social –AMAS–</w:t>
      </w:r>
    </w:p>
    <w:p w:rsidR="00FB2352" w:rsidRPr="00992589" w:rsidRDefault="00FB2352" w:rsidP="0038309F">
      <w:pPr>
        <w:ind w:left="1416"/>
        <w:rPr>
          <w:b/>
        </w:rPr>
      </w:pPr>
      <w:r w:rsidRPr="00992589">
        <w:rPr>
          <w:b/>
        </w:rPr>
        <w:t>Descripción de la Estrategia de Acciones Masivas de Alto Impacto Social –AMAS–</w:t>
      </w:r>
    </w:p>
    <w:p w:rsidR="00FB2352" w:rsidRPr="00992589" w:rsidRDefault="00FB2352" w:rsidP="00FB2352">
      <w:pPr>
        <w:pStyle w:val="Sinespaciado"/>
        <w:jc w:val="both"/>
        <w:rPr>
          <w:rFonts w:cs="Arial"/>
        </w:rPr>
      </w:pPr>
      <w:r w:rsidRPr="00992589">
        <w:rPr>
          <w:rFonts w:cs="Arial"/>
        </w:rPr>
        <w:t xml:space="preserve">En el marco de las funciones de la Dirección de Niñez y Adolescencia nace la estrategia Acciones Masivas de Alto Impacto Social –AMAS–, que tiene por objeto generar acercamientos a niños, niñas y adolescentes de poblaciones vulnerables, a través de un tipo de oferta flexible, novedosa y atractiva, que recurre a disciplinas artísticas, deportivas, productivas, culturales y/o comunicativas, como medio para trabajar prevención de modo inspirador, asertivo y transformador. </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rPr>
      </w:pPr>
      <w:r w:rsidRPr="00992589">
        <w:rPr>
          <w:rFonts w:cs="Arial"/>
        </w:rPr>
        <w:t>La estrategia, que busca prevenir vulneraciones a través de acciones de promoción y visibilización de derechos, está concebida para narrar victorias anticipadas de alto impacto a favor de la niñez y adolescencia, contribuyendo a la protección integral y fomentando en cada niño, niña y adolescente la construcción de proyectos de vida lejos de las dinámicas que los exponen a riesgos</w:t>
      </w:r>
      <w:r w:rsidRPr="00992589">
        <w:rPr>
          <w:rFonts w:cs="Arial"/>
          <w:vertAlign w:val="superscript"/>
        </w:rPr>
        <w:footnoteReference w:id="6"/>
      </w:r>
      <w:r w:rsidRPr="00992589">
        <w:rPr>
          <w:rFonts w:cs="Arial"/>
        </w:rPr>
        <w:t xml:space="preserve">. Así, la Estrategia AMAS está diseñada para favorecer intervenciones directas y hechas “a la medida” de los territorios, con acciones estratégicas en zonas críticas respecto de la garantía de derechos de niños, niñas y adolescentes. </w:t>
      </w:r>
    </w:p>
    <w:p w:rsidR="00FB2352" w:rsidRPr="00992589" w:rsidRDefault="00FB2352" w:rsidP="00FB2352">
      <w:pPr>
        <w:pStyle w:val="Sinespaciado"/>
        <w:rPr>
          <w:rFonts w:cs="Arial"/>
        </w:rPr>
      </w:pPr>
    </w:p>
    <w:p w:rsidR="00FB2352" w:rsidRPr="00992589" w:rsidRDefault="00FB2352" w:rsidP="00FB2352">
      <w:pPr>
        <w:pStyle w:val="Sinespaciado"/>
        <w:jc w:val="both"/>
        <w:rPr>
          <w:rFonts w:cs="Arial"/>
          <w:lang w:eastAsia="en-US"/>
        </w:rPr>
      </w:pPr>
      <w:r w:rsidRPr="00992589">
        <w:rPr>
          <w:rFonts w:cs="Arial"/>
          <w:lang w:eastAsia="en-US"/>
        </w:rPr>
        <w:t>Al concebirse las AMAS en la dimensión masiva, se previó a través de éstas dar voz directa a los niños, niñas y adolescentes en lo relacionado con la prevención de vulneraciones de derechos, provenientes o multiplicadas por la presencia de actividades del contexto que los amenazan. Así también, se busca interconectar a los niños, niñas y adolescentes, por los resultados de divulgación pedagógica, a través de una red nacional virtual de participación que permitirá generar comunicación directa entre ellas y ellos y potenciar el mensaje preventivo desde la comunicación entre pares –que es la forma de comunicación más asertiva al trabajar con niñas, niños y adolescentes entre los 6 y los 17 años.</w:t>
      </w:r>
    </w:p>
    <w:p w:rsidR="00646D3D" w:rsidRDefault="00646D3D" w:rsidP="00340FF1">
      <w:pPr>
        <w:ind w:left="1416"/>
        <w:rPr>
          <w:b/>
        </w:rPr>
      </w:pPr>
    </w:p>
    <w:p w:rsidR="00FB2352" w:rsidRPr="00992589" w:rsidRDefault="00FB2352" w:rsidP="00340FF1">
      <w:pPr>
        <w:ind w:left="1416"/>
        <w:rPr>
          <w:b/>
        </w:rPr>
      </w:pPr>
      <w:r w:rsidRPr="00992589">
        <w:rPr>
          <w:b/>
        </w:rPr>
        <w:lastRenderedPageBreak/>
        <w:t>Presupuesto de la Estrategia de Acciones Masivas de Alto Impacto Social –AMAS</w:t>
      </w:r>
    </w:p>
    <w:p w:rsidR="00FB2352" w:rsidRPr="00992589" w:rsidRDefault="00FB2352" w:rsidP="00FB2352">
      <w:pPr>
        <w:pStyle w:val="Sinespaciado"/>
        <w:jc w:val="both"/>
        <w:rPr>
          <w:rFonts w:cs="Arial"/>
          <w:bCs/>
          <w:lang w:val="es-ES_tradnl"/>
        </w:rPr>
      </w:pPr>
      <w:r w:rsidRPr="00992589">
        <w:rPr>
          <w:rFonts w:cs="Arial"/>
          <w:bCs/>
          <w:lang w:val="es-ES_tradnl"/>
        </w:rPr>
        <w:t xml:space="preserve">En la siguiente tabla se presentan los recursos programados y apropiados y la atención de la estrategia </w:t>
      </w:r>
      <w:r w:rsidRPr="003C55FC">
        <w:rPr>
          <w:rFonts w:cs="Arial"/>
          <w:bCs/>
          <w:lang w:val="es-ES_tradnl"/>
        </w:rPr>
        <w:t xml:space="preserve">con </w:t>
      </w:r>
      <w:r w:rsidR="003C55FC" w:rsidRPr="003C55FC">
        <w:rPr>
          <w:rFonts w:cs="Arial"/>
          <w:bCs/>
          <w:lang w:val="es-ES_tradnl"/>
        </w:rPr>
        <w:t>corte a 31 de Diciembre</w:t>
      </w:r>
      <w:r w:rsidRPr="003C55FC">
        <w:rPr>
          <w:rFonts w:cs="Arial"/>
          <w:bCs/>
          <w:lang w:val="es-ES_tradnl"/>
        </w:rPr>
        <w:t>:</w:t>
      </w:r>
    </w:p>
    <w:p w:rsidR="00FB2352" w:rsidRDefault="00FB2352" w:rsidP="00FB2352">
      <w:pPr>
        <w:pStyle w:val="Sinespaciado"/>
        <w:jc w:val="both"/>
        <w:rPr>
          <w:rFonts w:cs="Arial"/>
          <w:i/>
          <w:u w:val="single"/>
        </w:rPr>
      </w:pPr>
    </w:p>
    <w:p w:rsidR="00646D3D" w:rsidRDefault="00646D3D" w:rsidP="00FB2352">
      <w:pPr>
        <w:pStyle w:val="Sinespaciado"/>
        <w:jc w:val="both"/>
        <w:rPr>
          <w:rFonts w:cs="Arial"/>
          <w:i/>
          <w:u w:val="single"/>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676"/>
        <w:gridCol w:w="1342"/>
        <w:gridCol w:w="1936"/>
        <w:gridCol w:w="1937"/>
        <w:gridCol w:w="1937"/>
      </w:tblGrid>
      <w:tr w:rsidR="00FB2352" w:rsidRPr="00992589" w:rsidTr="00F51FDB">
        <w:trPr>
          <w:jc w:val="center"/>
        </w:trPr>
        <w:tc>
          <w:tcPr>
            <w:tcW w:w="1676" w:type="dxa"/>
            <w:shd w:val="clear" w:color="auto" w:fill="76923C" w:themeFill="accent3" w:themeFillShade="BF"/>
            <w:vAlign w:val="center"/>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Estrategia</w:t>
            </w:r>
          </w:p>
        </w:tc>
        <w:tc>
          <w:tcPr>
            <w:tcW w:w="1342" w:type="dxa"/>
            <w:shd w:val="clear" w:color="auto" w:fill="76923C" w:themeFill="accent3" w:themeFillShade="BF"/>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Cupos Atendidos</w:t>
            </w:r>
          </w:p>
        </w:tc>
        <w:tc>
          <w:tcPr>
            <w:tcW w:w="1936" w:type="dxa"/>
            <w:shd w:val="clear" w:color="auto" w:fill="76923C" w:themeFill="accent3" w:themeFillShade="BF"/>
            <w:vAlign w:val="center"/>
          </w:tcPr>
          <w:p w:rsidR="00FB2352" w:rsidRPr="00F51FDB" w:rsidRDefault="00F51FDB" w:rsidP="00FB2352">
            <w:pPr>
              <w:pStyle w:val="Sinespaciado"/>
              <w:jc w:val="center"/>
              <w:rPr>
                <w:rFonts w:cs="Arial"/>
                <w:b/>
                <w:color w:val="FFFFFF" w:themeColor="background1"/>
                <w:sz w:val="18"/>
                <w:szCs w:val="20"/>
              </w:rPr>
            </w:pPr>
            <w:r>
              <w:rPr>
                <w:rFonts w:cs="Arial"/>
                <w:b/>
                <w:color w:val="FFFFFF" w:themeColor="background1"/>
                <w:sz w:val="18"/>
                <w:szCs w:val="20"/>
              </w:rPr>
              <w:t>Apropiación I</w:t>
            </w:r>
            <w:r w:rsidR="00FB2352" w:rsidRPr="00F51FDB">
              <w:rPr>
                <w:rFonts w:cs="Arial"/>
                <w:b/>
                <w:color w:val="FFFFFF" w:themeColor="background1"/>
                <w:sz w:val="18"/>
                <w:szCs w:val="20"/>
              </w:rPr>
              <w:t>nicial</w:t>
            </w:r>
          </w:p>
        </w:tc>
        <w:tc>
          <w:tcPr>
            <w:tcW w:w="1937" w:type="dxa"/>
            <w:shd w:val="clear" w:color="auto" w:fill="76923C" w:themeFill="accent3" w:themeFillShade="BF"/>
            <w:vAlign w:val="center"/>
          </w:tcPr>
          <w:p w:rsidR="00FB2352" w:rsidRPr="00F51FDB" w:rsidRDefault="00F51FDB" w:rsidP="00FB2352">
            <w:pPr>
              <w:pStyle w:val="Sinespaciado"/>
              <w:jc w:val="center"/>
              <w:rPr>
                <w:rFonts w:cs="Arial"/>
                <w:b/>
                <w:color w:val="FFFFFF" w:themeColor="background1"/>
                <w:sz w:val="18"/>
                <w:szCs w:val="20"/>
              </w:rPr>
            </w:pPr>
            <w:r>
              <w:rPr>
                <w:rFonts w:cs="Arial"/>
                <w:b/>
                <w:color w:val="FFFFFF" w:themeColor="background1"/>
                <w:sz w:val="18"/>
                <w:szCs w:val="20"/>
              </w:rPr>
              <w:t>Apropiación V</w:t>
            </w:r>
            <w:r w:rsidR="00FB2352" w:rsidRPr="00F51FDB">
              <w:rPr>
                <w:rFonts w:cs="Arial"/>
                <w:b/>
                <w:color w:val="FFFFFF" w:themeColor="background1"/>
                <w:sz w:val="18"/>
                <w:szCs w:val="20"/>
              </w:rPr>
              <w:t>igente</w:t>
            </w:r>
          </w:p>
        </w:tc>
        <w:tc>
          <w:tcPr>
            <w:tcW w:w="1937" w:type="dxa"/>
            <w:shd w:val="clear" w:color="auto" w:fill="76923C" w:themeFill="accent3" w:themeFillShade="BF"/>
            <w:vAlign w:val="center"/>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Comprometido</w:t>
            </w:r>
          </w:p>
        </w:tc>
      </w:tr>
      <w:tr w:rsidR="00FB2352" w:rsidRPr="00992589" w:rsidTr="00F51FDB">
        <w:trPr>
          <w:jc w:val="center"/>
        </w:trPr>
        <w:tc>
          <w:tcPr>
            <w:tcW w:w="1676" w:type="dxa"/>
            <w:vAlign w:val="center"/>
          </w:tcPr>
          <w:p w:rsidR="00FB2352" w:rsidRPr="003D6F87" w:rsidRDefault="00FB2352" w:rsidP="00FB2352">
            <w:pPr>
              <w:pStyle w:val="Sinespaciado"/>
              <w:jc w:val="both"/>
              <w:rPr>
                <w:rFonts w:cs="Arial"/>
                <w:sz w:val="18"/>
                <w:szCs w:val="20"/>
              </w:rPr>
            </w:pPr>
            <w:r w:rsidRPr="003D6F87">
              <w:rPr>
                <w:rFonts w:cs="Arial"/>
                <w:sz w:val="18"/>
                <w:szCs w:val="20"/>
              </w:rPr>
              <w:t>Acciones Masivas de Alto Impacto Social –AMAS–</w:t>
            </w:r>
          </w:p>
        </w:tc>
        <w:tc>
          <w:tcPr>
            <w:tcW w:w="1342"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20.000</w:t>
            </w:r>
          </w:p>
        </w:tc>
        <w:tc>
          <w:tcPr>
            <w:tcW w:w="1936"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$10.000.</w:t>
            </w:r>
          </w:p>
        </w:tc>
        <w:tc>
          <w:tcPr>
            <w:tcW w:w="1937"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$17.131</w:t>
            </w:r>
          </w:p>
        </w:tc>
        <w:tc>
          <w:tcPr>
            <w:tcW w:w="1937"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$17.131</w:t>
            </w:r>
          </w:p>
        </w:tc>
      </w:tr>
    </w:tbl>
    <w:p w:rsidR="005044B5" w:rsidRDefault="00FB2352" w:rsidP="005044B5">
      <w:pPr>
        <w:pStyle w:val="Sinespaciado"/>
        <w:ind w:left="270"/>
        <w:jc w:val="both"/>
        <w:rPr>
          <w:rFonts w:cs="Arial"/>
          <w:sz w:val="16"/>
          <w:szCs w:val="16"/>
        </w:rPr>
      </w:pPr>
      <w:r w:rsidRPr="00F51FDB">
        <w:rPr>
          <w:rFonts w:cs="Arial"/>
          <w:b/>
          <w:sz w:val="16"/>
          <w:szCs w:val="16"/>
        </w:rPr>
        <w:t>Fuente:</w:t>
      </w:r>
      <w:r w:rsidRPr="00F51FDB">
        <w:rPr>
          <w:rFonts w:cs="Arial"/>
          <w:sz w:val="16"/>
          <w:szCs w:val="16"/>
        </w:rPr>
        <w:t xml:space="preserve"> SIIF Nación a 31 de Diciembre de 2016/ Ejecución MSYF a 31 de Diciembre de 2016- Dirección de Planeación.</w:t>
      </w:r>
    </w:p>
    <w:p w:rsidR="00FB2352" w:rsidRPr="00F51FDB" w:rsidRDefault="00FB2352" w:rsidP="005044B5">
      <w:pPr>
        <w:pStyle w:val="Sinespaciado"/>
        <w:ind w:left="270"/>
        <w:jc w:val="both"/>
        <w:rPr>
          <w:rFonts w:cs="Arial"/>
          <w:sz w:val="16"/>
          <w:szCs w:val="16"/>
        </w:rPr>
      </w:pPr>
      <w:r w:rsidRPr="00F51FDB">
        <w:rPr>
          <w:rFonts w:cs="Arial"/>
          <w:sz w:val="16"/>
          <w:szCs w:val="16"/>
        </w:rPr>
        <w:t xml:space="preserve">Cifras en </w:t>
      </w:r>
      <w:r w:rsidR="005044B5">
        <w:rPr>
          <w:rFonts w:cs="Arial"/>
          <w:sz w:val="16"/>
          <w:szCs w:val="16"/>
        </w:rPr>
        <w:t xml:space="preserve"> </w:t>
      </w:r>
      <w:r w:rsidRPr="00F51FDB">
        <w:rPr>
          <w:rFonts w:cs="Arial"/>
          <w:sz w:val="16"/>
          <w:szCs w:val="16"/>
        </w:rPr>
        <w:t>millones de pesos.</w:t>
      </w:r>
    </w:p>
    <w:p w:rsidR="00646D3D" w:rsidRPr="00D21160" w:rsidRDefault="005044B5" w:rsidP="00646D3D">
      <w:pPr>
        <w:rPr>
          <w:rFonts w:ascii="Calibri" w:hAnsi="Calibri"/>
          <w:i/>
          <w:iCs/>
          <w:sz w:val="16"/>
          <w:lang w:val="es-CO"/>
        </w:rPr>
      </w:pPr>
      <w:r>
        <w:rPr>
          <w:i/>
          <w:iCs/>
          <w:sz w:val="16"/>
        </w:rPr>
        <w:t xml:space="preserve">      </w:t>
      </w:r>
      <w:r w:rsidR="00646D3D" w:rsidRPr="00D21160">
        <w:rPr>
          <w:i/>
          <w:iCs/>
          <w:sz w:val="16"/>
        </w:rPr>
        <w:t>Nota: Información preliminar, sujeta a actualización del cierre oficial de metas sociales y financieras.</w:t>
      </w:r>
    </w:p>
    <w:p w:rsidR="00646D3D" w:rsidRPr="00D21160" w:rsidRDefault="00646D3D" w:rsidP="00646D3D">
      <w:pPr>
        <w:spacing w:after="0" w:line="240" w:lineRule="auto"/>
        <w:jc w:val="both"/>
        <w:rPr>
          <w:rFonts w:cs="Arial"/>
          <w:sz w:val="16"/>
          <w:lang w:val="es-CO" w:eastAsia="es-ES"/>
        </w:rPr>
      </w:pPr>
    </w:p>
    <w:p w:rsidR="00FB2352" w:rsidRPr="00992589" w:rsidRDefault="00FB2352" w:rsidP="00340FF1">
      <w:pPr>
        <w:ind w:left="1416"/>
        <w:rPr>
          <w:b/>
        </w:rPr>
      </w:pPr>
      <w:r w:rsidRPr="00992589">
        <w:rPr>
          <w:b/>
        </w:rPr>
        <w:t>Acciones desarrolladas en el marco de la Estrategia Acciones masivas de Alto Impacto Social – AMAS y experiencias significativas</w:t>
      </w:r>
    </w:p>
    <w:p w:rsidR="00FB2352" w:rsidRPr="00992589" w:rsidRDefault="00FB2352" w:rsidP="00FB2352">
      <w:pPr>
        <w:pStyle w:val="Sinespaciado"/>
        <w:jc w:val="both"/>
        <w:rPr>
          <w:rFonts w:cs="Arial"/>
        </w:rPr>
      </w:pPr>
      <w:r w:rsidRPr="00992589">
        <w:rPr>
          <w:rFonts w:cs="Arial"/>
        </w:rPr>
        <w:t>A continuación se explican las acciones más significativas realizadas durante la vigencia:</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reclutamiento y utilización de niños niñas y adolescentes por parte de grupos armados ilegales (Proyecto Especializado de Prevención Específica)</w:t>
      </w:r>
      <w:r w:rsidR="00183E0C">
        <w:rPr>
          <w:rFonts w:cs="Arial"/>
          <w:b/>
          <w:u w:val="single"/>
        </w:rPr>
        <w:t>.</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390"/>
        <w:gridCol w:w="2693"/>
        <w:gridCol w:w="1745"/>
      </w:tblGrid>
      <w:tr w:rsidR="00FB2352" w:rsidRPr="00992589" w:rsidTr="00183E0C">
        <w:trPr>
          <w:trHeight w:val="223"/>
          <w:tblHeader/>
          <w:jc w:val="center"/>
        </w:trPr>
        <w:tc>
          <w:tcPr>
            <w:tcW w:w="4390" w:type="dxa"/>
            <w:shd w:val="clear" w:color="auto" w:fill="76923C" w:themeFill="accent3" w:themeFillShade="BF"/>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Descripción y metodología</w:t>
            </w:r>
          </w:p>
        </w:tc>
        <w:tc>
          <w:tcPr>
            <w:tcW w:w="2693" w:type="dxa"/>
            <w:shd w:val="clear" w:color="auto" w:fill="76923C" w:themeFill="accent3" w:themeFillShade="BF"/>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Municipios focalizados</w:t>
            </w:r>
          </w:p>
        </w:tc>
        <w:tc>
          <w:tcPr>
            <w:tcW w:w="1745" w:type="dxa"/>
            <w:shd w:val="clear" w:color="auto" w:fill="76923C" w:themeFill="accent3" w:themeFillShade="BF"/>
          </w:tcPr>
          <w:p w:rsidR="00FB2352" w:rsidRPr="00F51FDB" w:rsidRDefault="00FB2352" w:rsidP="00FB2352">
            <w:pPr>
              <w:pStyle w:val="Sinespaciado"/>
              <w:jc w:val="center"/>
              <w:rPr>
                <w:rFonts w:cs="Arial"/>
                <w:b/>
                <w:color w:val="FFFFFF" w:themeColor="background1"/>
                <w:sz w:val="18"/>
                <w:szCs w:val="20"/>
              </w:rPr>
            </w:pPr>
            <w:r w:rsidRPr="00F51FDB">
              <w:rPr>
                <w:rFonts w:cs="Arial"/>
                <w:b/>
                <w:color w:val="FFFFFF" w:themeColor="background1"/>
                <w:sz w:val="18"/>
                <w:szCs w:val="20"/>
              </w:rPr>
              <w:t>Inversión ICBF</w:t>
            </w:r>
          </w:p>
        </w:tc>
      </w:tr>
      <w:tr w:rsidR="00FB2352" w:rsidRPr="00992589" w:rsidTr="00F51FDB">
        <w:trPr>
          <w:jc w:val="center"/>
        </w:trPr>
        <w:tc>
          <w:tcPr>
            <w:tcW w:w="4390" w:type="dxa"/>
            <w:vAlign w:val="center"/>
          </w:tcPr>
          <w:p w:rsidR="00FB2352" w:rsidRPr="003D6F87" w:rsidRDefault="00FB2352" w:rsidP="00FB2352">
            <w:pPr>
              <w:pStyle w:val="Sinespaciado"/>
              <w:jc w:val="both"/>
              <w:rPr>
                <w:rFonts w:cs="Arial"/>
                <w:sz w:val="18"/>
                <w:szCs w:val="20"/>
              </w:rPr>
            </w:pPr>
            <w:r w:rsidRPr="003D6F87">
              <w:rPr>
                <w:rFonts w:cs="Arial"/>
                <w:sz w:val="18"/>
                <w:szCs w:val="20"/>
              </w:rPr>
              <w:t>Con la experiencia recogida en 2015 con los “</w:t>
            </w:r>
            <w:r w:rsidRPr="003D6F87">
              <w:rPr>
                <w:rFonts w:cs="Arial"/>
                <w:i/>
                <w:sz w:val="18"/>
                <w:szCs w:val="20"/>
              </w:rPr>
              <w:t>Hiphoppers Cambiando el Mundo</w:t>
            </w:r>
            <w:r w:rsidRPr="003D6F87">
              <w:rPr>
                <w:rFonts w:cs="Arial"/>
                <w:sz w:val="18"/>
                <w:szCs w:val="20"/>
              </w:rPr>
              <w:t>”, este año se ha desarrollado la misma acción, en calidad de “Proyecto Especializado de Prevención Específica”, con énfasis en el reclutamiento y utilización de niños, niñas y adolescentes por grupos armados ilegales.</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 xml:space="preserve">Nuevamente, por medio de la cultura </w:t>
            </w:r>
            <w:r w:rsidRPr="003D6F87">
              <w:rPr>
                <w:rFonts w:cs="Arial"/>
                <w:i/>
                <w:sz w:val="18"/>
                <w:szCs w:val="20"/>
              </w:rPr>
              <w:t>Hip-Hop</w:t>
            </w:r>
            <w:r w:rsidRPr="003D6F87">
              <w:rPr>
                <w:rFonts w:cs="Arial"/>
                <w:sz w:val="18"/>
                <w:szCs w:val="20"/>
              </w:rPr>
              <w:t xml:space="preserve"> y sus disciplinas –Rap, Grafiti y Breakdance–, como instrumentos artísticos transformadores, se han generado procesos de empoderamiento en derechos para niños, niñas y adolescentes, y puntualmente de prevención del reclutamiento de esta población por grupos armados ilegales. </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 xml:space="preserve">La experiencia pasada enseñó que el </w:t>
            </w:r>
            <w:r w:rsidRPr="003D6F87">
              <w:rPr>
                <w:rFonts w:cs="Arial"/>
                <w:i/>
                <w:sz w:val="18"/>
                <w:szCs w:val="20"/>
              </w:rPr>
              <w:t>Hip-Hop</w:t>
            </w:r>
            <w:r w:rsidRPr="003D6F87">
              <w:rPr>
                <w:rFonts w:cs="Arial"/>
                <w:sz w:val="18"/>
                <w:szCs w:val="20"/>
              </w:rPr>
              <w:t xml:space="preserve"> es una herramienta óptima para la comunicación con niños, niñas y adolescentes, y es un medio apropiado para que ellos se desahoguen, se empoderen y fortalezcan la construcción de sus proyectos de vida, al margen del conflicto y la violencia.</w:t>
            </w:r>
          </w:p>
        </w:tc>
        <w:tc>
          <w:tcPr>
            <w:tcW w:w="2693" w:type="dxa"/>
            <w:vAlign w:val="center"/>
          </w:tcPr>
          <w:p w:rsidR="00FB2352" w:rsidRPr="003D6F87" w:rsidRDefault="00FB2352" w:rsidP="00D712DC">
            <w:pPr>
              <w:pStyle w:val="Sinespaciado"/>
              <w:numPr>
                <w:ilvl w:val="0"/>
                <w:numId w:val="151"/>
              </w:numPr>
              <w:ind w:left="360"/>
              <w:jc w:val="both"/>
              <w:rPr>
                <w:rFonts w:cs="Arial"/>
                <w:sz w:val="18"/>
                <w:szCs w:val="20"/>
              </w:rPr>
            </w:pPr>
            <w:r w:rsidRPr="003D6F87">
              <w:rPr>
                <w:rFonts w:cs="Arial"/>
                <w:b/>
                <w:sz w:val="18"/>
                <w:szCs w:val="20"/>
                <w:u w:val="single"/>
              </w:rPr>
              <w:t>Caquetá</w:t>
            </w:r>
            <w:r w:rsidRPr="003D6F87">
              <w:rPr>
                <w:rFonts w:cs="Arial"/>
                <w:b/>
                <w:sz w:val="18"/>
                <w:szCs w:val="20"/>
              </w:rPr>
              <w:t>:</w:t>
            </w:r>
            <w:r w:rsidRPr="003D6F87">
              <w:rPr>
                <w:rFonts w:cs="Arial"/>
                <w:sz w:val="18"/>
                <w:szCs w:val="20"/>
              </w:rPr>
              <w:t xml:space="preserve"> Florencia, Montañita, Cartagena del Chairá.</w:t>
            </w:r>
          </w:p>
          <w:p w:rsidR="00FB2352" w:rsidRPr="003D6F87" w:rsidRDefault="00FB2352" w:rsidP="00FB2352">
            <w:pPr>
              <w:pStyle w:val="Sinespaciado"/>
              <w:jc w:val="both"/>
              <w:rPr>
                <w:rFonts w:cs="Arial"/>
                <w:sz w:val="18"/>
                <w:szCs w:val="20"/>
              </w:rPr>
            </w:pPr>
          </w:p>
          <w:p w:rsidR="00FB2352" w:rsidRPr="003D6F87" w:rsidRDefault="00FB2352" w:rsidP="00D712DC">
            <w:pPr>
              <w:pStyle w:val="Sinespaciado"/>
              <w:numPr>
                <w:ilvl w:val="0"/>
                <w:numId w:val="151"/>
              </w:numPr>
              <w:ind w:left="360"/>
              <w:jc w:val="both"/>
              <w:rPr>
                <w:rFonts w:cs="Arial"/>
                <w:sz w:val="18"/>
                <w:szCs w:val="20"/>
              </w:rPr>
            </w:pPr>
            <w:r w:rsidRPr="003D6F87">
              <w:rPr>
                <w:rFonts w:cs="Arial"/>
                <w:b/>
                <w:sz w:val="18"/>
                <w:szCs w:val="20"/>
                <w:u w:val="single"/>
              </w:rPr>
              <w:t>Cauca</w:t>
            </w:r>
            <w:r w:rsidRPr="003D6F87">
              <w:rPr>
                <w:rFonts w:cs="Arial"/>
                <w:b/>
                <w:sz w:val="18"/>
                <w:szCs w:val="20"/>
              </w:rPr>
              <w:t xml:space="preserve">: </w:t>
            </w:r>
            <w:r w:rsidRPr="003D6F87">
              <w:rPr>
                <w:rFonts w:cs="Arial"/>
                <w:sz w:val="18"/>
                <w:szCs w:val="20"/>
              </w:rPr>
              <w:t>López de Micay, Buenos Aires, El Tambo, Timbiquí.</w:t>
            </w:r>
          </w:p>
          <w:p w:rsidR="00FB2352" w:rsidRPr="003D6F87" w:rsidRDefault="00FB2352" w:rsidP="00FB2352">
            <w:pPr>
              <w:pStyle w:val="Sinespaciado"/>
              <w:jc w:val="both"/>
              <w:rPr>
                <w:rFonts w:cs="Arial"/>
                <w:sz w:val="18"/>
                <w:szCs w:val="20"/>
              </w:rPr>
            </w:pPr>
          </w:p>
          <w:p w:rsidR="00FB2352" w:rsidRPr="003D6F87" w:rsidRDefault="00FB2352" w:rsidP="00D712DC">
            <w:pPr>
              <w:pStyle w:val="Sinespaciado"/>
              <w:numPr>
                <w:ilvl w:val="0"/>
                <w:numId w:val="151"/>
              </w:numPr>
              <w:ind w:left="360"/>
              <w:jc w:val="both"/>
              <w:rPr>
                <w:rFonts w:cs="Arial"/>
                <w:sz w:val="18"/>
                <w:szCs w:val="20"/>
              </w:rPr>
            </w:pPr>
            <w:r w:rsidRPr="003D6F87">
              <w:rPr>
                <w:rFonts w:cs="Arial"/>
                <w:b/>
                <w:sz w:val="18"/>
                <w:szCs w:val="20"/>
                <w:u w:val="single"/>
              </w:rPr>
              <w:t>Huila</w:t>
            </w:r>
            <w:r w:rsidRPr="003D6F87">
              <w:rPr>
                <w:rFonts w:cs="Arial"/>
                <w:b/>
                <w:sz w:val="18"/>
                <w:szCs w:val="20"/>
              </w:rPr>
              <w:t xml:space="preserve">: </w:t>
            </w:r>
            <w:r w:rsidRPr="003D6F87">
              <w:rPr>
                <w:rFonts w:cs="Arial"/>
                <w:sz w:val="18"/>
                <w:szCs w:val="20"/>
              </w:rPr>
              <w:t>Algeciras, Colombia, Baraya, Tello, Salado Blanco, San Agustín.</w:t>
            </w:r>
          </w:p>
          <w:p w:rsidR="00FB2352" w:rsidRPr="003D6F87" w:rsidRDefault="00FB2352" w:rsidP="00FB2352">
            <w:pPr>
              <w:pStyle w:val="Sinespaciado"/>
              <w:jc w:val="both"/>
              <w:rPr>
                <w:rFonts w:cs="Arial"/>
                <w:sz w:val="18"/>
                <w:szCs w:val="20"/>
              </w:rPr>
            </w:pPr>
          </w:p>
          <w:p w:rsidR="00FB2352" w:rsidRPr="003D6F87" w:rsidRDefault="00FB2352" w:rsidP="00D712DC">
            <w:pPr>
              <w:pStyle w:val="Sinespaciado"/>
              <w:numPr>
                <w:ilvl w:val="0"/>
                <w:numId w:val="151"/>
              </w:numPr>
              <w:ind w:left="360"/>
              <w:jc w:val="both"/>
              <w:rPr>
                <w:rFonts w:cs="Arial"/>
                <w:sz w:val="18"/>
                <w:szCs w:val="20"/>
              </w:rPr>
            </w:pPr>
            <w:r w:rsidRPr="003D6F87">
              <w:rPr>
                <w:rFonts w:cs="Arial"/>
                <w:b/>
                <w:sz w:val="18"/>
                <w:szCs w:val="20"/>
                <w:u w:val="single"/>
              </w:rPr>
              <w:t>Meta</w:t>
            </w:r>
            <w:r w:rsidRPr="003D6F87">
              <w:rPr>
                <w:rFonts w:cs="Arial"/>
                <w:b/>
                <w:sz w:val="18"/>
                <w:szCs w:val="20"/>
              </w:rPr>
              <w:t>:</w:t>
            </w:r>
            <w:r w:rsidRPr="003D6F87">
              <w:rPr>
                <w:rFonts w:cs="Arial"/>
                <w:sz w:val="18"/>
                <w:szCs w:val="20"/>
              </w:rPr>
              <w:t xml:space="preserve"> Villavicencio, Granada, Mesetas, Puerto Rico, Vista Hermosa.</w:t>
            </w:r>
          </w:p>
          <w:p w:rsidR="00FB2352" w:rsidRPr="003D6F87" w:rsidRDefault="00FB2352" w:rsidP="00FB2352">
            <w:pPr>
              <w:pStyle w:val="Sinespaciado"/>
              <w:jc w:val="both"/>
              <w:rPr>
                <w:rFonts w:cs="Arial"/>
                <w:sz w:val="18"/>
                <w:szCs w:val="20"/>
              </w:rPr>
            </w:pPr>
          </w:p>
          <w:p w:rsidR="00FB2352" w:rsidRPr="003D6F87" w:rsidRDefault="00FB2352" w:rsidP="00D712DC">
            <w:pPr>
              <w:pStyle w:val="Sinespaciado"/>
              <w:numPr>
                <w:ilvl w:val="0"/>
                <w:numId w:val="151"/>
              </w:numPr>
              <w:ind w:left="360"/>
              <w:jc w:val="both"/>
              <w:rPr>
                <w:rFonts w:cs="Arial"/>
                <w:sz w:val="18"/>
                <w:szCs w:val="20"/>
              </w:rPr>
            </w:pPr>
            <w:r w:rsidRPr="003D6F87">
              <w:rPr>
                <w:rFonts w:cs="Arial"/>
                <w:b/>
                <w:sz w:val="18"/>
                <w:szCs w:val="20"/>
                <w:u w:val="single"/>
              </w:rPr>
              <w:t>Valle del Cauca</w:t>
            </w:r>
            <w:r w:rsidRPr="003D6F87">
              <w:rPr>
                <w:rFonts w:cs="Arial"/>
                <w:b/>
                <w:sz w:val="18"/>
                <w:szCs w:val="20"/>
              </w:rPr>
              <w:t xml:space="preserve">: </w:t>
            </w:r>
            <w:r w:rsidRPr="003D6F87">
              <w:rPr>
                <w:rFonts w:cs="Arial"/>
                <w:sz w:val="18"/>
                <w:szCs w:val="20"/>
              </w:rPr>
              <w:t>Florida, Pradera.</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$2.595.000.000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183E0C">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eastAsia="Times New Roman" w:cs="Arial"/>
          <w:bCs/>
          <w:lang w:eastAsia="es-CO"/>
        </w:rPr>
      </w:pPr>
    </w:p>
    <w:p w:rsidR="005D2693" w:rsidRDefault="005D2693" w:rsidP="00FB2352">
      <w:pPr>
        <w:pStyle w:val="Sinespaciado"/>
        <w:jc w:val="both"/>
        <w:rPr>
          <w:rFonts w:cs="Arial"/>
          <w:b/>
          <w:u w:val="single"/>
        </w:rPr>
      </w:pPr>
    </w:p>
    <w:p w:rsidR="005D2693" w:rsidRDefault="005D2693" w:rsidP="00FB2352">
      <w:pPr>
        <w:pStyle w:val="Sinespaciado"/>
        <w:jc w:val="both"/>
        <w:rPr>
          <w:rFonts w:cs="Arial"/>
          <w:b/>
          <w:u w:val="single"/>
        </w:rPr>
      </w:pPr>
    </w:p>
    <w:p w:rsidR="00FB2352" w:rsidRPr="00992589" w:rsidRDefault="00FB2352" w:rsidP="00FB2352">
      <w:pPr>
        <w:pStyle w:val="Sinespaciado"/>
        <w:jc w:val="both"/>
        <w:rPr>
          <w:rFonts w:cs="Arial"/>
          <w:b/>
          <w:u w:val="single"/>
        </w:rPr>
      </w:pPr>
      <w:r w:rsidRPr="00992589">
        <w:rPr>
          <w:rFonts w:cs="Arial"/>
          <w:b/>
          <w:u w:val="single"/>
        </w:rPr>
        <w:lastRenderedPageBreak/>
        <w:t>Prevención de utilización de niños, niñas y adolescentes con enfoque de niñez víctima</w:t>
      </w:r>
    </w:p>
    <w:p w:rsidR="00FB2352" w:rsidRPr="00183E0C" w:rsidRDefault="00FB2352" w:rsidP="00FB2352">
      <w:pPr>
        <w:pStyle w:val="Sinespaciado"/>
        <w:jc w:val="both"/>
        <w:rPr>
          <w:rFonts w:cs="Arial"/>
          <w:color w:val="FFFFFF" w:themeColor="background1"/>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2"/>
        <w:gridCol w:w="2694"/>
        <w:gridCol w:w="1712"/>
      </w:tblGrid>
      <w:tr w:rsidR="00183E0C" w:rsidRPr="00183E0C" w:rsidTr="00183E0C">
        <w:trPr>
          <w:tblHeader/>
          <w:jc w:val="center"/>
        </w:trPr>
        <w:tc>
          <w:tcPr>
            <w:tcW w:w="4422"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 xml:space="preserve">Descripción </w:t>
            </w:r>
            <w:r w:rsidR="00183E0C">
              <w:rPr>
                <w:rFonts w:cs="Arial"/>
                <w:b/>
                <w:color w:val="FFFFFF" w:themeColor="background1"/>
                <w:sz w:val="20"/>
                <w:szCs w:val="20"/>
              </w:rPr>
              <w:t>y</w:t>
            </w:r>
            <w:r w:rsidR="00183E0C" w:rsidRPr="00183E0C">
              <w:rPr>
                <w:rFonts w:cs="Arial"/>
                <w:b/>
                <w:color w:val="FFFFFF" w:themeColor="background1"/>
                <w:sz w:val="20"/>
                <w:szCs w:val="20"/>
              </w:rPr>
              <w:t xml:space="preserve"> Metodología</w:t>
            </w:r>
          </w:p>
        </w:tc>
        <w:tc>
          <w:tcPr>
            <w:tcW w:w="2694"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 xml:space="preserve">Municipios </w:t>
            </w:r>
            <w:r w:rsidR="00183E0C" w:rsidRPr="00183E0C">
              <w:rPr>
                <w:rFonts w:cs="Arial"/>
                <w:b/>
                <w:color w:val="FFFFFF" w:themeColor="background1"/>
                <w:sz w:val="20"/>
                <w:szCs w:val="20"/>
              </w:rPr>
              <w:t>Focalizados</w:t>
            </w:r>
          </w:p>
        </w:tc>
        <w:tc>
          <w:tcPr>
            <w:tcW w:w="1712"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Inversión ICBF</w:t>
            </w:r>
          </w:p>
        </w:tc>
      </w:tr>
      <w:tr w:rsidR="00FB2352" w:rsidRPr="00992589" w:rsidTr="00183E0C">
        <w:trPr>
          <w:jc w:val="center"/>
        </w:trPr>
        <w:tc>
          <w:tcPr>
            <w:tcW w:w="4422" w:type="dxa"/>
            <w:vAlign w:val="center"/>
          </w:tcPr>
          <w:p w:rsidR="00FB2352" w:rsidRPr="003D6F87" w:rsidRDefault="00FB2352" w:rsidP="00FB2352">
            <w:pPr>
              <w:pStyle w:val="Sinespaciado"/>
              <w:jc w:val="both"/>
              <w:rPr>
                <w:rFonts w:cs="Arial"/>
                <w:sz w:val="18"/>
                <w:szCs w:val="20"/>
              </w:rPr>
            </w:pPr>
            <w:r w:rsidRPr="003D6F87">
              <w:rPr>
                <w:rFonts w:cs="Arial"/>
                <w:sz w:val="18"/>
                <w:szCs w:val="20"/>
              </w:rPr>
              <w:t>Con las experiencias recogidas en el año 2015 en el campo de la prevención de utilización de niños, niñas y adolescentes por grupos armados ilegales a través del proyecto “</w:t>
            </w:r>
            <w:r w:rsidRPr="003D6F87">
              <w:rPr>
                <w:rFonts w:cs="Arial"/>
                <w:i/>
                <w:sz w:val="18"/>
                <w:szCs w:val="20"/>
              </w:rPr>
              <w:t>Territorio de Sueños</w:t>
            </w:r>
            <w:r w:rsidRPr="003D6F87">
              <w:rPr>
                <w:rFonts w:cs="Arial"/>
                <w:sz w:val="18"/>
                <w:szCs w:val="20"/>
              </w:rPr>
              <w:t>”, para 2016 se han replicado las acciones, con un mayor número de niños, niñas y adolescentes, y llegando a territorios más complejos en cuanto a dinámicas de conflicto armado, presencia de bandas criminales, violencia y utilización.</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 xml:space="preserve">En este caso, nuevamente, se han empleado las herramientas que ofrece la cultura </w:t>
            </w:r>
            <w:r w:rsidRPr="003D6F87">
              <w:rPr>
                <w:rFonts w:cs="Arial"/>
                <w:i/>
                <w:sz w:val="18"/>
                <w:szCs w:val="20"/>
              </w:rPr>
              <w:t>Hip-Hop</w:t>
            </w:r>
            <w:r w:rsidRPr="003D6F87">
              <w:rPr>
                <w:rFonts w:cs="Arial"/>
                <w:sz w:val="18"/>
                <w:szCs w:val="20"/>
              </w:rPr>
              <w:t>, la música urbana y la percusión, para establecer comunicación con los niños, niñas y adolescentes, con sus entornos y con sus comunidades; incorporando el enfoque de niñez víctima en la metodología, por razón de la historia y dinámicas especiales de los territorios focalizados.</w:t>
            </w:r>
          </w:p>
        </w:tc>
        <w:tc>
          <w:tcPr>
            <w:tcW w:w="2694" w:type="dxa"/>
            <w:vAlign w:val="center"/>
          </w:tcPr>
          <w:p w:rsidR="00FB2352" w:rsidRPr="003D6F87" w:rsidRDefault="00FB2352" w:rsidP="00D712DC">
            <w:pPr>
              <w:pStyle w:val="Prrafodelista"/>
              <w:numPr>
                <w:ilvl w:val="0"/>
                <w:numId w:val="154"/>
              </w:numPr>
              <w:spacing w:after="0" w:line="240" w:lineRule="auto"/>
              <w:ind w:left="360"/>
              <w:contextualSpacing/>
              <w:jc w:val="both"/>
              <w:rPr>
                <w:rFonts w:cs="Arial"/>
                <w:sz w:val="18"/>
                <w:szCs w:val="20"/>
              </w:rPr>
            </w:pPr>
            <w:r w:rsidRPr="003D6F87">
              <w:rPr>
                <w:rFonts w:cs="Arial"/>
                <w:b/>
                <w:sz w:val="18"/>
                <w:szCs w:val="20"/>
                <w:u w:val="single"/>
              </w:rPr>
              <w:t>Antioquia</w:t>
            </w:r>
            <w:r w:rsidRPr="003D6F87">
              <w:rPr>
                <w:rFonts w:cs="Arial"/>
                <w:b/>
                <w:sz w:val="18"/>
                <w:szCs w:val="20"/>
              </w:rPr>
              <w:t>:</w:t>
            </w:r>
            <w:r w:rsidRPr="003D6F87">
              <w:rPr>
                <w:rFonts w:cs="Arial"/>
                <w:sz w:val="18"/>
                <w:szCs w:val="20"/>
              </w:rPr>
              <w:t xml:space="preserve"> Zaragoza, El Bagre, Caucasia, Medellín, San Juan de Urabá, Arboletes.</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4"/>
              </w:numPr>
              <w:spacing w:after="0" w:line="240" w:lineRule="auto"/>
              <w:ind w:left="360"/>
              <w:contextualSpacing/>
              <w:jc w:val="both"/>
              <w:rPr>
                <w:rFonts w:cs="Arial"/>
                <w:sz w:val="18"/>
                <w:szCs w:val="20"/>
              </w:rPr>
            </w:pPr>
            <w:r w:rsidRPr="003D6F87">
              <w:rPr>
                <w:rFonts w:cs="Arial"/>
                <w:b/>
                <w:sz w:val="18"/>
                <w:szCs w:val="20"/>
                <w:u w:val="single"/>
              </w:rPr>
              <w:t>Bolívar</w:t>
            </w:r>
            <w:r w:rsidRPr="003D6F87">
              <w:rPr>
                <w:rFonts w:cs="Arial"/>
                <w:b/>
                <w:sz w:val="18"/>
                <w:szCs w:val="20"/>
              </w:rPr>
              <w:t>:</w:t>
            </w:r>
            <w:r w:rsidRPr="003D6F87">
              <w:rPr>
                <w:rFonts w:cs="Arial"/>
                <w:sz w:val="18"/>
                <w:szCs w:val="20"/>
              </w:rPr>
              <w:t xml:space="preserve"> San Jacinto del Cauca.</w:t>
            </w:r>
          </w:p>
          <w:p w:rsidR="00FB2352" w:rsidRPr="003D6F87" w:rsidRDefault="00FB2352" w:rsidP="00FB2352">
            <w:pPr>
              <w:spacing w:after="0" w:line="240" w:lineRule="auto"/>
              <w:jc w:val="both"/>
              <w:rPr>
                <w:rFonts w:cs="Arial"/>
                <w:b/>
                <w:sz w:val="18"/>
                <w:szCs w:val="20"/>
              </w:rPr>
            </w:pPr>
          </w:p>
          <w:p w:rsidR="00FB2352" w:rsidRPr="003D6F87" w:rsidRDefault="00FB2352" w:rsidP="00D712DC">
            <w:pPr>
              <w:pStyle w:val="Prrafodelista"/>
              <w:numPr>
                <w:ilvl w:val="0"/>
                <w:numId w:val="154"/>
              </w:numPr>
              <w:spacing w:after="0" w:line="240" w:lineRule="auto"/>
              <w:ind w:left="360"/>
              <w:contextualSpacing/>
              <w:jc w:val="both"/>
              <w:rPr>
                <w:rFonts w:cs="Arial"/>
                <w:sz w:val="18"/>
                <w:szCs w:val="20"/>
              </w:rPr>
            </w:pPr>
            <w:r w:rsidRPr="003D6F87">
              <w:rPr>
                <w:rFonts w:cs="Arial"/>
                <w:b/>
                <w:sz w:val="18"/>
                <w:szCs w:val="20"/>
                <w:u w:val="single"/>
              </w:rPr>
              <w:t>Córdoba</w:t>
            </w:r>
            <w:r w:rsidRPr="003D6F87">
              <w:rPr>
                <w:rFonts w:cs="Arial"/>
                <w:sz w:val="18"/>
                <w:szCs w:val="20"/>
              </w:rPr>
              <w:t>: La Apartada, Montelíbano, Planeta Rica.</w:t>
            </w:r>
          </w:p>
        </w:tc>
        <w:tc>
          <w:tcPr>
            <w:tcW w:w="1712"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$1.174.000.000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183E0C">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embarazo en la adolescencia y explotación sexual comercial de niñas y adolescentes</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60"/>
        <w:gridCol w:w="1745"/>
      </w:tblGrid>
      <w:tr w:rsidR="00FB2352" w:rsidRPr="00992589" w:rsidTr="00183E0C">
        <w:trPr>
          <w:tblHeader/>
          <w:jc w:val="center"/>
        </w:trPr>
        <w:tc>
          <w:tcPr>
            <w:tcW w:w="4423"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rPr>
            </w:pPr>
            <w:r w:rsidRPr="00183E0C">
              <w:rPr>
                <w:rFonts w:cs="Arial"/>
                <w:b/>
                <w:color w:val="FFFFFF" w:themeColor="background1"/>
                <w:sz w:val="20"/>
              </w:rPr>
              <w:t xml:space="preserve">Descripción </w:t>
            </w:r>
            <w:r w:rsidR="00183E0C">
              <w:rPr>
                <w:rFonts w:cs="Arial"/>
                <w:b/>
                <w:color w:val="FFFFFF" w:themeColor="background1"/>
                <w:sz w:val="20"/>
              </w:rPr>
              <w:t>y</w:t>
            </w:r>
            <w:r w:rsidR="00183E0C" w:rsidRPr="00183E0C">
              <w:rPr>
                <w:rFonts w:cs="Arial"/>
                <w:b/>
                <w:color w:val="FFFFFF" w:themeColor="background1"/>
                <w:sz w:val="20"/>
              </w:rPr>
              <w:t xml:space="preserve"> Metodología</w:t>
            </w:r>
          </w:p>
        </w:tc>
        <w:tc>
          <w:tcPr>
            <w:tcW w:w="2660"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rPr>
            </w:pPr>
            <w:r w:rsidRPr="00183E0C">
              <w:rPr>
                <w:rFonts w:cs="Arial"/>
                <w:b/>
                <w:color w:val="FFFFFF" w:themeColor="background1"/>
                <w:sz w:val="20"/>
              </w:rPr>
              <w:t xml:space="preserve">Municipios </w:t>
            </w:r>
            <w:r w:rsidR="00183E0C" w:rsidRPr="00183E0C">
              <w:rPr>
                <w:rFonts w:cs="Arial"/>
                <w:b/>
                <w:color w:val="FFFFFF" w:themeColor="background1"/>
                <w:sz w:val="20"/>
              </w:rPr>
              <w:t>Focalizados</w:t>
            </w:r>
          </w:p>
        </w:tc>
        <w:tc>
          <w:tcPr>
            <w:tcW w:w="1745"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rPr>
            </w:pPr>
            <w:r w:rsidRPr="00183E0C">
              <w:rPr>
                <w:rFonts w:cs="Arial"/>
                <w:b/>
                <w:color w:val="FFFFFF" w:themeColor="background1"/>
                <w:sz w:val="20"/>
              </w:rPr>
              <w:t>Inversión ICBF</w:t>
            </w:r>
          </w:p>
        </w:tc>
      </w:tr>
      <w:tr w:rsidR="00FB2352" w:rsidRPr="003D6F87" w:rsidTr="00183E0C">
        <w:trPr>
          <w:jc w:val="center"/>
        </w:trPr>
        <w:tc>
          <w:tcPr>
            <w:tcW w:w="4423" w:type="dxa"/>
            <w:vAlign w:val="center"/>
          </w:tcPr>
          <w:p w:rsidR="00FB2352" w:rsidRPr="003D6F87" w:rsidRDefault="00FB2352" w:rsidP="00FB2352">
            <w:pPr>
              <w:pStyle w:val="Sinespaciado"/>
              <w:jc w:val="both"/>
              <w:rPr>
                <w:rFonts w:cs="Arial"/>
                <w:sz w:val="18"/>
              </w:rPr>
            </w:pPr>
            <w:r w:rsidRPr="003D6F87">
              <w:rPr>
                <w:rFonts w:cs="Arial"/>
                <w:sz w:val="18"/>
              </w:rPr>
              <w:t>La metodología del proyecto “</w:t>
            </w:r>
            <w:r w:rsidRPr="003D6F87">
              <w:rPr>
                <w:rFonts w:cs="Arial"/>
                <w:i/>
                <w:sz w:val="18"/>
              </w:rPr>
              <w:t>Supercampeonas</w:t>
            </w:r>
            <w:r w:rsidRPr="003D6F87">
              <w:rPr>
                <w:rFonts w:cs="Arial"/>
                <w:sz w:val="18"/>
              </w:rPr>
              <w:t>”, formulado en 2015, logra combinar de manera acertada la formación deportiva del fútbol y las porras con el empoderamiento de la niña, adolescente y mujer, como sujeto de derechos. El fútbol, y su cultura, es una herramienta que no solamente atrae y gusta a los varones, sino que cada vez más es también un deporte de mujeres.</w:t>
            </w:r>
          </w:p>
          <w:p w:rsidR="00FB2352" w:rsidRPr="003D6F87" w:rsidRDefault="00FB2352" w:rsidP="00FB2352">
            <w:pPr>
              <w:pStyle w:val="Sinespaciado"/>
              <w:jc w:val="both"/>
              <w:rPr>
                <w:rFonts w:cs="Arial"/>
                <w:sz w:val="18"/>
              </w:rPr>
            </w:pPr>
          </w:p>
          <w:p w:rsidR="00FB2352" w:rsidRPr="003D6F87" w:rsidRDefault="00FB2352" w:rsidP="00FB2352">
            <w:pPr>
              <w:pStyle w:val="Sinespaciado"/>
              <w:jc w:val="both"/>
              <w:rPr>
                <w:rFonts w:cs="Arial"/>
                <w:sz w:val="18"/>
              </w:rPr>
            </w:pPr>
            <w:r w:rsidRPr="003D6F87">
              <w:rPr>
                <w:rFonts w:cs="Arial"/>
                <w:sz w:val="18"/>
              </w:rPr>
              <w:t>Al ser de tanto atractivo en las niñas y adolescentes, el fútbol es un instrumento óptimo para enfatizar en la prevención del embarazo en la adolescencia y la prevención de las violencias sexuales. Sobre esto último, particularmente, el proceso incorpora un fuerte trabajo metodológico hacia la prevención de explotación sexual comercial de niñas y adolescentes. Por lo anterior, la focalización territorial del proyecto se centró en el corredor vial y turístico del Magdalena Medio, caracterizado por la ocurrencia de esta problemática.</w:t>
            </w:r>
          </w:p>
        </w:tc>
        <w:tc>
          <w:tcPr>
            <w:tcW w:w="2660" w:type="dxa"/>
            <w:vAlign w:val="center"/>
          </w:tcPr>
          <w:p w:rsidR="00FB2352" w:rsidRPr="003D6F87" w:rsidRDefault="00FB2352" w:rsidP="00D712DC">
            <w:pPr>
              <w:pStyle w:val="Sinespaciado"/>
              <w:numPr>
                <w:ilvl w:val="0"/>
                <w:numId w:val="152"/>
              </w:numPr>
              <w:ind w:left="360"/>
              <w:jc w:val="both"/>
              <w:rPr>
                <w:rFonts w:cs="Arial"/>
                <w:sz w:val="18"/>
              </w:rPr>
            </w:pPr>
            <w:r w:rsidRPr="003D6F87">
              <w:rPr>
                <w:rFonts w:cs="Arial"/>
                <w:b/>
                <w:sz w:val="18"/>
                <w:u w:val="single"/>
              </w:rPr>
              <w:t>Antioquia</w:t>
            </w:r>
            <w:r w:rsidRPr="003D6F87">
              <w:rPr>
                <w:rFonts w:cs="Arial"/>
                <w:b/>
                <w:sz w:val="18"/>
              </w:rPr>
              <w:t>:</w:t>
            </w:r>
            <w:r w:rsidRPr="003D6F87">
              <w:rPr>
                <w:rFonts w:cs="Arial"/>
                <w:sz w:val="18"/>
              </w:rPr>
              <w:t xml:space="preserve"> Puerto Triunfo, Puerto Nare, Puerto Berrío y Yondó.</w:t>
            </w:r>
          </w:p>
          <w:p w:rsidR="00FB2352" w:rsidRPr="003D6F87" w:rsidRDefault="00FB2352" w:rsidP="00FB2352">
            <w:pPr>
              <w:pStyle w:val="Sinespaciado"/>
              <w:rPr>
                <w:rFonts w:cs="Arial"/>
                <w:sz w:val="18"/>
              </w:rPr>
            </w:pPr>
          </w:p>
          <w:p w:rsidR="00FB2352" w:rsidRPr="003D6F87" w:rsidRDefault="00FB2352" w:rsidP="00D712DC">
            <w:pPr>
              <w:pStyle w:val="Sinespaciado"/>
              <w:numPr>
                <w:ilvl w:val="0"/>
                <w:numId w:val="152"/>
              </w:numPr>
              <w:ind w:left="360"/>
              <w:jc w:val="both"/>
              <w:rPr>
                <w:rFonts w:cs="Arial"/>
                <w:b/>
                <w:sz w:val="18"/>
              </w:rPr>
            </w:pPr>
            <w:r w:rsidRPr="003D6F87">
              <w:rPr>
                <w:rFonts w:cs="Arial"/>
                <w:b/>
                <w:sz w:val="18"/>
                <w:u w:val="single"/>
              </w:rPr>
              <w:t>Boyacá</w:t>
            </w:r>
            <w:r w:rsidRPr="003D6F87">
              <w:rPr>
                <w:rFonts w:cs="Arial"/>
                <w:b/>
                <w:sz w:val="18"/>
              </w:rPr>
              <w:t xml:space="preserve">: </w:t>
            </w:r>
            <w:r w:rsidRPr="003D6F87">
              <w:rPr>
                <w:rFonts w:cs="Arial"/>
                <w:sz w:val="18"/>
              </w:rPr>
              <w:t>Puerto Boyacá</w:t>
            </w:r>
            <w:r w:rsidRPr="003D6F87">
              <w:rPr>
                <w:rFonts w:cs="Arial"/>
                <w:b/>
                <w:sz w:val="18"/>
              </w:rPr>
              <w:t>.</w:t>
            </w:r>
          </w:p>
          <w:p w:rsidR="00FB2352" w:rsidRPr="003D6F87" w:rsidRDefault="00FB2352" w:rsidP="00FB2352">
            <w:pPr>
              <w:pStyle w:val="Sinespaciado"/>
              <w:ind w:left="-43"/>
              <w:jc w:val="both"/>
              <w:rPr>
                <w:rFonts w:cs="Arial"/>
                <w:b/>
                <w:sz w:val="18"/>
              </w:rPr>
            </w:pPr>
          </w:p>
          <w:p w:rsidR="00FB2352" w:rsidRPr="003D6F87" w:rsidRDefault="00FB2352" w:rsidP="00D712DC">
            <w:pPr>
              <w:pStyle w:val="Sinespaciado"/>
              <w:numPr>
                <w:ilvl w:val="0"/>
                <w:numId w:val="152"/>
              </w:numPr>
              <w:ind w:left="360"/>
              <w:jc w:val="both"/>
              <w:rPr>
                <w:rFonts w:cs="Arial"/>
                <w:b/>
                <w:sz w:val="18"/>
              </w:rPr>
            </w:pPr>
            <w:r w:rsidRPr="003D6F87">
              <w:rPr>
                <w:rFonts w:cs="Arial"/>
                <w:b/>
                <w:sz w:val="18"/>
                <w:u w:val="single"/>
              </w:rPr>
              <w:t>Caldas</w:t>
            </w:r>
            <w:r w:rsidRPr="003D6F87">
              <w:rPr>
                <w:rFonts w:cs="Arial"/>
                <w:b/>
                <w:sz w:val="18"/>
              </w:rPr>
              <w:t xml:space="preserve">: </w:t>
            </w:r>
            <w:r w:rsidRPr="003D6F87">
              <w:rPr>
                <w:rFonts w:cs="Arial"/>
                <w:sz w:val="18"/>
              </w:rPr>
              <w:t>La Dorada.</w:t>
            </w:r>
          </w:p>
          <w:p w:rsidR="00FB2352" w:rsidRPr="003D6F87" w:rsidRDefault="00FB2352" w:rsidP="00FB2352">
            <w:pPr>
              <w:pStyle w:val="Sinespaciado"/>
              <w:ind w:left="-43"/>
              <w:jc w:val="both"/>
              <w:rPr>
                <w:rFonts w:cs="Arial"/>
                <w:b/>
                <w:sz w:val="18"/>
              </w:rPr>
            </w:pPr>
          </w:p>
          <w:p w:rsidR="00FB2352" w:rsidRPr="003D6F87" w:rsidRDefault="00FB2352" w:rsidP="00D712DC">
            <w:pPr>
              <w:pStyle w:val="Sinespaciado"/>
              <w:numPr>
                <w:ilvl w:val="0"/>
                <w:numId w:val="152"/>
              </w:numPr>
              <w:ind w:left="360"/>
              <w:jc w:val="both"/>
              <w:rPr>
                <w:rFonts w:cs="Arial"/>
                <w:b/>
                <w:sz w:val="18"/>
              </w:rPr>
            </w:pPr>
            <w:r w:rsidRPr="003D6F87">
              <w:rPr>
                <w:rFonts w:cs="Arial"/>
                <w:b/>
                <w:sz w:val="18"/>
                <w:u w:val="single"/>
              </w:rPr>
              <w:t>Cundinamarca</w:t>
            </w:r>
            <w:r w:rsidRPr="003D6F87">
              <w:rPr>
                <w:rFonts w:cs="Arial"/>
                <w:b/>
                <w:sz w:val="18"/>
              </w:rPr>
              <w:t xml:space="preserve">: </w:t>
            </w:r>
            <w:r w:rsidRPr="003D6F87">
              <w:rPr>
                <w:rFonts w:cs="Arial"/>
                <w:sz w:val="18"/>
              </w:rPr>
              <w:t>Girardot, Puerto Salgar y Guaduas.</w:t>
            </w:r>
          </w:p>
          <w:p w:rsidR="00FB2352" w:rsidRPr="003D6F87" w:rsidRDefault="00FB2352" w:rsidP="00FB2352">
            <w:pPr>
              <w:pStyle w:val="Sinespaciado"/>
              <w:ind w:left="-43"/>
              <w:jc w:val="both"/>
              <w:rPr>
                <w:rFonts w:cs="Arial"/>
                <w:b/>
                <w:sz w:val="18"/>
              </w:rPr>
            </w:pPr>
          </w:p>
          <w:p w:rsidR="00FB2352" w:rsidRPr="003D6F87" w:rsidRDefault="00FB2352" w:rsidP="00D712DC">
            <w:pPr>
              <w:pStyle w:val="Sinespaciado"/>
              <w:numPr>
                <w:ilvl w:val="0"/>
                <w:numId w:val="152"/>
              </w:numPr>
              <w:ind w:left="360"/>
              <w:jc w:val="both"/>
              <w:rPr>
                <w:rFonts w:cs="Arial"/>
                <w:sz w:val="18"/>
              </w:rPr>
            </w:pPr>
            <w:r w:rsidRPr="003D6F87">
              <w:rPr>
                <w:rFonts w:cs="Arial"/>
                <w:b/>
                <w:sz w:val="18"/>
                <w:u w:val="single"/>
              </w:rPr>
              <w:t>Tolima</w:t>
            </w:r>
            <w:r w:rsidRPr="003D6F87">
              <w:rPr>
                <w:rFonts w:cs="Arial"/>
                <w:b/>
                <w:sz w:val="18"/>
              </w:rPr>
              <w:t xml:space="preserve">: </w:t>
            </w:r>
            <w:r w:rsidRPr="003D6F87">
              <w:rPr>
                <w:rFonts w:cs="Arial"/>
                <w:sz w:val="18"/>
              </w:rPr>
              <w:t>Chaparral, Melgar y Honda.</w:t>
            </w:r>
          </w:p>
        </w:tc>
        <w:tc>
          <w:tcPr>
            <w:tcW w:w="1745" w:type="dxa"/>
            <w:vAlign w:val="center"/>
          </w:tcPr>
          <w:p w:rsidR="00FB2352" w:rsidRPr="003D6F87" w:rsidRDefault="00FB2352" w:rsidP="00FB2352">
            <w:pPr>
              <w:pStyle w:val="Sinespaciado"/>
              <w:jc w:val="center"/>
              <w:rPr>
                <w:rFonts w:cs="Arial"/>
                <w:sz w:val="18"/>
              </w:rPr>
            </w:pPr>
            <w:r w:rsidRPr="003D6F87">
              <w:rPr>
                <w:rFonts w:cs="Arial"/>
                <w:sz w:val="18"/>
              </w:rPr>
              <w:t>$2.700.000.000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183E0C">
        <w:rPr>
          <w:rFonts w:cs="Arial"/>
          <w:b/>
          <w:sz w:val="16"/>
        </w:rPr>
        <w:t>Fuente:</w:t>
      </w:r>
      <w:r w:rsidR="00FB2352" w:rsidRPr="00992589">
        <w:rPr>
          <w:rFonts w:cs="Arial"/>
          <w:sz w:val="16"/>
        </w:rPr>
        <w:t xml:space="preserve"> Elaboración Propia DNA- Equipo PEA</w:t>
      </w:r>
    </w:p>
    <w:p w:rsidR="00FB2352" w:rsidRPr="00992589" w:rsidRDefault="00FB2352" w:rsidP="00FB2352">
      <w:pPr>
        <w:pStyle w:val="Sinespaciado"/>
        <w:jc w:val="both"/>
        <w:rPr>
          <w:rFonts w:eastAsia="Times New Roman" w:cs="Arial"/>
          <w:bCs/>
          <w:lang w:eastAsia="es-CO"/>
        </w:rPr>
      </w:pPr>
    </w:p>
    <w:p w:rsidR="00FB2352" w:rsidRPr="00992589" w:rsidRDefault="00FB2352" w:rsidP="00FB2352">
      <w:pPr>
        <w:pStyle w:val="Sinespaciado"/>
        <w:jc w:val="both"/>
        <w:rPr>
          <w:rFonts w:cs="Arial"/>
          <w:b/>
          <w:u w:val="single"/>
        </w:rPr>
      </w:pPr>
      <w:r w:rsidRPr="00992589">
        <w:rPr>
          <w:rFonts w:cs="Arial"/>
          <w:b/>
          <w:u w:val="single"/>
        </w:rPr>
        <w:t xml:space="preserve">Prevención del embarazo subsiguiente </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60"/>
        <w:gridCol w:w="1745"/>
      </w:tblGrid>
      <w:tr w:rsidR="00FB2352" w:rsidRPr="00992589" w:rsidTr="00183E0C">
        <w:trPr>
          <w:tblHeader/>
          <w:jc w:val="center"/>
        </w:trPr>
        <w:tc>
          <w:tcPr>
            <w:tcW w:w="4423"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 xml:space="preserve">Descripción </w:t>
            </w:r>
            <w:r w:rsidR="00183E0C">
              <w:rPr>
                <w:rFonts w:cs="Arial"/>
                <w:b/>
                <w:color w:val="FFFFFF" w:themeColor="background1"/>
                <w:sz w:val="20"/>
                <w:szCs w:val="20"/>
              </w:rPr>
              <w:t>y</w:t>
            </w:r>
            <w:r w:rsidR="00183E0C" w:rsidRPr="00183E0C">
              <w:rPr>
                <w:rFonts w:cs="Arial"/>
                <w:b/>
                <w:color w:val="FFFFFF" w:themeColor="background1"/>
                <w:sz w:val="20"/>
                <w:szCs w:val="20"/>
              </w:rPr>
              <w:t xml:space="preserve"> Metodología</w:t>
            </w:r>
          </w:p>
        </w:tc>
        <w:tc>
          <w:tcPr>
            <w:tcW w:w="2660"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 xml:space="preserve">Municipios </w:t>
            </w:r>
            <w:r w:rsidR="00183E0C" w:rsidRPr="00183E0C">
              <w:rPr>
                <w:rFonts w:cs="Arial"/>
                <w:b/>
                <w:color w:val="FFFFFF" w:themeColor="background1"/>
                <w:sz w:val="20"/>
                <w:szCs w:val="20"/>
              </w:rPr>
              <w:t>Focalizados</w:t>
            </w:r>
          </w:p>
        </w:tc>
        <w:tc>
          <w:tcPr>
            <w:tcW w:w="1745" w:type="dxa"/>
            <w:shd w:val="clear" w:color="auto" w:fill="76923C" w:themeFill="accent3" w:themeFillShade="BF"/>
          </w:tcPr>
          <w:p w:rsidR="00FB2352" w:rsidRPr="00183E0C" w:rsidRDefault="00FB2352" w:rsidP="00FB2352">
            <w:pPr>
              <w:pStyle w:val="Sinespaciado"/>
              <w:jc w:val="center"/>
              <w:rPr>
                <w:rFonts w:cs="Arial"/>
                <w:b/>
                <w:color w:val="FFFFFF" w:themeColor="background1"/>
                <w:sz w:val="20"/>
                <w:szCs w:val="20"/>
              </w:rPr>
            </w:pPr>
            <w:r w:rsidRPr="00183E0C">
              <w:rPr>
                <w:rFonts w:cs="Arial"/>
                <w:b/>
                <w:color w:val="FFFFFF" w:themeColor="background1"/>
                <w:sz w:val="20"/>
                <w:szCs w:val="20"/>
              </w:rPr>
              <w:t>Inversión ICBF</w:t>
            </w:r>
          </w:p>
        </w:tc>
      </w:tr>
      <w:tr w:rsidR="00FB2352" w:rsidRPr="00992589" w:rsidTr="00183E0C">
        <w:trPr>
          <w:jc w:val="center"/>
        </w:trPr>
        <w:tc>
          <w:tcPr>
            <w:tcW w:w="4423" w:type="dxa"/>
            <w:vAlign w:val="center"/>
          </w:tcPr>
          <w:p w:rsidR="00FB2352" w:rsidRPr="003D6F87" w:rsidRDefault="00FB2352" w:rsidP="00FB2352">
            <w:pPr>
              <w:pStyle w:val="Sinespaciado"/>
              <w:jc w:val="both"/>
              <w:rPr>
                <w:rFonts w:cs="Arial"/>
                <w:sz w:val="18"/>
                <w:szCs w:val="20"/>
              </w:rPr>
            </w:pPr>
            <w:r w:rsidRPr="003D6F87">
              <w:rPr>
                <w:rFonts w:cs="Arial"/>
                <w:sz w:val="18"/>
                <w:szCs w:val="20"/>
              </w:rPr>
              <w:t xml:space="preserve">Este año se ha desarrollado una acción encaminada hacia el trabajo de promoción de derechos y </w:t>
            </w:r>
            <w:r w:rsidRPr="003D6F87">
              <w:rPr>
                <w:rFonts w:cs="Arial"/>
                <w:sz w:val="18"/>
                <w:szCs w:val="20"/>
              </w:rPr>
              <w:lastRenderedPageBreak/>
              <w:t>prevención de vulneraciones con padres y madres adolescentes, madres adolescentes gestantes y niños, niñas y adolescentes en general, alrededor de la temática del embarazo en la adolescencia, el embarazo subsecuente y los derechos sexuales y reproductivos.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En este caso se emplean elementos artísticos de la danza moderna, el teatro alternativo y la pintura en el cuerpo (“</w:t>
            </w:r>
            <w:r w:rsidRPr="003D6F87">
              <w:rPr>
                <w:rFonts w:cs="Arial"/>
                <w:i/>
                <w:sz w:val="18"/>
                <w:szCs w:val="20"/>
              </w:rPr>
              <w:t>body painting</w:t>
            </w:r>
            <w:r w:rsidRPr="003D6F87">
              <w:rPr>
                <w:rFonts w:cs="Arial"/>
                <w:sz w:val="18"/>
                <w:szCs w:val="20"/>
              </w:rPr>
              <w:t>”) como instrumentos transformadores. Con estas disciplinas que se asocian al uso y movimiento del cuerpo, se fortalece el auto-conocimiento, la comprensión de la sexualidad y la diversidad. Todo ello, de manera transversal, encaminado a prevenir embarazos en la adolescencia y embarazos subsecuentes, redefinir los roles de padres y madres, y promocionar los derechos sexuales y reproductivos.</w:t>
            </w:r>
          </w:p>
        </w:tc>
        <w:tc>
          <w:tcPr>
            <w:tcW w:w="2660" w:type="dxa"/>
            <w:vAlign w:val="center"/>
          </w:tcPr>
          <w:p w:rsidR="00FB2352" w:rsidRPr="003D6F87" w:rsidRDefault="00FB2352" w:rsidP="00D712DC">
            <w:pPr>
              <w:pStyle w:val="Prrafodelista"/>
              <w:numPr>
                <w:ilvl w:val="0"/>
                <w:numId w:val="153"/>
              </w:numPr>
              <w:spacing w:after="0" w:line="240" w:lineRule="auto"/>
              <w:ind w:left="360"/>
              <w:contextualSpacing/>
              <w:jc w:val="both"/>
              <w:rPr>
                <w:rFonts w:cs="Arial"/>
                <w:sz w:val="18"/>
                <w:szCs w:val="20"/>
              </w:rPr>
            </w:pPr>
            <w:r w:rsidRPr="003D6F87">
              <w:rPr>
                <w:rFonts w:cs="Arial"/>
                <w:b/>
                <w:sz w:val="18"/>
                <w:szCs w:val="20"/>
                <w:u w:val="single"/>
              </w:rPr>
              <w:lastRenderedPageBreak/>
              <w:t>Antioquia</w:t>
            </w:r>
            <w:r w:rsidRPr="003D6F87">
              <w:rPr>
                <w:rFonts w:cs="Arial"/>
                <w:b/>
                <w:sz w:val="18"/>
                <w:szCs w:val="20"/>
              </w:rPr>
              <w:t xml:space="preserve">: </w:t>
            </w:r>
            <w:r w:rsidRPr="003D6F87">
              <w:rPr>
                <w:rFonts w:cs="Arial"/>
                <w:sz w:val="18"/>
                <w:szCs w:val="20"/>
              </w:rPr>
              <w:t>Medellín, Bello.</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3"/>
              </w:numPr>
              <w:spacing w:after="0" w:line="240" w:lineRule="auto"/>
              <w:ind w:left="360"/>
              <w:contextualSpacing/>
              <w:jc w:val="both"/>
              <w:rPr>
                <w:rFonts w:cs="Arial"/>
                <w:sz w:val="18"/>
                <w:szCs w:val="20"/>
              </w:rPr>
            </w:pPr>
            <w:r w:rsidRPr="003D6F87">
              <w:rPr>
                <w:rFonts w:cs="Arial"/>
                <w:b/>
                <w:sz w:val="18"/>
                <w:szCs w:val="20"/>
                <w:u w:val="single"/>
              </w:rPr>
              <w:t>Bolívar</w:t>
            </w:r>
            <w:r w:rsidRPr="003D6F87">
              <w:rPr>
                <w:rFonts w:cs="Arial"/>
                <w:b/>
                <w:sz w:val="18"/>
                <w:szCs w:val="20"/>
              </w:rPr>
              <w:t>:</w:t>
            </w:r>
            <w:r w:rsidRPr="003D6F87">
              <w:rPr>
                <w:rFonts w:cs="Arial"/>
                <w:sz w:val="18"/>
                <w:szCs w:val="20"/>
              </w:rPr>
              <w:t xml:space="preserve"> Cartagena.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3"/>
              </w:numPr>
              <w:spacing w:after="0" w:line="240" w:lineRule="auto"/>
              <w:ind w:left="360"/>
              <w:contextualSpacing/>
              <w:jc w:val="both"/>
              <w:rPr>
                <w:rFonts w:cs="Arial"/>
                <w:sz w:val="18"/>
                <w:szCs w:val="20"/>
              </w:rPr>
            </w:pPr>
            <w:r w:rsidRPr="003D6F87">
              <w:rPr>
                <w:rFonts w:cs="Arial"/>
                <w:b/>
                <w:sz w:val="18"/>
                <w:szCs w:val="20"/>
                <w:u w:val="single"/>
              </w:rPr>
              <w:t>Bogotá</w:t>
            </w:r>
            <w:r w:rsidRPr="003D6F87">
              <w:rPr>
                <w:rFonts w:cs="Arial"/>
                <w:b/>
                <w:sz w:val="18"/>
                <w:szCs w:val="20"/>
              </w:rPr>
              <w:t xml:space="preserve"> D.C.</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3"/>
              </w:numPr>
              <w:spacing w:after="0" w:line="240" w:lineRule="auto"/>
              <w:ind w:left="360"/>
              <w:contextualSpacing/>
              <w:jc w:val="both"/>
              <w:rPr>
                <w:rFonts w:cs="Arial"/>
                <w:sz w:val="18"/>
                <w:szCs w:val="20"/>
              </w:rPr>
            </w:pPr>
            <w:r w:rsidRPr="003D6F87">
              <w:rPr>
                <w:rFonts w:cs="Arial"/>
                <w:b/>
                <w:sz w:val="18"/>
                <w:szCs w:val="20"/>
                <w:u w:val="single"/>
              </w:rPr>
              <w:t>Córdoba</w:t>
            </w:r>
            <w:r w:rsidRPr="003D6F87">
              <w:rPr>
                <w:rFonts w:cs="Arial"/>
                <w:b/>
                <w:sz w:val="18"/>
                <w:szCs w:val="20"/>
              </w:rPr>
              <w:t>:</w:t>
            </w:r>
            <w:r w:rsidRPr="003D6F87">
              <w:rPr>
                <w:rFonts w:cs="Arial"/>
                <w:sz w:val="18"/>
                <w:szCs w:val="20"/>
              </w:rPr>
              <w:t xml:space="preserve"> Montería, Lorica, Planeta Rica.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3"/>
              </w:numPr>
              <w:spacing w:after="0" w:line="240" w:lineRule="auto"/>
              <w:ind w:left="360"/>
              <w:contextualSpacing/>
              <w:jc w:val="both"/>
              <w:rPr>
                <w:rFonts w:cs="Arial"/>
                <w:sz w:val="18"/>
                <w:szCs w:val="20"/>
              </w:rPr>
            </w:pPr>
            <w:r w:rsidRPr="003D6F87">
              <w:rPr>
                <w:rFonts w:cs="Arial"/>
                <w:b/>
                <w:sz w:val="18"/>
                <w:szCs w:val="20"/>
                <w:u w:val="single"/>
              </w:rPr>
              <w:t>Magdalena</w:t>
            </w:r>
            <w:r w:rsidRPr="003D6F87">
              <w:rPr>
                <w:rFonts w:cs="Arial"/>
                <w:b/>
                <w:sz w:val="18"/>
                <w:szCs w:val="20"/>
              </w:rPr>
              <w:t>:</w:t>
            </w:r>
            <w:r w:rsidRPr="003D6F87">
              <w:rPr>
                <w:rFonts w:cs="Arial"/>
                <w:sz w:val="18"/>
                <w:szCs w:val="20"/>
              </w:rPr>
              <w:t xml:space="preserve"> Santa Marta, Ciénaga, Plato, Fundación.</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Sinespaciado"/>
              <w:numPr>
                <w:ilvl w:val="0"/>
                <w:numId w:val="153"/>
              </w:numPr>
              <w:ind w:left="360"/>
              <w:jc w:val="both"/>
              <w:rPr>
                <w:rFonts w:cs="Arial"/>
                <w:sz w:val="18"/>
                <w:szCs w:val="20"/>
              </w:rPr>
            </w:pPr>
            <w:r w:rsidRPr="003D6F87">
              <w:rPr>
                <w:rFonts w:cs="Arial"/>
                <w:b/>
                <w:sz w:val="18"/>
                <w:szCs w:val="20"/>
                <w:u w:val="single"/>
              </w:rPr>
              <w:t>Nariño</w:t>
            </w:r>
            <w:r w:rsidRPr="003D6F87">
              <w:rPr>
                <w:rFonts w:cs="Arial"/>
                <w:b/>
                <w:sz w:val="18"/>
                <w:szCs w:val="20"/>
              </w:rPr>
              <w:t>:</w:t>
            </w:r>
            <w:r w:rsidRPr="003D6F87">
              <w:rPr>
                <w:rFonts w:cs="Arial"/>
                <w:sz w:val="18"/>
                <w:szCs w:val="20"/>
              </w:rPr>
              <w:t xml:space="preserve"> Pasto, Tumaco.</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lastRenderedPageBreak/>
              <w:t>$1.200.000.000</w:t>
            </w:r>
          </w:p>
        </w:tc>
      </w:tr>
    </w:tbl>
    <w:p w:rsidR="00FB2352" w:rsidRPr="00992589" w:rsidRDefault="005044B5" w:rsidP="00FB2352">
      <w:pPr>
        <w:pStyle w:val="Sinespaciado"/>
        <w:jc w:val="both"/>
        <w:rPr>
          <w:rFonts w:cs="Arial"/>
          <w:sz w:val="16"/>
        </w:rPr>
      </w:pPr>
      <w:r w:rsidRPr="005044B5">
        <w:rPr>
          <w:rFonts w:cs="Arial"/>
          <w:b/>
          <w:sz w:val="16"/>
        </w:rPr>
        <w:lastRenderedPageBreak/>
        <w:t xml:space="preserve">      </w:t>
      </w:r>
      <w:r w:rsidR="00FB2352" w:rsidRPr="005044B5">
        <w:rPr>
          <w:rFonts w:cs="Arial"/>
          <w:b/>
          <w:sz w:val="16"/>
        </w:rPr>
        <w:t>Fuente:</w:t>
      </w:r>
      <w:r w:rsidR="00FB2352" w:rsidRPr="00992589">
        <w:rPr>
          <w:rFonts w:cs="Arial"/>
          <w:sz w:val="16"/>
        </w:rPr>
        <w:t xml:space="preserve"> Elaboración Propia DNA- Equipo PEA</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Promoción de derechos sexuales y reproductivos y prevención del embarazo en la adolescencia con enfoque de ruralidad y posconflicto</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3"/>
        <w:gridCol w:w="2693"/>
        <w:gridCol w:w="1712"/>
      </w:tblGrid>
      <w:tr w:rsidR="00FB2352" w:rsidRPr="00992589" w:rsidTr="00E454EA">
        <w:trPr>
          <w:tblHeader/>
          <w:jc w:val="center"/>
        </w:trPr>
        <w:tc>
          <w:tcPr>
            <w:tcW w:w="4423"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Descripción y metodología</w:t>
            </w:r>
          </w:p>
        </w:tc>
        <w:tc>
          <w:tcPr>
            <w:tcW w:w="2693"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Municipios focalizados</w:t>
            </w:r>
          </w:p>
        </w:tc>
        <w:tc>
          <w:tcPr>
            <w:tcW w:w="1712"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3D6F87" w:rsidTr="00E454EA">
        <w:trPr>
          <w:jc w:val="center"/>
        </w:trPr>
        <w:tc>
          <w:tcPr>
            <w:tcW w:w="4423" w:type="dxa"/>
            <w:vAlign w:val="center"/>
          </w:tcPr>
          <w:p w:rsidR="00FB2352" w:rsidRPr="003D6F87" w:rsidRDefault="00FB2352" w:rsidP="00FB2352">
            <w:pPr>
              <w:pStyle w:val="Sinespaciado"/>
              <w:jc w:val="both"/>
              <w:rPr>
                <w:rFonts w:cs="Arial"/>
                <w:sz w:val="18"/>
                <w:szCs w:val="20"/>
                <w:lang w:val="es-MX"/>
              </w:rPr>
            </w:pPr>
            <w:r w:rsidRPr="003D6F87">
              <w:rPr>
                <w:rFonts w:cs="Arial"/>
                <w:sz w:val="18"/>
                <w:szCs w:val="20"/>
                <w:lang w:val="es-MX"/>
              </w:rPr>
              <w:t>La metodología implementada en este proceso involucra la realización de talleres denominados "</w:t>
            </w:r>
            <w:r w:rsidRPr="003D6F87">
              <w:rPr>
                <w:rFonts w:cs="Arial"/>
                <w:i/>
                <w:sz w:val="18"/>
                <w:szCs w:val="20"/>
                <w:lang w:val="es-MX"/>
              </w:rPr>
              <w:t>espacios experienciales</w:t>
            </w:r>
            <w:r w:rsidRPr="003D6F87">
              <w:rPr>
                <w:rFonts w:cs="Arial"/>
                <w:sz w:val="18"/>
                <w:szCs w:val="20"/>
                <w:lang w:val="es-MX"/>
              </w:rPr>
              <w:t xml:space="preserve">", encaminados esencialmente hacia el fortalecimiento del proyecto de vida de los niños, niñas y adolescentes. </w:t>
            </w:r>
          </w:p>
          <w:p w:rsidR="00FB2352" w:rsidRPr="003D6F87" w:rsidRDefault="00FB2352" w:rsidP="00FB2352">
            <w:pPr>
              <w:pStyle w:val="Sinespaciado"/>
              <w:rPr>
                <w:rFonts w:cs="Arial"/>
                <w:sz w:val="18"/>
                <w:szCs w:val="20"/>
                <w:lang w:val="es-MX"/>
              </w:rPr>
            </w:pPr>
          </w:p>
          <w:p w:rsidR="00FB2352" w:rsidRPr="003D6F87" w:rsidRDefault="00FB2352" w:rsidP="00FB2352">
            <w:pPr>
              <w:pStyle w:val="Sinespaciado"/>
              <w:jc w:val="both"/>
              <w:rPr>
                <w:rFonts w:cs="Arial"/>
                <w:sz w:val="18"/>
                <w:szCs w:val="20"/>
                <w:lang w:val="es-MX"/>
              </w:rPr>
            </w:pPr>
            <w:r w:rsidRPr="003D6F87">
              <w:rPr>
                <w:rFonts w:cs="Arial"/>
                <w:sz w:val="18"/>
                <w:szCs w:val="20"/>
                <w:lang w:val="es-MX"/>
              </w:rPr>
              <w:t xml:space="preserve">Se trata de aplicar aprendizaje basado en la experiencia mediante actividades como dinámicas de grupo, simulaciones, aplicaciones de roles, socio-dramas, videos, foros, canciones, dibujos, etc., con un claro procedimiento pedagógico desde la lúdica que potencialice la construcción de un elemento simbólico cultural que se muestre como el resultado del trabajo efectuado a lo largo de cada uno de los espacios. </w:t>
            </w:r>
          </w:p>
          <w:p w:rsidR="00FB2352" w:rsidRPr="003D6F87" w:rsidRDefault="00FB2352" w:rsidP="00FB2352">
            <w:pPr>
              <w:pStyle w:val="Sinespaciado"/>
              <w:rPr>
                <w:rFonts w:cs="Arial"/>
                <w:sz w:val="18"/>
                <w:szCs w:val="20"/>
                <w:lang w:val="es-MX"/>
              </w:rPr>
            </w:pPr>
          </w:p>
          <w:p w:rsidR="00FB2352" w:rsidRPr="003D6F87" w:rsidRDefault="00FB2352" w:rsidP="00FB2352">
            <w:pPr>
              <w:pStyle w:val="Sinespaciado"/>
              <w:jc w:val="both"/>
              <w:rPr>
                <w:rFonts w:cs="Arial"/>
                <w:sz w:val="18"/>
                <w:szCs w:val="20"/>
              </w:rPr>
            </w:pPr>
            <w:r w:rsidRPr="003D6F87">
              <w:rPr>
                <w:rFonts w:cs="Arial"/>
                <w:sz w:val="18"/>
                <w:szCs w:val="20"/>
                <w:lang w:val="es-MX"/>
              </w:rPr>
              <w:t>Estos espacios experienciales tienen como líneas temáticas a abordar los derechos sexuales y reproductivos, prevención de adicciones y el consumo de sustancias psicoactivas, maternidad y paternidad responsable, roles de género, proyecto de vida y liderazgo, y empoderamiento juvenil; todo, con enfoque de derechos y en el contexto del conflicto armado, violencia y ruralidad.</w:t>
            </w:r>
          </w:p>
        </w:tc>
        <w:tc>
          <w:tcPr>
            <w:tcW w:w="2693" w:type="dxa"/>
            <w:vAlign w:val="center"/>
          </w:tcPr>
          <w:p w:rsidR="00FB2352" w:rsidRPr="003D6F87" w:rsidRDefault="00FB2352" w:rsidP="00D712DC">
            <w:pPr>
              <w:pStyle w:val="Prrafodelista"/>
              <w:numPr>
                <w:ilvl w:val="0"/>
                <w:numId w:val="155"/>
              </w:numPr>
              <w:spacing w:after="0" w:line="240" w:lineRule="auto"/>
              <w:ind w:left="360"/>
              <w:contextualSpacing/>
              <w:jc w:val="both"/>
              <w:rPr>
                <w:rFonts w:cs="Arial"/>
                <w:sz w:val="18"/>
                <w:szCs w:val="20"/>
              </w:rPr>
            </w:pPr>
            <w:r w:rsidRPr="003D6F87">
              <w:rPr>
                <w:rFonts w:cs="Arial"/>
                <w:b/>
                <w:sz w:val="18"/>
                <w:szCs w:val="20"/>
                <w:u w:val="single"/>
              </w:rPr>
              <w:t>Caquetá</w:t>
            </w:r>
            <w:r w:rsidRPr="003D6F87">
              <w:rPr>
                <w:rFonts w:cs="Arial"/>
                <w:b/>
                <w:sz w:val="18"/>
                <w:szCs w:val="20"/>
              </w:rPr>
              <w:t>:</w:t>
            </w:r>
            <w:r w:rsidRPr="003D6F87">
              <w:rPr>
                <w:rFonts w:cs="Arial"/>
                <w:sz w:val="18"/>
                <w:szCs w:val="20"/>
              </w:rPr>
              <w:t xml:space="preserve"> Florencia, San José del Fragua, Belén de los Andaquíes, Curillo, Albania, Valparaíso.</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5"/>
              </w:numPr>
              <w:spacing w:after="0" w:line="240" w:lineRule="auto"/>
              <w:ind w:left="360"/>
              <w:contextualSpacing/>
              <w:jc w:val="both"/>
              <w:rPr>
                <w:rFonts w:cs="Arial"/>
                <w:sz w:val="18"/>
                <w:szCs w:val="20"/>
              </w:rPr>
            </w:pPr>
            <w:r w:rsidRPr="003D6F87">
              <w:rPr>
                <w:rFonts w:cs="Arial"/>
                <w:b/>
                <w:sz w:val="18"/>
                <w:szCs w:val="20"/>
                <w:u w:val="single"/>
              </w:rPr>
              <w:t>Putumayo</w:t>
            </w:r>
            <w:r w:rsidRPr="003D6F87">
              <w:rPr>
                <w:rFonts w:cs="Arial"/>
                <w:b/>
                <w:sz w:val="18"/>
                <w:szCs w:val="20"/>
              </w:rPr>
              <w:t xml:space="preserve">: </w:t>
            </w:r>
            <w:r w:rsidRPr="003D6F87">
              <w:rPr>
                <w:rFonts w:cs="Arial"/>
                <w:sz w:val="18"/>
                <w:szCs w:val="20"/>
              </w:rPr>
              <w:t>Puerto Guzmán, Puerto Leguizamon.</w:t>
            </w:r>
          </w:p>
        </w:tc>
        <w:tc>
          <w:tcPr>
            <w:tcW w:w="1712"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$1.000.000.000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PEA</w:t>
      </w:r>
    </w:p>
    <w:p w:rsidR="00FB2352" w:rsidRPr="00992589" w:rsidRDefault="00FB2352" w:rsidP="00FB2352">
      <w:pPr>
        <w:pStyle w:val="Sinespaciado"/>
        <w:jc w:val="both"/>
        <w:rPr>
          <w:rFonts w:cs="Arial"/>
        </w:rPr>
      </w:pPr>
    </w:p>
    <w:p w:rsidR="005D2693" w:rsidRDefault="005D2693" w:rsidP="00FB2352">
      <w:pPr>
        <w:pStyle w:val="Sinespaciado"/>
        <w:jc w:val="both"/>
        <w:rPr>
          <w:rFonts w:cs="Arial"/>
          <w:b/>
          <w:u w:val="single"/>
        </w:rPr>
      </w:pPr>
    </w:p>
    <w:p w:rsidR="005D2693" w:rsidRDefault="005D2693" w:rsidP="00FB2352">
      <w:pPr>
        <w:pStyle w:val="Sinespaciado"/>
        <w:jc w:val="both"/>
        <w:rPr>
          <w:rFonts w:cs="Arial"/>
          <w:b/>
          <w:u w:val="single"/>
        </w:rPr>
      </w:pPr>
    </w:p>
    <w:p w:rsidR="00FB2352" w:rsidRPr="00992589" w:rsidRDefault="00FB2352" w:rsidP="00FB2352">
      <w:pPr>
        <w:pStyle w:val="Sinespaciado"/>
        <w:jc w:val="both"/>
        <w:rPr>
          <w:rFonts w:cs="Arial"/>
          <w:b/>
          <w:u w:val="single"/>
        </w:rPr>
      </w:pPr>
      <w:r w:rsidRPr="00992589">
        <w:rPr>
          <w:rFonts w:cs="Arial"/>
          <w:b/>
          <w:u w:val="single"/>
        </w:rPr>
        <w:lastRenderedPageBreak/>
        <w:t>Promoción de derechos con énfasis en proyecto de vida y prevención del embarazo en la adolescencia en entornos de alto riesgo</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421"/>
        <w:gridCol w:w="2695"/>
        <w:gridCol w:w="1712"/>
      </w:tblGrid>
      <w:tr w:rsidR="00FB2352" w:rsidRPr="00992589" w:rsidTr="00E454EA">
        <w:trPr>
          <w:tblHeader/>
          <w:jc w:val="center"/>
        </w:trPr>
        <w:tc>
          <w:tcPr>
            <w:tcW w:w="4421"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Descripción y metodología</w:t>
            </w:r>
          </w:p>
        </w:tc>
        <w:tc>
          <w:tcPr>
            <w:tcW w:w="269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Municipios focalizados</w:t>
            </w:r>
          </w:p>
        </w:tc>
        <w:tc>
          <w:tcPr>
            <w:tcW w:w="1712"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3D6F87" w:rsidTr="00E454EA">
        <w:trPr>
          <w:jc w:val="center"/>
        </w:trPr>
        <w:tc>
          <w:tcPr>
            <w:tcW w:w="4421" w:type="dxa"/>
            <w:vAlign w:val="center"/>
          </w:tcPr>
          <w:p w:rsidR="00FB2352" w:rsidRPr="003D6F87" w:rsidRDefault="00FB2352" w:rsidP="00FB2352">
            <w:pPr>
              <w:pStyle w:val="Sinespaciado"/>
              <w:jc w:val="both"/>
              <w:rPr>
                <w:rFonts w:cs="Arial"/>
                <w:sz w:val="18"/>
                <w:szCs w:val="20"/>
              </w:rPr>
            </w:pPr>
            <w:r w:rsidRPr="003D6F87">
              <w:rPr>
                <w:rFonts w:cs="Arial"/>
                <w:sz w:val="18"/>
                <w:szCs w:val="20"/>
              </w:rPr>
              <w:t>Esta acción se ha gestado como la fórmula para abordar la región del Urabá antioqueño y Quibdó (Chocó), con el objetivo de fortalecer los proyectos de vida de los niños, niñas y adolescentes de estas regiones, considerando que allí impera la oferta ilegítima (por presencia de bandas criminales, conflicto armado y narcotráfico, entre otros).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El objetivo ha sido generar una aproximación a los niños, niñas y adolescentes de estas regiones con talleres lúdicos y formativos, encaminados a mostrarles nuevas formas de crecer y desarrollarse en la sociedad, y a identificar iniciativas, proyectos y actividades productivas que contribuyan a la gestación de proyectos de vida sanos, legítimos y sostenibles.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Con estos ejercicios, se procura distraer las visiones aspiracionales que actualmente estimulan a los niños, niñas y adolescentes de estos territorios, que se forjan por el ejemplo del adulto que practica el narcotráfico, el crimen y la violencia, para reemplazarlas por nuevas visiones aspiracionales sanas y productivas.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El fortalecimiento del proyecto de vida, como eje transversal del proceso, viene integrado por un fuerte componente de prevención de embarazo en la adolescencia, puesto que este territorio alberga prácticas culturales que aprueban e incentivan que ocurra el fenómeno.</w:t>
            </w:r>
          </w:p>
        </w:tc>
        <w:tc>
          <w:tcPr>
            <w:tcW w:w="2695" w:type="dxa"/>
            <w:vAlign w:val="center"/>
          </w:tcPr>
          <w:p w:rsidR="00FB2352" w:rsidRPr="003D6F87" w:rsidRDefault="00FB2352" w:rsidP="00D712DC">
            <w:pPr>
              <w:pStyle w:val="Prrafodelista"/>
              <w:numPr>
                <w:ilvl w:val="0"/>
                <w:numId w:val="156"/>
              </w:numPr>
              <w:spacing w:after="0" w:line="240" w:lineRule="auto"/>
              <w:ind w:left="360"/>
              <w:contextualSpacing/>
              <w:jc w:val="both"/>
              <w:rPr>
                <w:rFonts w:cs="Arial"/>
                <w:sz w:val="20"/>
                <w:szCs w:val="20"/>
              </w:rPr>
            </w:pPr>
            <w:r w:rsidRPr="003D6F87">
              <w:rPr>
                <w:rFonts w:cs="Arial"/>
                <w:b/>
                <w:sz w:val="20"/>
                <w:szCs w:val="20"/>
                <w:u w:val="single"/>
              </w:rPr>
              <w:t>Antioquia</w:t>
            </w:r>
            <w:r w:rsidRPr="003D6F87">
              <w:rPr>
                <w:rFonts w:cs="Arial"/>
                <w:b/>
                <w:i/>
                <w:sz w:val="20"/>
                <w:szCs w:val="20"/>
              </w:rPr>
              <w:t xml:space="preserve">: </w:t>
            </w:r>
            <w:r w:rsidRPr="003D6F87">
              <w:rPr>
                <w:rFonts w:cs="Arial"/>
                <w:sz w:val="20"/>
                <w:szCs w:val="20"/>
              </w:rPr>
              <w:t>Apartadó, Carepa, Chigorodó, Dabeiba, Mutatá, Necoclí y Turbo.</w:t>
            </w:r>
          </w:p>
          <w:p w:rsidR="00FB2352" w:rsidRPr="003D6F87" w:rsidRDefault="00FB2352" w:rsidP="00FB2352">
            <w:pPr>
              <w:pStyle w:val="Prrafodelista"/>
              <w:ind w:left="0" w:hanging="317"/>
              <w:jc w:val="both"/>
              <w:rPr>
                <w:rFonts w:cs="Arial"/>
                <w:b/>
                <w:i/>
                <w:sz w:val="20"/>
                <w:szCs w:val="20"/>
              </w:rPr>
            </w:pPr>
          </w:p>
          <w:p w:rsidR="00FB2352" w:rsidRPr="003D6F87" w:rsidRDefault="00FB2352" w:rsidP="00D712DC">
            <w:pPr>
              <w:pStyle w:val="Prrafodelista"/>
              <w:numPr>
                <w:ilvl w:val="0"/>
                <w:numId w:val="156"/>
              </w:numPr>
              <w:spacing w:after="0" w:line="240" w:lineRule="auto"/>
              <w:ind w:left="360"/>
              <w:contextualSpacing/>
              <w:jc w:val="both"/>
              <w:rPr>
                <w:rFonts w:cs="Arial"/>
                <w:sz w:val="20"/>
                <w:szCs w:val="20"/>
              </w:rPr>
            </w:pPr>
            <w:r w:rsidRPr="003D6F87">
              <w:rPr>
                <w:rFonts w:cs="Arial"/>
                <w:b/>
                <w:sz w:val="20"/>
                <w:szCs w:val="20"/>
                <w:u w:val="single"/>
              </w:rPr>
              <w:t>Chocó</w:t>
            </w:r>
            <w:r w:rsidRPr="003D6F87">
              <w:rPr>
                <w:rFonts w:cs="Arial"/>
                <w:b/>
                <w:i/>
                <w:sz w:val="20"/>
                <w:szCs w:val="20"/>
              </w:rPr>
              <w:t>:</w:t>
            </w:r>
            <w:r w:rsidRPr="003D6F87">
              <w:rPr>
                <w:rFonts w:cs="Arial"/>
                <w:sz w:val="20"/>
                <w:szCs w:val="20"/>
              </w:rPr>
              <w:t xml:space="preserve"> Quibdó.</w:t>
            </w:r>
          </w:p>
        </w:tc>
        <w:tc>
          <w:tcPr>
            <w:tcW w:w="1712"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$1.000.000.000</w:t>
            </w:r>
          </w:p>
        </w:tc>
      </w:tr>
    </w:tbl>
    <w:p w:rsidR="00FB2352" w:rsidRPr="003D6F87" w:rsidRDefault="005044B5" w:rsidP="00FB2352">
      <w:pPr>
        <w:pStyle w:val="Sinespaciado"/>
        <w:jc w:val="both"/>
        <w:rPr>
          <w:rFonts w:cs="Arial"/>
          <w:sz w:val="14"/>
        </w:rPr>
      </w:pPr>
      <w:r>
        <w:rPr>
          <w:rFonts w:cs="Arial"/>
          <w:b/>
          <w:sz w:val="14"/>
        </w:rPr>
        <w:t xml:space="preserve">       </w:t>
      </w:r>
      <w:r w:rsidR="00FB2352" w:rsidRPr="00E454EA">
        <w:rPr>
          <w:rFonts w:cs="Arial"/>
          <w:b/>
          <w:sz w:val="14"/>
        </w:rPr>
        <w:t>Fuente:</w:t>
      </w:r>
      <w:r w:rsidR="00FB2352" w:rsidRPr="003D6F87">
        <w:rPr>
          <w:rFonts w:cs="Arial"/>
          <w:sz w:val="14"/>
        </w:rPr>
        <w:t xml:space="preserve"> Elaboración Propia DNA- Equipo PEA</w:t>
      </w:r>
    </w:p>
    <w:p w:rsidR="00FB2352" w:rsidRDefault="00FB2352" w:rsidP="00FB2352">
      <w:pPr>
        <w:pStyle w:val="Sinespaciado"/>
        <w:jc w:val="both"/>
        <w:rPr>
          <w:rFonts w:cs="Arial"/>
        </w:rPr>
      </w:pPr>
    </w:p>
    <w:p w:rsidR="00385DBF" w:rsidRPr="00992589" w:rsidRDefault="00385DBF"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del consumo de sustancias psicoactivas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0"/>
        <w:gridCol w:w="2586"/>
        <w:gridCol w:w="1712"/>
      </w:tblGrid>
      <w:tr w:rsidR="00FB2352" w:rsidRPr="00992589" w:rsidTr="00E454EA">
        <w:trPr>
          <w:tblHeader/>
          <w:jc w:val="center"/>
        </w:trPr>
        <w:tc>
          <w:tcPr>
            <w:tcW w:w="4530"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Descripción y M</w:t>
            </w:r>
            <w:r w:rsidR="00FB2352" w:rsidRPr="00E454EA">
              <w:rPr>
                <w:rFonts w:cs="Arial"/>
                <w:b/>
                <w:color w:val="FFFFFF" w:themeColor="background1"/>
                <w:sz w:val="20"/>
                <w:szCs w:val="20"/>
              </w:rPr>
              <w:t>etodología</w:t>
            </w:r>
          </w:p>
        </w:tc>
        <w:tc>
          <w:tcPr>
            <w:tcW w:w="2586"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Municipios F</w:t>
            </w:r>
            <w:r w:rsidR="00FB2352" w:rsidRPr="00E454EA">
              <w:rPr>
                <w:rFonts w:cs="Arial"/>
                <w:b/>
                <w:color w:val="FFFFFF" w:themeColor="background1"/>
                <w:sz w:val="20"/>
                <w:szCs w:val="20"/>
              </w:rPr>
              <w:t>ocalizados</w:t>
            </w:r>
          </w:p>
        </w:tc>
        <w:tc>
          <w:tcPr>
            <w:tcW w:w="1712"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992589" w:rsidTr="00E454EA">
        <w:trPr>
          <w:jc w:val="center"/>
        </w:trPr>
        <w:tc>
          <w:tcPr>
            <w:tcW w:w="4530" w:type="dxa"/>
            <w:vAlign w:val="center"/>
          </w:tcPr>
          <w:p w:rsidR="00FB2352" w:rsidRPr="003D6F87" w:rsidRDefault="00FB2352" w:rsidP="00FB2352">
            <w:pPr>
              <w:pStyle w:val="Sinespaciado"/>
              <w:jc w:val="both"/>
              <w:rPr>
                <w:rFonts w:cs="Arial"/>
                <w:sz w:val="18"/>
                <w:szCs w:val="20"/>
              </w:rPr>
            </w:pPr>
            <w:r w:rsidRPr="003D6F87">
              <w:rPr>
                <w:rFonts w:cs="Arial"/>
                <w:sz w:val="18"/>
                <w:szCs w:val="20"/>
              </w:rPr>
              <w:t>En este periodo se ha decidido enfrentar el tema de la prevención de consumo de sustancias psicoactivas, de forma directa, a través del “Proyecto Especializado de Prevención Específica” denominado “</w:t>
            </w:r>
            <w:r w:rsidRPr="003D6F87">
              <w:rPr>
                <w:rFonts w:cs="Arial"/>
                <w:i/>
                <w:sz w:val="18"/>
                <w:szCs w:val="20"/>
              </w:rPr>
              <w:t>Volarte, Circo en Parche</w:t>
            </w:r>
            <w:r w:rsidRPr="003D6F87">
              <w:rPr>
                <w:rFonts w:cs="Arial"/>
                <w:sz w:val="18"/>
                <w:szCs w:val="20"/>
              </w:rPr>
              <w:t>”.</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 xml:space="preserve">Utilizando la técnica circense, la técnica </w:t>
            </w:r>
            <w:r w:rsidRPr="003D6F87">
              <w:rPr>
                <w:rFonts w:cs="Arial"/>
                <w:i/>
                <w:sz w:val="18"/>
                <w:szCs w:val="20"/>
              </w:rPr>
              <w:t>clown</w:t>
            </w:r>
            <w:r w:rsidRPr="003D6F87">
              <w:rPr>
                <w:rFonts w:cs="Arial"/>
                <w:sz w:val="18"/>
                <w:szCs w:val="20"/>
              </w:rPr>
              <w:t xml:space="preserve"> y el teatro, como mecanismos formativos, se ha establecido un lenguaje de comunicación con los niños, niñas y adolescentes horizontal y directo. Este método formativo es tan asertivo que, se ha comprobado, facilita las transformaciones sociales en esta población. Con los elementos y disciplinas </w:t>
            </w:r>
            <w:r w:rsidRPr="003D6F87">
              <w:rPr>
                <w:rFonts w:cs="Arial"/>
                <w:sz w:val="18"/>
                <w:szCs w:val="20"/>
              </w:rPr>
              <w:lastRenderedPageBreak/>
              <w:t>artísticas del circo se ha construido un discurso alrededor de los derechos y de la prevención, encontrando símiles, analogías y paralelos con el consumo de sustancias psicoactivas y las vulneraciones alrededor del mismo.</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Las obras y muestras que construyeron e interpretaron los participantes, tuvieron lugar en el seno de las comunidades, de manera que se propició el diálogo entre los distintos actores locales respecto del consumo de sustancias psicoactivas y de la protección de los derechos de los niños, niñas y adolescentes.</w:t>
            </w:r>
          </w:p>
        </w:tc>
        <w:tc>
          <w:tcPr>
            <w:tcW w:w="2586" w:type="dxa"/>
            <w:vAlign w:val="center"/>
          </w:tcPr>
          <w:p w:rsidR="00FB2352" w:rsidRPr="003D6F87" w:rsidRDefault="00FB2352" w:rsidP="00D712DC">
            <w:pPr>
              <w:pStyle w:val="Prrafodelista"/>
              <w:numPr>
                <w:ilvl w:val="0"/>
                <w:numId w:val="157"/>
              </w:numPr>
              <w:spacing w:after="0" w:line="240" w:lineRule="auto"/>
              <w:ind w:left="360"/>
              <w:contextualSpacing/>
              <w:jc w:val="both"/>
              <w:rPr>
                <w:rFonts w:cs="Arial"/>
                <w:b/>
                <w:sz w:val="18"/>
                <w:szCs w:val="20"/>
              </w:rPr>
            </w:pPr>
            <w:r w:rsidRPr="003D6F87">
              <w:rPr>
                <w:rFonts w:cs="Arial"/>
                <w:b/>
                <w:sz w:val="18"/>
                <w:szCs w:val="20"/>
                <w:u w:val="single"/>
              </w:rPr>
              <w:lastRenderedPageBreak/>
              <w:t>Antioquia</w:t>
            </w:r>
            <w:r w:rsidRPr="003D6F87">
              <w:rPr>
                <w:rFonts w:cs="Arial"/>
                <w:b/>
                <w:sz w:val="18"/>
                <w:szCs w:val="20"/>
              </w:rPr>
              <w:t>:</w:t>
            </w:r>
            <w:r w:rsidRPr="003D6F87">
              <w:rPr>
                <w:rFonts w:cs="Arial"/>
                <w:sz w:val="18"/>
                <w:szCs w:val="20"/>
              </w:rPr>
              <w:t xml:space="preserve"> Medellín.</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Bogotá</w:t>
            </w:r>
            <w:r w:rsidRPr="003D6F87">
              <w:rPr>
                <w:rFonts w:cs="Arial"/>
                <w:sz w:val="18"/>
                <w:szCs w:val="20"/>
              </w:rPr>
              <w:t xml:space="preserve"> </w:t>
            </w:r>
            <w:r w:rsidRPr="003D6F87">
              <w:rPr>
                <w:rFonts w:cs="Arial"/>
                <w:b/>
                <w:sz w:val="18"/>
                <w:szCs w:val="20"/>
              </w:rPr>
              <w:t>D.C.</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Caldas</w:t>
            </w:r>
            <w:r w:rsidRPr="003D6F87">
              <w:rPr>
                <w:rFonts w:cs="Arial"/>
                <w:b/>
                <w:sz w:val="18"/>
                <w:szCs w:val="20"/>
              </w:rPr>
              <w:t>:</w:t>
            </w:r>
            <w:r w:rsidRPr="003D6F87">
              <w:rPr>
                <w:rFonts w:cs="Arial"/>
                <w:sz w:val="18"/>
                <w:szCs w:val="20"/>
              </w:rPr>
              <w:t xml:space="preserve"> Manizales.</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Cundinamarca</w:t>
            </w:r>
            <w:r w:rsidRPr="003D6F87">
              <w:rPr>
                <w:rFonts w:cs="Arial"/>
                <w:b/>
                <w:sz w:val="18"/>
                <w:szCs w:val="20"/>
              </w:rPr>
              <w:t xml:space="preserve">: </w:t>
            </w:r>
            <w:r w:rsidRPr="003D6F87">
              <w:rPr>
                <w:rFonts w:cs="Arial"/>
                <w:sz w:val="18"/>
                <w:szCs w:val="20"/>
              </w:rPr>
              <w:t>La Calera, Fusagasugá.</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Chocó</w:t>
            </w:r>
            <w:r w:rsidRPr="003D6F87">
              <w:rPr>
                <w:rFonts w:cs="Arial"/>
                <w:b/>
                <w:sz w:val="18"/>
                <w:szCs w:val="20"/>
              </w:rPr>
              <w:t xml:space="preserve">: </w:t>
            </w:r>
            <w:r w:rsidRPr="003D6F87">
              <w:rPr>
                <w:rFonts w:cs="Arial"/>
                <w:sz w:val="18"/>
                <w:szCs w:val="20"/>
              </w:rPr>
              <w:t>Quibdó.</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Putumayo</w:t>
            </w:r>
            <w:r w:rsidRPr="003D6F87">
              <w:rPr>
                <w:rFonts w:cs="Arial"/>
                <w:b/>
                <w:sz w:val="18"/>
                <w:szCs w:val="20"/>
              </w:rPr>
              <w:t>:</w:t>
            </w:r>
            <w:r w:rsidRPr="003D6F87">
              <w:rPr>
                <w:rFonts w:cs="Arial"/>
                <w:sz w:val="18"/>
                <w:szCs w:val="20"/>
              </w:rPr>
              <w:t xml:space="preserve"> Mocoa.</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Quindío</w:t>
            </w:r>
            <w:r w:rsidRPr="003D6F87">
              <w:rPr>
                <w:rFonts w:cs="Arial"/>
                <w:b/>
                <w:sz w:val="18"/>
                <w:szCs w:val="20"/>
              </w:rPr>
              <w:t>:</w:t>
            </w:r>
            <w:r w:rsidRPr="003D6F87">
              <w:rPr>
                <w:rFonts w:cs="Arial"/>
                <w:sz w:val="18"/>
                <w:szCs w:val="20"/>
              </w:rPr>
              <w:t xml:space="preserve"> Armenia.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7"/>
              </w:numPr>
              <w:spacing w:after="0" w:line="240" w:lineRule="auto"/>
              <w:ind w:left="360"/>
              <w:contextualSpacing/>
              <w:jc w:val="both"/>
              <w:rPr>
                <w:rFonts w:cs="Arial"/>
                <w:sz w:val="18"/>
                <w:szCs w:val="20"/>
              </w:rPr>
            </w:pPr>
            <w:r w:rsidRPr="003D6F87">
              <w:rPr>
                <w:rFonts w:cs="Arial"/>
                <w:b/>
                <w:sz w:val="18"/>
                <w:szCs w:val="20"/>
                <w:u w:val="single"/>
              </w:rPr>
              <w:t>Risaralda</w:t>
            </w:r>
            <w:r w:rsidRPr="003D6F87">
              <w:rPr>
                <w:rFonts w:cs="Arial"/>
                <w:b/>
                <w:sz w:val="18"/>
                <w:szCs w:val="20"/>
              </w:rPr>
              <w:t>:</w:t>
            </w:r>
            <w:r w:rsidRPr="003D6F87">
              <w:rPr>
                <w:rFonts w:cs="Arial"/>
                <w:sz w:val="18"/>
                <w:szCs w:val="20"/>
              </w:rPr>
              <w:t xml:space="preserve"> Pereira.</w:t>
            </w:r>
          </w:p>
        </w:tc>
        <w:tc>
          <w:tcPr>
            <w:tcW w:w="1712"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lastRenderedPageBreak/>
              <w:t>$2.100.000.000</w:t>
            </w:r>
          </w:p>
        </w:tc>
      </w:tr>
    </w:tbl>
    <w:p w:rsidR="00FB2352" w:rsidRPr="00992589" w:rsidRDefault="000D6E44" w:rsidP="00FB2352">
      <w:pPr>
        <w:pStyle w:val="Sinespaciado"/>
        <w:jc w:val="both"/>
        <w:rPr>
          <w:rFonts w:cs="Arial"/>
          <w:sz w:val="16"/>
        </w:rPr>
      </w:pPr>
      <w:r>
        <w:rPr>
          <w:rFonts w:cs="Arial"/>
          <w:sz w:val="16"/>
        </w:rPr>
        <w:lastRenderedPageBreak/>
        <w:t xml:space="preserve">      </w:t>
      </w:r>
      <w:r w:rsidR="00FB2352" w:rsidRPr="000D6E44">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del trabajo infantil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52"/>
        <w:gridCol w:w="1745"/>
      </w:tblGrid>
      <w:tr w:rsidR="00FB2352" w:rsidRPr="00992589" w:rsidTr="00E454EA">
        <w:trPr>
          <w:tblHeader/>
          <w:jc w:val="center"/>
        </w:trPr>
        <w:tc>
          <w:tcPr>
            <w:tcW w:w="4531"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Descripción y metodología</w:t>
            </w:r>
          </w:p>
        </w:tc>
        <w:tc>
          <w:tcPr>
            <w:tcW w:w="2552"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Municipios focalizados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3D6F87" w:rsidTr="00E454EA">
        <w:trPr>
          <w:jc w:val="center"/>
        </w:trPr>
        <w:tc>
          <w:tcPr>
            <w:tcW w:w="4531" w:type="dxa"/>
            <w:vAlign w:val="center"/>
          </w:tcPr>
          <w:p w:rsidR="00FB2352" w:rsidRPr="003D6F87" w:rsidRDefault="00FB2352" w:rsidP="00FB2352">
            <w:pPr>
              <w:pStyle w:val="Sinespaciado"/>
              <w:jc w:val="both"/>
              <w:rPr>
                <w:rFonts w:cs="Arial"/>
                <w:sz w:val="18"/>
                <w:szCs w:val="20"/>
              </w:rPr>
            </w:pPr>
            <w:r w:rsidRPr="003D6F87">
              <w:rPr>
                <w:rFonts w:cs="Arial"/>
                <w:sz w:val="18"/>
                <w:szCs w:val="20"/>
              </w:rPr>
              <w:t>Con el objetivo de desarrollar un “Proyecto Especializado para la Prevención Específica” del trabajo infantil, se ha realizado un pilotaje que se enfoca en el sector de la agricultura. En este sector se concentran las tasas más altas de trabajo infantil.</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El modelo propuesto involucró la realización de talleres lúdico-formativos, actividades para el empoderamiento de los niños, niñas y adolescentes, acompañamiento en refuerzo escolar y actividades de recreación en su tiempo fuera de la escuela, todo dirigido a prevenir y contribuir a la abolición del trabajo infantil.</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También se realizaron talleres y actividades creativas con los padres, madres, maestros y cuidadores, para el fortalecimiento de los entornos protectores de los niños, niñas y adolescentes, con relación al trabajo infantil.</w:t>
            </w:r>
          </w:p>
        </w:tc>
        <w:tc>
          <w:tcPr>
            <w:tcW w:w="2552" w:type="dxa"/>
            <w:vAlign w:val="center"/>
          </w:tcPr>
          <w:p w:rsidR="00FB2352" w:rsidRPr="003D6F87" w:rsidRDefault="00FB2352" w:rsidP="00D712DC">
            <w:pPr>
              <w:pStyle w:val="Prrafodelista"/>
              <w:numPr>
                <w:ilvl w:val="0"/>
                <w:numId w:val="158"/>
              </w:numPr>
              <w:spacing w:after="0" w:line="240" w:lineRule="auto"/>
              <w:ind w:left="360"/>
              <w:contextualSpacing/>
              <w:jc w:val="both"/>
              <w:rPr>
                <w:rFonts w:cs="Arial"/>
                <w:sz w:val="18"/>
                <w:szCs w:val="20"/>
              </w:rPr>
            </w:pPr>
            <w:r w:rsidRPr="003D6F87">
              <w:rPr>
                <w:rFonts w:cs="Arial"/>
                <w:b/>
                <w:sz w:val="18"/>
                <w:szCs w:val="20"/>
                <w:u w:val="single"/>
              </w:rPr>
              <w:t>Valle</w:t>
            </w:r>
            <w:r w:rsidRPr="003D6F87">
              <w:rPr>
                <w:rFonts w:cs="Arial"/>
                <w:sz w:val="18"/>
                <w:szCs w:val="20"/>
                <w:u w:val="single"/>
              </w:rPr>
              <w:t xml:space="preserve"> </w:t>
            </w:r>
            <w:r w:rsidRPr="003D6F87">
              <w:rPr>
                <w:rFonts w:cs="Arial"/>
                <w:b/>
                <w:sz w:val="18"/>
                <w:szCs w:val="20"/>
                <w:u w:val="single"/>
              </w:rPr>
              <w:t>del Cauca</w:t>
            </w:r>
            <w:r w:rsidRPr="003D6F87">
              <w:rPr>
                <w:rFonts w:cs="Arial"/>
                <w:b/>
                <w:i/>
                <w:sz w:val="18"/>
                <w:szCs w:val="20"/>
              </w:rPr>
              <w:t>:</w:t>
            </w:r>
            <w:r w:rsidRPr="003D6F87">
              <w:rPr>
                <w:rFonts w:cs="Arial"/>
                <w:sz w:val="18"/>
                <w:szCs w:val="20"/>
              </w:rPr>
              <w:t xml:space="preserve">  Pradera, Florida.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8"/>
              </w:numPr>
              <w:spacing w:after="0" w:line="240" w:lineRule="auto"/>
              <w:ind w:left="360"/>
              <w:contextualSpacing/>
              <w:jc w:val="both"/>
              <w:rPr>
                <w:rFonts w:cs="Arial"/>
                <w:sz w:val="18"/>
                <w:szCs w:val="20"/>
              </w:rPr>
            </w:pPr>
            <w:r w:rsidRPr="003D6F87">
              <w:rPr>
                <w:rFonts w:cs="Arial"/>
                <w:b/>
                <w:sz w:val="18"/>
                <w:szCs w:val="20"/>
                <w:u w:val="single"/>
              </w:rPr>
              <w:t>Cauca</w:t>
            </w:r>
            <w:r w:rsidRPr="003D6F87">
              <w:rPr>
                <w:rFonts w:cs="Arial"/>
                <w:b/>
                <w:i/>
                <w:sz w:val="18"/>
                <w:szCs w:val="20"/>
              </w:rPr>
              <w:t>:</w:t>
            </w:r>
            <w:r w:rsidRPr="003D6F87">
              <w:rPr>
                <w:rFonts w:cs="Arial"/>
                <w:sz w:val="18"/>
                <w:szCs w:val="20"/>
              </w:rPr>
              <w:t xml:space="preserve"> Puerto Tejada, Miranda, Corinto y Padilla.</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$737.000.000</w:t>
            </w:r>
          </w:p>
        </w:tc>
      </w:tr>
    </w:tbl>
    <w:p w:rsidR="00FB2352" w:rsidRPr="00992589" w:rsidRDefault="000D6E44"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AMAS</w:t>
      </w:r>
    </w:p>
    <w:p w:rsidR="00FB2352" w:rsidRDefault="00FB2352" w:rsidP="00FB2352">
      <w:pPr>
        <w:pStyle w:val="Sinespaciado"/>
        <w:jc w:val="both"/>
        <w:rPr>
          <w:rFonts w:cs="Arial"/>
        </w:rPr>
      </w:pPr>
    </w:p>
    <w:p w:rsidR="003D6F87" w:rsidRPr="00992589" w:rsidRDefault="003D6F87"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delincuencia juvenil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86"/>
        <w:gridCol w:w="1711"/>
      </w:tblGrid>
      <w:tr w:rsidR="00FB2352" w:rsidRPr="00992589" w:rsidTr="00E454EA">
        <w:trPr>
          <w:tblHeader/>
          <w:jc w:val="center"/>
        </w:trPr>
        <w:tc>
          <w:tcPr>
            <w:tcW w:w="4531"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 xml:space="preserve">Descripción </w:t>
            </w:r>
            <w:r w:rsidR="00E454EA">
              <w:rPr>
                <w:rFonts w:cs="Arial"/>
                <w:b/>
                <w:color w:val="FFFFFF" w:themeColor="background1"/>
                <w:sz w:val="20"/>
                <w:szCs w:val="20"/>
              </w:rPr>
              <w:t>y</w:t>
            </w:r>
            <w:r w:rsidR="00E454EA" w:rsidRPr="00E454EA">
              <w:rPr>
                <w:rFonts w:cs="Arial"/>
                <w:b/>
                <w:color w:val="FFFFFF" w:themeColor="background1"/>
                <w:sz w:val="20"/>
                <w:szCs w:val="20"/>
              </w:rPr>
              <w:t xml:space="preserve"> Metodología</w:t>
            </w:r>
          </w:p>
        </w:tc>
        <w:tc>
          <w:tcPr>
            <w:tcW w:w="2586"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 xml:space="preserve">Municipios </w:t>
            </w:r>
            <w:r w:rsidR="00E454EA" w:rsidRPr="00E454EA">
              <w:rPr>
                <w:rFonts w:cs="Arial"/>
                <w:b/>
                <w:color w:val="FFFFFF" w:themeColor="background1"/>
                <w:sz w:val="20"/>
                <w:szCs w:val="20"/>
              </w:rPr>
              <w:t>Focalizados</w:t>
            </w:r>
          </w:p>
        </w:tc>
        <w:tc>
          <w:tcPr>
            <w:tcW w:w="1711"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992589" w:rsidTr="00E454EA">
        <w:trPr>
          <w:jc w:val="center"/>
        </w:trPr>
        <w:tc>
          <w:tcPr>
            <w:tcW w:w="4531" w:type="dxa"/>
            <w:vAlign w:val="center"/>
          </w:tcPr>
          <w:p w:rsidR="00FB2352" w:rsidRPr="003D6F87" w:rsidRDefault="00FB2352" w:rsidP="00FB2352">
            <w:pPr>
              <w:pStyle w:val="Sinespaciado"/>
              <w:jc w:val="both"/>
              <w:rPr>
                <w:rFonts w:cs="Arial"/>
                <w:sz w:val="18"/>
                <w:szCs w:val="20"/>
              </w:rPr>
            </w:pPr>
            <w:r w:rsidRPr="003D6F87">
              <w:rPr>
                <w:rFonts w:cs="Arial"/>
                <w:sz w:val="18"/>
                <w:szCs w:val="20"/>
              </w:rPr>
              <w:t>El proyecto que se desarrolló en asocio con UNODC (</w:t>
            </w:r>
            <w:r w:rsidRPr="003D6F87">
              <w:rPr>
                <w:rFonts w:cs="Arial"/>
                <w:i/>
                <w:sz w:val="18"/>
                <w:szCs w:val="20"/>
              </w:rPr>
              <w:t>United Nations Office on Drugs and Crime</w:t>
            </w:r>
            <w:r w:rsidRPr="003D6F87">
              <w:rPr>
                <w:rFonts w:cs="Arial"/>
                <w:sz w:val="18"/>
                <w:szCs w:val="20"/>
              </w:rPr>
              <w:t>) estuvo dirigido a prevenir la delincuencia juvenil (o la reincidencia en los casos en que ya se hubieran cometido delitos). Fue uno de los “Proyectos Especializados de Prevención Específica” de la Estrategia AMAS.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 xml:space="preserve">La sinergia tuvo como resultado un esquema de talleres deportivos y artísticos (cada adolescente escogía la disciplina de su preferencia), que incorporan de manera transversal el enfoque de </w:t>
            </w:r>
            <w:r w:rsidRPr="003D6F87">
              <w:rPr>
                <w:rFonts w:cs="Arial"/>
                <w:sz w:val="18"/>
                <w:szCs w:val="20"/>
              </w:rPr>
              <w:lastRenderedPageBreak/>
              <w:t>derechos y buscan el empoderamiento de sus participantes.</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A través de elementos artísticos, actividades físicas y reglas deportivas, se buscó generar lenguajes innovadores que se asociaran a los símbolos de la delincuencia juvenil y sus dinámicas, para de esa forma entablar una comunicación horizontal, promotora de derechos, que previniera la delincuencia juvenil y/o la reincidencia.</w:t>
            </w:r>
          </w:p>
        </w:tc>
        <w:tc>
          <w:tcPr>
            <w:tcW w:w="2586" w:type="dxa"/>
            <w:vAlign w:val="center"/>
          </w:tcPr>
          <w:p w:rsidR="00FB2352" w:rsidRPr="003D6F87" w:rsidRDefault="00FB2352" w:rsidP="00D712DC">
            <w:pPr>
              <w:pStyle w:val="Prrafodelista"/>
              <w:numPr>
                <w:ilvl w:val="0"/>
                <w:numId w:val="159"/>
              </w:numPr>
              <w:spacing w:after="0" w:line="240" w:lineRule="auto"/>
              <w:ind w:left="360"/>
              <w:contextualSpacing/>
              <w:jc w:val="both"/>
              <w:rPr>
                <w:rFonts w:cs="Arial"/>
                <w:sz w:val="18"/>
                <w:szCs w:val="20"/>
              </w:rPr>
            </w:pPr>
            <w:r w:rsidRPr="003D6F87">
              <w:rPr>
                <w:rFonts w:cs="Arial"/>
                <w:b/>
                <w:sz w:val="18"/>
                <w:szCs w:val="20"/>
                <w:u w:val="single"/>
              </w:rPr>
              <w:lastRenderedPageBreak/>
              <w:t>Amazonas</w:t>
            </w:r>
            <w:r w:rsidRPr="003D6F87">
              <w:rPr>
                <w:rFonts w:cs="Arial"/>
                <w:b/>
                <w:sz w:val="18"/>
                <w:szCs w:val="20"/>
              </w:rPr>
              <w:t xml:space="preserve">: </w:t>
            </w:r>
            <w:r w:rsidRPr="003D6F87">
              <w:rPr>
                <w:rFonts w:cs="Arial"/>
                <w:sz w:val="18"/>
                <w:szCs w:val="20"/>
              </w:rPr>
              <w:t>Leticia.</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59"/>
              </w:numPr>
              <w:spacing w:after="0" w:line="240" w:lineRule="auto"/>
              <w:ind w:left="360"/>
              <w:contextualSpacing/>
              <w:jc w:val="both"/>
              <w:rPr>
                <w:rFonts w:cs="Arial"/>
                <w:b/>
                <w:sz w:val="18"/>
                <w:szCs w:val="20"/>
              </w:rPr>
            </w:pPr>
            <w:r w:rsidRPr="003D6F87">
              <w:rPr>
                <w:rFonts w:cs="Arial"/>
                <w:b/>
                <w:sz w:val="18"/>
                <w:szCs w:val="20"/>
                <w:u w:val="single"/>
              </w:rPr>
              <w:t>Córdoba</w:t>
            </w:r>
            <w:r w:rsidRPr="003D6F87">
              <w:rPr>
                <w:rFonts w:cs="Arial"/>
                <w:b/>
                <w:sz w:val="18"/>
                <w:szCs w:val="20"/>
              </w:rPr>
              <w:t>:</w:t>
            </w:r>
            <w:r w:rsidRPr="003D6F87">
              <w:rPr>
                <w:rFonts w:cs="Arial"/>
                <w:sz w:val="18"/>
                <w:szCs w:val="20"/>
              </w:rPr>
              <w:t xml:space="preserve"> San Bernardo del Viento y Puerto Escondido.</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59"/>
              </w:numPr>
              <w:spacing w:after="0" w:line="240" w:lineRule="auto"/>
              <w:ind w:left="360"/>
              <w:contextualSpacing/>
              <w:jc w:val="both"/>
              <w:rPr>
                <w:rFonts w:cs="Arial"/>
                <w:b/>
                <w:sz w:val="18"/>
                <w:szCs w:val="20"/>
              </w:rPr>
            </w:pPr>
            <w:r w:rsidRPr="003D6F87">
              <w:rPr>
                <w:rFonts w:cs="Arial"/>
                <w:b/>
                <w:sz w:val="18"/>
                <w:szCs w:val="20"/>
                <w:u w:val="single"/>
              </w:rPr>
              <w:t>Chocó</w:t>
            </w:r>
            <w:r w:rsidRPr="003D6F87">
              <w:rPr>
                <w:rFonts w:cs="Arial"/>
                <w:b/>
                <w:sz w:val="18"/>
                <w:szCs w:val="20"/>
              </w:rPr>
              <w:t>:</w:t>
            </w:r>
            <w:r w:rsidRPr="003D6F87">
              <w:rPr>
                <w:rFonts w:cs="Arial"/>
                <w:sz w:val="18"/>
                <w:szCs w:val="20"/>
              </w:rPr>
              <w:t xml:space="preserve"> Riosucio y Belén de Bajirá.</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59"/>
              </w:numPr>
              <w:spacing w:after="0" w:line="240" w:lineRule="auto"/>
              <w:ind w:left="360"/>
              <w:contextualSpacing/>
              <w:jc w:val="both"/>
              <w:rPr>
                <w:rFonts w:cs="Arial"/>
                <w:b/>
                <w:sz w:val="18"/>
                <w:szCs w:val="20"/>
              </w:rPr>
            </w:pPr>
            <w:r w:rsidRPr="003D6F87">
              <w:rPr>
                <w:rFonts w:cs="Arial"/>
                <w:b/>
                <w:sz w:val="18"/>
                <w:szCs w:val="20"/>
                <w:u w:val="single"/>
              </w:rPr>
              <w:lastRenderedPageBreak/>
              <w:t>Cesar</w:t>
            </w:r>
            <w:r w:rsidRPr="003D6F87">
              <w:rPr>
                <w:rFonts w:cs="Arial"/>
                <w:b/>
                <w:sz w:val="18"/>
                <w:szCs w:val="20"/>
              </w:rPr>
              <w:t xml:space="preserve">: </w:t>
            </w:r>
            <w:r w:rsidRPr="003D6F87">
              <w:rPr>
                <w:rFonts w:cs="Arial"/>
                <w:sz w:val="18"/>
                <w:szCs w:val="20"/>
              </w:rPr>
              <w:t>Valledupar.</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59"/>
              </w:numPr>
              <w:spacing w:after="0" w:line="240" w:lineRule="auto"/>
              <w:ind w:left="360"/>
              <w:contextualSpacing/>
              <w:jc w:val="both"/>
              <w:rPr>
                <w:rFonts w:cs="Arial"/>
                <w:b/>
                <w:sz w:val="18"/>
                <w:szCs w:val="20"/>
              </w:rPr>
            </w:pPr>
            <w:r w:rsidRPr="003D6F87">
              <w:rPr>
                <w:rFonts w:cs="Arial"/>
                <w:b/>
                <w:sz w:val="18"/>
                <w:szCs w:val="20"/>
                <w:u w:val="single"/>
              </w:rPr>
              <w:t>Norte de Santander</w:t>
            </w:r>
            <w:r w:rsidRPr="003D6F87">
              <w:rPr>
                <w:rFonts w:cs="Arial"/>
                <w:b/>
                <w:sz w:val="18"/>
                <w:szCs w:val="20"/>
              </w:rPr>
              <w:t xml:space="preserve">: </w:t>
            </w:r>
            <w:r w:rsidRPr="003D6F87">
              <w:rPr>
                <w:rFonts w:cs="Arial"/>
                <w:sz w:val="18"/>
                <w:szCs w:val="20"/>
              </w:rPr>
              <w:t>Cúcuta.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59"/>
              </w:numPr>
              <w:spacing w:after="0" w:line="240" w:lineRule="auto"/>
              <w:ind w:left="360"/>
              <w:contextualSpacing/>
              <w:jc w:val="both"/>
              <w:rPr>
                <w:rFonts w:cs="Arial"/>
                <w:sz w:val="18"/>
                <w:szCs w:val="20"/>
              </w:rPr>
            </w:pPr>
            <w:r w:rsidRPr="003D6F87">
              <w:rPr>
                <w:rFonts w:cs="Arial"/>
                <w:b/>
                <w:sz w:val="18"/>
                <w:szCs w:val="20"/>
                <w:u w:val="single"/>
              </w:rPr>
              <w:t>San Andrés Islas</w:t>
            </w:r>
            <w:r w:rsidRPr="003D6F87">
              <w:rPr>
                <w:rFonts w:cs="Arial"/>
                <w:b/>
                <w:sz w:val="18"/>
                <w:szCs w:val="20"/>
              </w:rPr>
              <w:t xml:space="preserve">: </w:t>
            </w:r>
            <w:r w:rsidRPr="003D6F87">
              <w:rPr>
                <w:rFonts w:cs="Arial"/>
                <w:sz w:val="18"/>
                <w:szCs w:val="20"/>
              </w:rPr>
              <w:t>San Andrés.</w:t>
            </w:r>
          </w:p>
        </w:tc>
        <w:tc>
          <w:tcPr>
            <w:tcW w:w="1711"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lastRenderedPageBreak/>
              <w:t>$400.000.000</w:t>
            </w:r>
          </w:p>
        </w:tc>
      </w:tr>
    </w:tbl>
    <w:p w:rsidR="00FB2352" w:rsidRPr="00992589" w:rsidRDefault="005044B5" w:rsidP="00FB2352">
      <w:pPr>
        <w:pStyle w:val="Sinespaciado"/>
        <w:jc w:val="both"/>
        <w:rPr>
          <w:rFonts w:cs="Arial"/>
          <w:sz w:val="16"/>
        </w:rPr>
      </w:pPr>
      <w:r>
        <w:rPr>
          <w:rFonts w:cs="Arial"/>
          <w:b/>
          <w:sz w:val="16"/>
        </w:rPr>
        <w:lastRenderedPageBreak/>
        <w:t xml:space="preserve">      </w:t>
      </w:r>
      <w:r w:rsidR="00FB2352" w:rsidRPr="00E454EA">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Default="00FB2352" w:rsidP="00FB2352">
      <w:pPr>
        <w:pStyle w:val="Sinespaciado"/>
        <w:jc w:val="both"/>
        <w:rPr>
          <w:rFonts w:cs="Arial"/>
          <w:b/>
          <w:u w:val="single"/>
        </w:rPr>
      </w:pPr>
      <w:r w:rsidRPr="00992589">
        <w:rPr>
          <w:rFonts w:cs="Arial"/>
          <w:b/>
          <w:u w:val="single"/>
        </w:rPr>
        <w:t>Prevención de violencias sexuales con niños y niñas con discapacidad (Hogares de Movilidad Reducida)</w:t>
      </w:r>
    </w:p>
    <w:p w:rsidR="00E454EA" w:rsidRPr="00992589" w:rsidRDefault="00E454EA" w:rsidP="00FB2352">
      <w:pPr>
        <w:pStyle w:val="Sinespaciado"/>
        <w:jc w:val="both"/>
        <w:rPr>
          <w:rFonts w:cs="Arial"/>
          <w:b/>
          <w:u w:val="single"/>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52"/>
        <w:gridCol w:w="1745"/>
      </w:tblGrid>
      <w:tr w:rsidR="00FB2352" w:rsidRPr="00992589" w:rsidTr="00E454EA">
        <w:trPr>
          <w:tblHeader/>
          <w:jc w:val="center"/>
        </w:trPr>
        <w:tc>
          <w:tcPr>
            <w:tcW w:w="4531" w:type="dxa"/>
            <w:shd w:val="clear" w:color="auto" w:fill="76923C" w:themeFill="accent3" w:themeFillShade="BF"/>
          </w:tcPr>
          <w:p w:rsidR="00FB2352" w:rsidRPr="00E454EA" w:rsidRDefault="00FB2352" w:rsidP="00E454EA">
            <w:pPr>
              <w:pStyle w:val="Sinespaciado"/>
              <w:jc w:val="center"/>
              <w:rPr>
                <w:rFonts w:cs="Arial"/>
                <w:b/>
                <w:color w:val="FFFFFF" w:themeColor="background1"/>
                <w:sz w:val="20"/>
                <w:szCs w:val="20"/>
              </w:rPr>
            </w:pPr>
            <w:r w:rsidRPr="00E454EA">
              <w:rPr>
                <w:rFonts w:cs="Arial"/>
                <w:b/>
                <w:color w:val="FFFFFF" w:themeColor="background1"/>
                <w:sz w:val="20"/>
                <w:szCs w:val="20"/>
              </w:rPr>
              <w:t xml:space="preserve">Descripción </w:t>
            </w:r>
            <w:r w:rsidR="00E454EA">
              <w:rPr>
                <w:rFonts w:cs="Arial"/>
                <w:b/>
                <w:color w:val="FFFFFF" w:themeColor="background1"/>
                <w:sz w:val="20"/>
                <w:szCs w:val="20"/>
              </w:rPr>
              <w:t>y</w:t>
            </w:r>
            <w:r w:rsidR="00E454EA" w:rsidRPr="00E454EA">
              <w:rPr>
                <w:rFonts w:cs="Arial"/>
                <w:b/>
                <w:color w:val="FFFFFF" w:themeColor="background1"/>
                <w:sz w:val="20"/>
                <w:szCs w:val="20"/>
              </w:rPr>
              <w:t xml:space="preserve"> Metodología</w:t>
            </w:r>
          </w:p>
        </w:tc>
        <w:tc>
          <w:tcPr>
            <w:tcW w:w="2552"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 xml:space="preserve">Municipios </w:t>
            </w:r>
            <w:r w:rsidR="00E454EA" w:rsidRPr="00E454EA">
              <w:rPr>
                <w:rFonts w:cs="Arial"/>
                <w:b/>
                <w:color w:val="FFFFFF" w:themeColor="background1"/>
                <w:sz w:val="20"/>
                <w:szCs w:val="20"/>
              </w:rPr>
              <w:t>Focalizados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3D6F87" w:rsidTr="00E454EA">
        <w:trPr>
          <w:jc w:val="center"/>
        </w:trPr>
        <w:tc>
          <w:tcPr>
            <w:tcW w:w="4531" w:type="dxa"/>
            <w:vAlign w:val="center"/>
          </w:tcPr>
          <w:p w:rsidR="00FB2352" w:rsidRPr="003D6F87" w:rsidRDefault="00FB2352" w:rsidP="00FB2352">
            <w:pPr>
              <w:pStyle w:val="Sinespaciado"/>
              <w:jc w:val="both"/>
              <w:rPr>
                <w:rFonts w:cs="Arial"/>
                <w:sz w:val="18"/>
                <w:szCs w:val="20"/>
              </w:rPr>
            </w:pPr>
            <w:r w:rsidRPr="003D6F87">
              <w:rPr>
                <w:rFonts w:cs="Arial"/>
                <w:sz w:val="18"/>
                <w:szCs w:val="20"/>
              </w:rPr>
              <w:t xml:space="preserve">Para el desarrollo de este proyecto se ha recurrido a la metodología lúdica de la técnica </w:t>
            </w:r>
            <w:r w:rsidRPr="003D6F87">
              <w:rPr>
                <w:rFonts w:cs="Arial"/>
                <w:i/>
                <w:sz w:val="18"/>
                <w:szCs w:val="20"/>
              </w:rPr>
              <w:t>clown</w:t>
            </w:r>
            <w:r w:rsidRPr="003D6F87">
              <w:rPr>
                <w:rFonts w:cs="Arial"/>
                <w:sz w:val="18"/>
                <w:szCs w:val="20"/>
              </w:rPr>
              <w:t xml:space="preserve"> y la terapia de la risa para niños y niñas, como mecanismo para la prevención de las violencias sexuales, tomando como insumo y experiencia el proyecto desarrollado durante 2015 denominado “</w:t>
            </w:r>
            <w:r w:rsidRPr="003D6F87">
              <w:rPr>
                <w:rFonts w:cs="Arial"/>
                <w:i/>
                <w:sz w:val="18"/>
                <w:szCs w:val="20"/>
              </w:rPr>
              <w:t>Al derecho y al deber, mis derechos a promover</w:t>
            </w:r>
            <w:r w:rsidRPr="003D6F87">
              <w:rPr>
                <w:rFonts w:cs="Arial"/>
                <w:sz w:val="18"/>
                <w:szCs w:val="20"/>
              </w:rPr>
              <w:t>”.</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En este caso, la metodología ha sido adaptada y ajustada para su aplicación con una población de mayor complejidad: niños, niñas y adolescentes con discapacidad (pertenecientes a Instituciones de atención especializada de la Protección por movilidad reducida).</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A través de los recursos artísticos y lúdicos de la metodología fue posible acercar una vivencia nueva y divertida para estos niños, niñas y adolescentes que se encuentran en tan especial vulnerabilidad. Las temáticas de las representaciones artísticas incorporaron un poderoso enfoque de derechos, abordando enfática, mas no exclusivamente, los derechos sexuales y reproductivos y la prevención de violencias sexuales.</w:t>
            </w:r>
          </w:p>
        </w:tc>
        <w:tc>
          <w:tcPr>
            <w:tcW w:w="2552" w:type="dxa"/>
            <w:vAlign w:val="center"/>
          </w:tcPr>
          <w:p w:rsidR="00FB2352" w:rsidRPr="003D6F87" w:rsidRDefault="00FB2352" w:rsidP="00D712DC">
            <w:pPr>
              <w:pStyle w:val="Prrafodelista"/>
              <w:numPr>
                <w:ilvl w:val="0"/>
                <w:numId w:val="160"/>
              </w:numPr>
              <w:spacing w:after="0" w:line="240" w:lineRule="auto"/>
              <w:ind w:left="360"/>
              <w:contextualSpacing/>
              <w:jc w:val="both"/>
              <w:rPr>
                <w:rFonts w:cs="Arial"/>
                <w:sz w:val="18"/>
                <w:szCs w:val="20"/>
              </w:rPr>
            </w:pPr>
            <w:r w:rsidRPr="003D6F87">
              <w:rPr>
                <w:rFonts w:cs="Arial"/>
                <w:b/>
                <w:sz w:val="18"/>
                <w:szCs w:val="20"/>
                <w:u w:val="single"/>
              </w:rPr>
              <w:t>Antioquia</w:t>
            </w:r>
            <w:r w:rsidRPr="003D6F87">
              <w:rPr>
                <w:rFonts w:cs="Arial"/>
                <w:b/>
                <w:sz w:val="18"/>
                <w:szCs w:val="20"/>
              </w:rPr>
              <w:t>:</w:t>
            </w:r>
            <w:r w:rsidRPr="003D6F87">
              <w:rPr>
                <w:rFonts w:cs="Arial"/>
                <w:sz w:val="18"/>
                <w:szCs w:val="20"/>
              </w:rPr>
              <w:t xml:space="preserve"> Medellín.</w:t>
            </w:r>
          </w:p>
          <w:p w:rsidR="00FB2352" w:rsidRPr="003D6F87" w:rsidRDefault="00FB2352" w:rsidP="00FB2352">
            <w:pPr>
              <w:pStyle w:val="Prrafodelista"/>
              <w:ind w:left="0"/>
              <w:jc w:val="both"/>
              <w:rPr>
                <w:rFonts w:cs="Arial"/>
                <w:sz w:val="18"/>
                <w:szCs w:val="20"/>
              </w:rPr>
            </w:pPr>
          </w:p>
          <w:p w:rsidR="00FB2352" w:rsidRPr="003D6F87" w:rsidRDefault="00FB2352" w:rsidP="00D712DC">
            <w:pPr>
              <w:pStyle w:val="Prrafodelista"/>
              <w:numPr>
                <w:ilvl w:val="0"/>
                <w:numId w:val="160"/>
              </w:numPr>
              <w:spacing w:after="0" w:line="240" w:lineRule="auto"/>
              <w:ind w:left="360"/>
              <w:contextualSpacing/>
              <w:jc w:val="both"/>
              <w:rPr>
                <w:rFonts w:cs="Arial"/>
                <w:sz w:val="18"/>
                <w:szCs w:val="20"/>
              </w:rPr>
            </w:pPr>
            <w:r w:rsidRPr="003D6F87">
              <w:rPr>
                <w:rFonts w:cs="Arial"/>
                <w:b/>
                <w:sz w:val="18"/>
                <w:szCs w:val="20"/>
                <w:u w:val="single"/>
              </w:rPr>
              <w:t>Bogotá</w:t>
            </w:r>
            <w:r w:rsidRPr="003D6F87">
              <w:rPr>
                <w:rFonts w:cs="Arial"/>
                <w:b/>
                <w:sz w:val="18"/>
                <w:szCs w:val="20"/>
              </w:rPr>
              <w:t xml:space="preserve"> D.C.</w:t>
            </w:r>
            <w:r w:rsidRPr="003D6F87">
              <w:rPr>
                <w:rFonts w:cs="Arial"/>
                <w:sz w:val="18"/>
                <w:szCs w:val="20"/>
              </w:rPr>
              <w:t xml:space="preserve"> </w:t>
            </w:r>
          </w:p>
          <w:p w:rsidR="00FB2352" w:rsidRPr="003D6F87" w:rsidRDefault="00FB2352" w:rsidP="00FB2352">
            <w:pPr>
              <w:pStyle w:val="Prrafodelista"/>
              <w:ind w:left="0"/>
              <w:jc w:val="both"/>
              <w:rPr>
                <w:rFonts w:cs="Arial"/>
                <w:b/>
                <w:sz w:val="18"/>
                <w:szCs w:val="20"/>
              </w:rPr>
            </w:pPr>
          </w:p>
          <w:p w:rsidR="00FB2352" w:rsidRPr="003D6F87" w:rsidRDefault="00FB2352" w:rsidP="00D712DC">
            <w:pPr>
              <w:pStyle w:val="Prrafodelista"/>
              <w:numPr>
                <w:ilvl w:val="0"/>
                <w:numId w:val="160"/>
              </w:numPr>
              <w:spacing w:after="0" w:line="240" w:lineRule="auto"/>
              <w:ind w:left="360"/>
              <w:contextualSpacing/>
              <w:jc w:val="both"/>
              <w:rPr>
                <w:rFonts w:cs="Arial"/>
                <w:b/>
                <w:sz w:val="18"/>
                <w:szCs w:val="20"/>
              </w:rPr>
            </w:pPr>
            <w:r w:rsidRPr="003D6F87">
              <w:rPr>
                <w:rFonts w:cs="Arial"/>
                <w:b/>
                <w:sz w:val="18"/>
                <w:szCs w:val="20"/>
                <w:u w:val="single"/>
              </w:rPr>
              <w:t>Boyacá</w:t>
            </w:r>
            <w:r w:rsidRPr="003D6F87">
              <w:rPr>
                <w:rFonts w:cs="Arial"/>
                <w:b/>
                <w:sz w:val="18"/>
                <w:szCs w:val="20"/>
              </w:rPr>
              <w:t>:</w:t>
            </w:r>
            <w:r w:rsidRPr="003D6F87">
              <w:rPr>
                <w:rFonts w:cs="Arial"/>
                <w:sz w:val="18"/>
                <w:szCs w:val="20"/>
              </w:rPr>
              <w:t xml:space="preserve"> Duitama.</w:t>
            </w:r>
          </w:p>
          <w:p w:rsidR="00FB2352" w:rsidRPr="003D6F87" w:rsidRDefault="00FB2352" w:rsidP="00FB2352">
            <w:pPr>
              <w:pStyle w:val="Prrafodelista"/>
              <w:ind w:left="0"/>
              <w:jc w:val="both"/>
              <w:rPr>
                <w:rFonts w:cs="Arial"/>
                <w:b/>
                <w:sz w:val="18"/>
                <w:szCs w:val="20"/>
              </w:rPr>
            </w:pPr>
          </w:p>
          <w:p w:rsidR="00FB2352" w:rsidRPr="003D6F87" w:rsidRDefault="00FB2352" w:rsidP="00D712DC">
            <w:pPr>
              <w:pStyle w:val="Prrafodelista"/>
              <w:numPr>
                <w:ilvl w:val="0"/>
                <w:numId w:val="160"/>
              </w:numPr>
              <w:spacing w:after="0" w:line="240" w:lineRule="auto"/>
              <w:ind w:left="360"/>
              <w:contextualSpacing/>
              <w:jc w:val="both"/>
              <w:rPr>
                <w:rFonts w:cs="Arial"/>
                <w:b/>
                <w:sz w:val="18"/>
                <w:szCs w:val="20"/>
              </w:rPr>
            </w:pPr>
            <w:r w:rsidRPr="003D6F87">
              <w:rPr>
                <w:rFonts w:cs="Arial"/>
                <w:b/>
                <w:sz w:val="18"/>
                <w:szCs w:val="20"/>
                <w:u w:val="single"/>
              </w:rPr>
              <w:t>Meta</w:t>
            </w:r>
            <w:r w:rsidRPr="003D6F87">
              <w:rPr>
                <w:rFonts w:cs="Arial"/>
                <w:b/>
                <w:sz w:val="18"/>
                <w:szCs w:val="20"/>
              </w:rPr>
              <w:t>:</w:t>
            </w:r>
            <w:r w:rsidRPr="003D6F87">
              <w:rPr>
                <w:rFonts w:cs="Arial"/>
                <w:sz w:val="18"/>
                <w:szCs w:val="20"/>
              </w:rPr>
              <w:t xml:space="preserve"> Villavicencio.</w:t>
            </w:r>
          </w:p>
          <w:p w:rsidR="00FB2352" w:rsidRPr="003D6F87" w:rsidRDefault="00FB2352" w:rsidP="00FB2352">
            <w:pPr>
              <w:pStyle w:val="Prrafodelista"/>
              <w:ind w:left="0"/>
              <w:jc w:val="both"/>
              <w:rPr>
                <w:rFonts w:cs="Arial"/>
                <w:b/>
                <w:sz w:val="18"/>
                <w:szCs w:val="20"/>
              </w:rPr>
            </w:pPr>
          </w:p>
          <w:p w:rsidR="00FB2352" w:rsidRPr="003D6F87" w:rsidRDefault="00FB2352" w:rsidP="00D712DC">
            <w:pPr>
              <w:pStyle w:val="Prrafodelista"/>
              <w:numPr>
                <w:ilvl w:val="0"/>
                <w:numId w:val="160"/>
              </w:numPr>
              <w:spacing w:after="0" w:line="240" w:lineRule="auto"/>
              <w:ind w:left="360"/>
              <w:contextualSpacing/>
              <w:jc w:val="both"/>
              <w:rPr>
                <w:rFonts w:cs="Arial"/>
                <w:b/>
                <w:sz w:val="18"/>
                <w:szCs w:val="20"/>
              </w:rPr>
            </w:pPr>
            <w:r w:rsidRPr="003D6F87">
              <w:rPr>
                <w:rFonts w:cs="Arial"/>
                <w:b/>
                <w:sz w:val="18"/>
                <w:szCs w:val="20"/>
                <w:u w:val="single"/>
              </w:rPr>
              <w:t>Santander</w:t>
            </w:r>
            <w:r w:rsidRPr="003D6F87">
              <w:rPr>
                <w:rFonts w:cs="Arial"/>
                <w:b/>
                <w:sz w:val="18"/>
                <w:szCs w:val="20"/>
              </w:rPr>
              <w:t>:</w:t>
            </w:r>
            <w:r w:rsidRPr="003D6F87">
              <w:rPr>
                <w:rFonts w:cs="Arial"/>
                <w:sz w:val="18"/>
                <w:szCs w:val="20"/>
              </w:rPr>
              <w:t xml:space="preserve"> Bucaramanga.</w:t>
            </w:r>
          </w:p>
          <w:p w:rsidR="00FB2352" w:rsidRPr="003D6F87" w:rsidRDefault="00FB2352" w:rsidP="00FB2352">
            <w:pPr>
              <w:pStyle w:val="Prrafodelista"/>
              <w:ind w:left="0"/>
              <w:jc w:val="both"/>
              <w:rPr>
                <w:rFonts w:cs="Arial"/>
                <w:b/>
                <w:sz w:val="18"/>
                <w:szCs w:val="20"/>
              </w:rPr>
            </w:pPr>
          </w:p>
          <w:p w:rsidR="00FB2352" w:rsidRPr="003D6F87" w:rsidRDefault="00FB2352" w:rsidP="00D712DC">
            <w:pPr>
              <w:pStyle w:val="Prrafodelista"/>
              <w:numPr>
                <w:ilvl w:val="0"/>
                <w:numId w:val="160"/>
              </w:numPr>
              <w:spacing w:after="0" w:line="240" w:lineRule="auto"/>
              <w:ind w:left="360"/>
              <w:contextualSpacing/>
              <w:jc w:val="both"/>
              <w:rPr>
                <w:rFonts w:cs="Arial"/>
                <w:b/>
                <w:sz w:val="18"/>
                <w:szCs w:val="20"/>
              </w:rPr>
            </w:pPr>
            <w:r w:rsidRPr="003D6F87">
              <w:rPr>
                <w:rFonts w:cs="Arial"/>
                <w:b/>
                <w:sz w:val="18"/>
                <w:szCs w:val="20"/>
                <w:u w:val="single"/>
              </w:rPr>
              <w:t>Valle del Cauca</w:t>
            </w:r>
            <w:r w:rsidRPr="003D6F87">
              <w:rPr>
                <w:rFonts w:cs="Arial"/>
                <w:b/>
                <w:sz w:val="18"/>
                <w:szCs w:val="20"/>
              </w:rPr>
              <w:t>:</w:t>
            </w:r>
            <w:r w:rsidRPr="003D6F87">
              <w:rPr>
                <w:rFonts w:cs="Arial"/>
                <w:sz w:val="18"/>
                <w:szCs w:val="20"/>
              </w:rPr>
              <w:t xml:space="preserve"> Ginebra.</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$290.000.000</w:t>
            </w:r>
          </w:p>
        </w:tc>
      </w:tr>
    </w:tbl>
    <w:p w:rsidR="00FB2352" w:rsidRDefault="005044B5"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AMAS</w:t>
      </w:r>
    </w:p>
    <w:p w:rsidR="00E454EA" w:rsidRPr="00992589" w:rsidRDefault="00E454EA" w:rsidP="00FB2352">
      <w:pPr>
        <w:pStyle w:val="Sinespaciado"/>
        <w:jc w:val="both"/>
        <w:rPr>
          <w:rFonts w:cs="Arial"/>
          <w:sz w:val="16"/>
        </w:rPr>
      </w:pPr>
    </w:p>
    <w:p w:rsidR="00FB2352" w:rsidRPr="00992589" w:rsidRDefault="00FB2352" w:rsidP="00FB2352">
      <w:pPr>
        <w:pStyle w:val="Sinespaciado"/>
        <w:jc w:val="both"/>
        <w:rPr>
          <w:rFonts w:cs="Arial"/>
          <w:b/>
          <w:u w:val="single"/>
        </w:rPr>
      </w:pPr>
      <w:r w:rsidRPr="00992589">
        <w:rPr>
          <w:rFonts w:cs="Arial"/>
          <w:b/>
          <w:u w:val="single"/>
        </w:rPr>
        <w:t>Promoción de derechos, inclusión social y prevención de discriminación basada en discapacidad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0"/>
        <w:gridCol w:w="2553"/>
        <w:gridCol w:w="1745"/>
      </w:tblGrid>
      <w:tr w:rsidR="00FB2352" w:rsidRPr="00992589" w:rsidTr="00E454EA">
        <w:trPr>
          <w:tblHeader/>
          <w:jc w:val="center"/>
        </w:trPr>
        <w:tc>
          <w:tcPr>
            <w:tcW w:w="4530"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Descripción y M</w:t>
            </w:r>
            <w:r w:rsidR="00FB2352" w:rsidRPr="00E454EA">
              <w:rPr>
                <w:rFonts w:cs="Arial"/>
                <w:b/>
                <w:color w:val="FFFFFF" w:themeColor="background1"/>
                <w:sz w:val="20"/>
                <w:szCs w:val="20"/>
              </w:rPr>
              <w:t>etodología</w:t>
            </w:r>
          </w:p>
        </w:tc>
        <w:tc>
          <w:tcPr>
            <w:tcW w:w="2553"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Municipios F</w:t>
            </w:r>
            <w:r w:rsidR="00FB2352" w:rsidRPr="00E454EA">
              <w:rPr>
                <w:rFonts w:cs="Arial"/>
                <w:b/>
                <w:color w:val="FFFFFF" w:themeColor="background1"/>
                <w:sz w:val="20"/>
                <w:szCs w:val="20"/>
              </w:rPr>
              <w:t>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992589" w:rsidTr="00E454EA">
        <w:trPr>
          <w:jc w:val="center"/>
        </w:trPr>
        <w:tc>
          <w:tcPr>
            <w:tcW w:w="4530" w:type="dxa"/>
            <w:vAlign w:val="center"/>
          </w:tcPr>
          <w:p w:rsidR="00FB2352" w:rsidRPr="003D6F87" w:rsidRDefault="00FB2352" w:rsidP="00FB2352">
            <w:pPr>
              <w:pStyle w:val="Sinespaciado"/>
              <w:jc w:val="both"/>
              <w:rPr>
                <w:rFonts w:cs="Arial"/>
                <w:sz w:val="18"/>
                <w:szCs w:val="20"/>
              </w:rPr>
            </w:pPr>
            <w:r w:rsidRPr="003D6F87">
              <w:rPr>
                <w:rFonts w:cs="Arial"/>
                <w:sz w:val="18"/>
                <w:szCs w:val="20"/>
              </w:rPr>
              <w:t>Dando continuidad al proyecto iniciado en el año 2015, denominado “</w:t>
            </w:r>
            <w:r w:rsidRPr="003D6F87">
              <w:rPr>
                <w:rFonts w:cs="Arial"/>
                <w:i/>
                <w:sz w:val="18"/>
                <w:szCs w:val="20"/>
              </w:rPr>
              <w:t>Capacidades Diferentes, Derechos Iguales</w:t>
            </w:r>
            <w:r w:rsidRPr="003D6F87">
              <w:rPr>
                <w:rFonts w:cs="Arial"/>
                <w:sz w:val="18"/>
                <w:szCs w:val="20"/>
              </w:rPr>
              <w:t xml:space="preserve">”, para 2016 se ha formulado esta acción como un “Proyecto Especializado de Prevención Específica” para la promoción de la inclusión social y la prevención de la discriminación basada en discapacidad. </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lastRenderedPageBreak/>
              <w:t>La metodología se denomina “deporte unificado” y busca promover la inclusión social generando entornos deportivos en los que niños, niñas y adolescentes con y sin discapacidad comparten, juegan y compiten; todo lo cual se acompaña de procesos de acompañamiento psicosocial que favorecen el afianzamiento del discurso de derechos y de inclusión.</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En esta oportunidad se buscó extender la intervención a un mayor número de niños, niñas y adolescentes, diversificar los territorios del período pasado, y añadir nuevos deportes a la metodología, para efectos de captar la atención de más población y asegurar un mayor impacto.</w:t>
            </w:r>
          </w:p>
        </w:tc>
        <w:tc>
          <w:tcPr>
            <w:tcW w:w="2553" w:type="dxa"/>
            <w:vAlign w:val="center"/>
          </w:tcPr>
          <w:p w:rsidR="00FB2352" w:rsidRPr="003D6F87" w:rsidRDefault="00FB2352" w:rsidP="00D712DC">
            <w:pPr>
              <w:pStyle w:val="Prrafodelista"/>
              <w:numPr>
                <w:ilvl w:val="0"/>
                <w:numId w:val="161"/>
              </w:numPr>
              <w:spacing w:after="0" w:line="240" w:lineRule="auto"/>
              <w:ind w:left="360"/>
              <w:contextualSpacing/>
              <w:jc w:val="both"/>
              <w:rPr>
                <w:rFonts w:cs="Arial"/>
                <w:sz w:val="18"/>
                <w:szCs w:val="20"/>
              </w:rPr>
            </w:pPr>
            <w:r w:rsidRPr="003D6F87">
              <w:rPr>
                <w:rFonts w:cs="Arial"/>
                <w:b/>
                <w:sz w:val="18"/>
                <w:szCs w:val="20"/>
                <w:u w:val="single"/>
              </w:rPr>
              <w:lastRenderedPageBreak/>
              <w:t>Antioquia</w:t>
            </w:r>
            <w:r w:rsidRPr="003D6F87">
              <w:rPr>
                <w:rFonts w:cs="Arial"/>
                <w:b/>
                <w:sz w:val="18"/>
                <w:szCs w:val="20"/>
              </w:rPr>
              <w:t>:</w:t>
            </w:r>
            <w:r w:rsidRPr="003D6F87">
              <w:rPr>
                <w:rFonts w:cs="Arial"/>
                <w:sz w:val="18"/>
                <w:szCs w:val="20"/>
              </w:rPr>
              <w:t xml:space="preserve"> Medellín e Itagüí.</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1"/>
              </w:numPr>
              <w:spacing w:after="0" w:line="240" w:lineRule="auto"/>
              <w:ind w:left="360"/>
              <w:contextualSpacing/>
              <w:jc w:val="both"/>
              <w:rPr>
                <w:rFonts w:cs="Arial"/>
                <w:sz w:val="18"/>
                <w:szCs w:val="20"/>
              </w:rPr>
            </w:pPr>
            <w:r w:rsidRPr="003D6F87">
              <w:rPr>
                <w:rFonts w:cs="Arial"/>
                <w:b/>
                <w:sz w:val="18"/>
                <w:szCs w:val="20"/>
                <w:u w:val="single"/>
              </w:rPr>
              <w:t>Bogotá</w:t>
            </w:r>
            <w:r w:rsidRPr="003D6F87">
              <w:rPr>
                <w:rFonts w:cs="Arial"/>
                <w:sz w:val="18"/>
                <w:szCs w:val="20"/>
              </w:rPr>
              <w:t xml:space="preserve"> </w:t>
            </w:r>
            <w:r w:rsidRPr="003D6F87">
              <w:rPr>
                <w:rFonts w:cs="Arial"/>
                <w:b/>
                <w:sz w:val="18"/>
                <w:szCs w:val="20"/>
              </w:rPr>
              <w:t>D.C.</w:t>
            </w:r>
            <w:r w:rsidRPr="003D6F87">
              <w:rPr>
                <w:rFonts w:cs="Arial"/>
                <w:sz w:val="18"/>
                <w:szCs w:val="20"/>
              </w:rPr>
              <w:t xml:space="preserve">, </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1"/>
              </w:numPr>
              <w:spacing w:after="0" w:line="240" w:lineRule="auto"/>
              <w:ind w:left="360"/>
              <w:contextualSpacing/>
              <w:jc w:val="both"/>
              <w:rPr>
                <w:rFonts w:cs="Arial"/>
                <w:sz w:val="18"/>
                <w:szCs w:val="20"/>
              </w:rPr>
            </w:pPr>
            <w:r w:rsidRPr="003D6F87">
              <w:rPr>
                <w:rFonts w:cs="Arial"/>
                <w:b/>
                <w:sz w:val="18"/>
                <w:szCs w:val="20"/>
                <w:u w:val="single"/>
              </w:rPr>
              <w:lastRenderedPageBreak/>
              <w:t>Cundinamarca</w:t>
            </w:r>
            <w:r w:rsidRPr="003D6F87">
              <w:rPr>
                <w:rFonts w:cs="Arial"/>
                <w:b/>
                <w:sz w:val="18"/>
                <w:szCs w:val="20"/>
              </w:rPr>
              <w:t>:</w:t>
            </w:r>
            <w:r w:rsidRPr="003D6F87">
              <w:rPr>
                <w:rFonts w:cs="Arial"/>
                <w:sz w:val="18"/>
                <w:szCs w:val="20"/>
              </w:rPr>
              <w:t xml:space="preserve"> Soacha y Zipaquirá.</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1"/>
              </w:numPr>
              <w:spacing w:after="0" w:line="240" w:lineRule="auto"/>
              <w:ind w:left="360"/>
              <w:contextualSpacing/>
              <w:jc w:val="both"/>
              <w:rPr>
                <w:rFonts w:cs="Arial"/>
                <w:sz w:val="18"/>
                <w:szCs w:val="20"/>
              </w:rPr>
            </w:pPr>
            <w:r w:rsidRPr="003D6F87">
              <w:rPr>
                <w:rFonts w:cs="Arial"/>
                <w:b/>
                <w:sz w:val="18"/>
                <w:szCs w:val="20"/>
                <w:u w:val="single"/>
              </w:rPr>
              <w:t>Quindío</w:t>
            </w:r>
            <w:r w:rsidRPr="003D6F87">
              <w:rPr>
                <w:rFonts w:cs="Arial"/>
                <w:b/>
                <w:sz w:val="18"/>
                <w:szCs w:val="20"/>
              </w:rPr>
              <w:t>:</w:t>
            </w:r>
            <w:r w:rsidRPr="003D6F87">
              <w:rPr>
                <w:rFonts w:cs="Arial"/>
                <w:sz w:val="18"/>
                <w:szCs w:val="20"/>
              </w:rPr>
              <w:t xml:space="preserve"> Armenia.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1"/>
              </w:numPr>
              <w:spacing w:after="0" w:line="240" w:lineRule="auto"/>
              <w:ind w:left="360"/>
              <w:contextualSpacing/>
              <w:jc w:val="both"/>
              <w:rPr>
                <w:rFonts w:cs="Arial"/>
                <w:sz w:val="18"/>
                <w:szCs w:val="20"/>
              </w:rPr>
            </w:pPr>
            <w:r w:rsidRPr="003D6F87">
              <w:rPr>
                <w:rFonts w:cs="Arial"/>
                <w:b/>
                <w:sz w:val="18"/>
                <w:szCs w:val="20"/>
                <w:u w:val="single"/>
              </w:rPr>
              <w:t>Santander</w:t>
            </w:r>
            <w:r w:rsidRPr="003D6F87">
              <w:rPr>
                <w:rFonts w:cs="Arial"/>
                <w:b/>
                <w:sz w:val="18"/>
                <w:szCs w:val="20"/>
              </w:rPr>
              <w:t>:</w:t>
            </w:r>
            <w:r w:rsidRPr="003D6F87">
              <w:rPr>
                <w:rFonts w:cs="Arial"/>
                <w:sz w:val="18"/>
                <w:szCs w:val="20"/>
              </w:rPr>
              <w:t xml:space="preserve"> Bucaramanga, Floridablanca y Girón.</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lastRenderedPageBreak/>
              <w:t>$1.048.000.000</w:t>
            </w:r>
          </w:p>
        </w:tc>
      </w:tr>
    </w:tbl>
    <w:p w:rsidR="00FB2352" w:rsidRPr="00992589" w:rsidRDefault="005044B5" w:rsidP="00FB2352">
      <w:pPr>
        <w:pStyle w:val="Sinespaciado"/>
        <w:jc w:val="both"/>
        <w:rPr>
          <w:rFonts w:cs="Arial"/>
          <w:sz w:val="16"/>
        </w:rPr>
      </w:pPr>
      <w:r>
        <w:rPr>
          <w:rFonts w:cs="Arial"/>
          <w:b/>
          <w:sz w:val="16"/>
        </w:rPr>
        <w:lastRenderedPageBreak/>
        <w:t xml:space="preserve">      </w:t>
      </w:r>
      <w:r w:rsidR="00FB2352" w:rsidRPr="00E454EA">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maltrato infantil y violencia intrafamiliar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FB2352" w:rsidRPr="00992589" w:rsidTr="00E454EA">
        <w:trPr>
          <w:tblHeader/>
          <w:jc w:val="center"/>
        </w:trPr>
        <w:tc>
          <w:tcPr>
            <w:tcW w:w="4565"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Descripción y M</w:t>
            </w:r>
            <w:r w:rsidR="00FB2352" w:rsidRPr="00E454EA">
              <w:rPr>
                <w:rFonts w:cs="Arial"/>
                <w:b/>
                <w:color w:val="FFFFFF" w:themeColor="background1"/>
                <w:sz w:val="20"/>
                <w:szCs w:val="20"/>
              </w:rPr>
              <w:t>etodología</w:t>
            </w:r>
          </w:p>
        </w:tc>
        <w:tc>
          <w:tcPr>
            <w:tcW w:w="2518" w:type="dxa"/>
            <w:shd w:val="clear" w:color="auto" w:fill="76923C" w:themeFill="accent3" w:themeFillShade="BF"/>
          </w:tcPr>
          <w:p w:rsidR="00FB2352" w:rsidRPr="00E454EA" w:rsidRDefault="00FB2352" w:rsidP="00E454EA">
            <w:pPr>
              <w:pStyle w:val="Sinespaciado"/>
              <w:jc w:val="center"/>
              <w:rPr>
                <w:rFonts w:cs="Arial"/>
                <w:b/>
                <w:color w:val="FFFFFF" w:themeColor="background1"/>
                <w:sz w:val="20"/>
                <w:szCs w:val="20"/>
              </w:rPr>
            </w:pPr>
            <w:r w:rsidRPr="00E454EA">
              <w:rPr>
                <w:rFonts w:cs="Arial"/>
                <w:b/>
                <w:color w:val="FFFFFF" w:themeColor="background1"/>
                <w:sz w:val="20"/>
                <w:szCs w:val="20"/>
              </w:rPr>
              <w:t xml:space="preserve">Municipios </w:t>
            </w:r>
            <w:r w:rsidR="00E454EA">
              <w:rPr>
                <w:rFonts w:cs="Arial"/>
                <w:b/>
                <w:color w:val="FFFFFF" w:themeColor="background1"/>
                <w:sz w:val="20"/>
                <w:szCs w:val="20"/>
              </w:rPr>
              <w:t>F</w:t>
            </w:r>
            <w:r w:rsidRPr="00E454EA">
              <w:rPr>
                <w:rFonts w:cs="Arial"/>
                <w:b/>
                <w:color w:val="FFFFFF" w:themeColor="background1"/>
                <w:sz w:val="20"/>
                <w:szCs w:val="20"/>
              </w:rPr>
              <w:t>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3D6F87" w:rsidTr="00E454EA">
        <w:trPr>
          <w:jc w:val="center"/>
        </w:trPr>
        <w:tc>
          <w:tcPr>
            <w:tcW w:w="4565" w:type="dxa"/>
            <w:vAlign w:val="center"/>
          </w:tcPr>
          <w:p w:rsidR="00FB2352" w:rsidRPr="003D6F87" w:rsidRDefault="00FB2352" w:rsidP="00FB2352">
            <w:pPr>
              <w:pStyle w:val="Sinespaciado"/>
              <w:jc w:val="both"/>
              <w:rPr>
                <w:rFonts w:cs="Arial"/>
                <w:sz w:val="18"/>
                <w:szCs w:val="20"/>
              </w:rPr>
            </w:pPr>
            <w:r w:rsidRPr="003D6F87">
              <w:rPr>
                <w:rFonts w:cs="Arial"/>
                <w:sz w:val="18"/>
                <w:szCs w:val="20"/>
              </w:rPr>
              <w:t xml:space="preserve">Con el objetivo de generar una aproximación a la prevención del maltrato infantil y la violencia intrafamiliar, se ha desarrollado este “Proyecto Especializado de Prevención Específica”, el cual se basa en las artes y la literatura como herramientas metodológicas. </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La metodología establece una oportunidad para que los niños, niñas y adolescentes sean protagonistas de una historia de vida en donde identifican los obstáculos, los límites, las prevenciones, reconozcan sus derechos y se empoderan de ellos; una historia en donde levanten su propia voz y construyan un camino de expectativas y sueños que se pueden hacer realidad en un final feliz y aventurero.</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El trabajo parte del diseño de los elementos de un cuento, enfocado hacia las temáticas del maltrato infantil y la violencia intrafamiliar. Esto incluye el diseño de personajes, premisa inicial, espacio, tiempo y llamado a la acción. A partir de este diseño, se desarrollan todas las actividades en el marco del cuento, siendo un eje que se va complementando con los aportes de los participantes. Los niños, niñas, adolescentes, las familias y en general la comunidad, aportarán en las etapas en las que les corresponda participar, para así construir una gran pieza literaria hecha de muchas historias y caminos, y que se enmarca en el enfoque de derechos de la niñez y la adolescencia para la prevención del maltrato infantil y la violencia intrafamiliar.</w:t>
            </w:r>
          </w:p>
        </w:tc>
        <w:tc>
          <w:tcPr>
            <w:tcW w:w="2518" w:type="dxa"/>
            <w:vAlign w:val="center"/>
          </w:tcPr>
          <w:p w:rsidR="00FB2352" w:rsidRPr="003D6F87" w:rsidRDefault="00FB2352" w:rsidP="00D712DC">
            <w:pPr>
              <w:pStyle w:val="Prrafodelista"/>
              <w:numPr>
                <w:ilvl w:val="0"/>
                <w:numId w:val="162"/>
              </w:numPr>
              <w:spacing w:after="0" w:line="240" w:lineRule="auto"/>
              <w:ind w:left="360"/>
              <w:contextualSpacing/>
              <w:jc w:val="both"/>
              <w:rPr>
                <w:rFonts w:cs="Arial"/>
                <w:sz w:val="18"/>
                <w:szCs w:val="20"/>
              </w:rPr>
            </w:pPr>
            <w:r w:rsidRPr="003D6F87">
              <w:rPr>
                <w:rFonts w:cs="Arial"/>
                <w:b/>
                <w:sz w:val="18"/>
                <w:szCs w:val="20"/>
                <w:u w:val="single"/>
              </w:rPr>
              <w:t>Antioquia</w:t>
            </w:r>
            <w:r w:rsidRPr="003D6F87">
              <w:rPr>
                <w:rFonts w:cs="Arial"/>
                <w:b/>
                <w:sz w:val="18"/>
                <w:szCs w:val="20"/>
              </w:rPr>
              <w:t xml:space="preserve">: </w:t>
            </w:r>
            <w:r w:rsidRPr="003D6F87">
              <w:rPr>
                <w:rFonts w:cs="Arial"/>
                <w:sz w:val="18"/>
                <w:szCs w:val="20"/>
              </w:rPr>
              <w:t>Medellín (Suroriental, Nororiental, Noroccidental y Norte de Aburrá).</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2"/>
              </w:numPr>
              <w:spacing w:after="0" w:line="240" w:lineRule="auto"/>
              <w:ind w:left="360"/>
              <w:contextualSpacing/>
              <w:jc w:val="both"/>
              <w:rPr>
                <w:rFonts w:cs="Arial"/>
                <w:sz w:val="18"/>
                <w:szCs w:val="20"/>
              </w:rPr>
            </w:pPr>
            <w:r w:rsidRPr="003D6F87">
              <w:rPr>
                <w:rFonts w:cs="Arial"/>
                <w:b/>
                <w:sz w:val="18"/>
                <w:szCs w:val="20"/>
                <w:u w:val="single"/>
              </w:rPr>
              <w:t>Bogotá D.C</w:t>
            </w:r>
            <w:r w:rsidRPr="003D6F87">
              <w:rPr>
                <w:rFonts w:cs="Arial"/>
                <w:b/>
                <w:sz w:val="18"/>
                <w:szCs w:val="20"/>
              </w:rPr>
              <w:t>.</w:t>
            </w:r>
            <w:r w:rsidRPr="003D6F87">
              <w:rPr>
                <w:rFonts w:cs="Arial"/>
                <w:sz w:val="18"/>
                <w:szCs w:val="20"/>
              </w:rPr>
              <w:t>: San Cristóbal Sur, Tunjuelito, Engativá, Suba.</w:t>
            </w:r>
          </w:p>
          <w:p w:rsidR="00FB2352" w:rsidRPr="003D6F87" w:rsidRDefault="00FB2352" w:rsidP="00FB2352">
            <w:pPr>
              <w:pStyle w:val="Prrafodelista"/>
              <w:ind w:left="0" w:hanging="317"/>
              <w:rPr>
                <w:rFonts w:cs="Arial"/>
                <w:sz w:val="18"/>
                <w:szCs w:val="20"/>
              </w:rPr>
            </w:pPr>
          </w:p>
          <w:p w:rsidR="00FB2352" w:rsidRPr="003D6F87" w:rsidRDefault="00FB2352" w:rsidP="00D712DC">
            <w:pPr>
              <w:pStyle w:val="Prrafodelista"/>
              <w:numPr>
                <w:ilvl w:val="0"/>
                <w:numId w:val="162"/>
              </w:numPr>
              <w:spacing w:after="0" w:line="240" w:lineRule="auto"/>
              <w:ind w:left="360"/>
              <w:contextualSpacing/>
              <w:jc w:val="both"/>
              <w:rPr>
                <w:rFonts w:cs="Arial"/>
                <w:sz w:val="18"/>
                <w:szCs w:val="20"/>
              </w:rPr>
            </w:pPr>
            <w:r w:rsidRPr="003D6F87">
              <w:rPr>
                <w:rFonts w:cs="Arial"/>
                <w:b/>
                <w:sz w:val="18"/>
                <w:szCs w:val="20"/>
                <w:u w:val="single"/>
              </w:rPr>
              <w:t>Cundinamarca</w:t>
            </w:r>
            <w:r w:rsidRPr="003D6F87">
              <w:rPr>
                <w:rFonts w:cs="Arial"/>
                <w:b/>
                <w:sz w:val="18"/>
                <w:szCs w:val="20"/>
              </w:rPr>
              <w:t xml:space="preserve">: </w:t>
            </w:r>
            <w:r w:rsidRPr="003D6F87">
              <w:rPr>
                <w:rFonts w:cs="Arial"/>
                <w:sz w:val="18"/>
                <w:szCs w:val="20"/>
              </w:rPr>
              <w:t>Cajicá, Zipaquirá, Cogua y Chía.</w:t>
            </w:r>
          </w:p>
          <w:p w:rsidR="00FB2352" w:rsidRPr="003D6F87" w:rsidRDefault="00FB2352" w:rsidP="00FB2352">
            <w:pPr>
              <w:pStyle w:val="Prrafodelista"/>
              <w:ind w:left="0" w:hanging="317"/>
              <w:jc w:val="both"/>
              <w:rPr>
                <w:rFonts w:cs="Arial"/>
                <w:sz w:val="18"/>
                <w:szCs w:val="20"/>
              </w:rPr>
            </w:pPr>
          </w:p>
          <w:p w:rsidR="00FB2352" w:rsidRPr="003D6F87" w:rsidRDefault="00FB2352" w:rsidP="00D712DC">
            <w:pPr>
              <w:pStyle w:val="Prrafodelista"/>
              <w:numPr>
                <w:ilvl w:val="0"/>
                <w:numId w:val="162"/>
              </w:numPr>
              <w:spacing w:after="0" w:line="240" w:lineRule="auto"/>
              <w:ind w:left="360"/>
              <w:contextualSpacing/>
              <w:jc w:val="both"/>
              <w:rPr>
                <w:rFonts w:cs="Arial"/>
                <w:sz w:val="18"/>
                <w:szCs w:val="20"/>
              </w:rPr>
            </w:pPr>
            <w:r w:rsidRPr="003D6F87">
              <w:rPr>
                <w:rFonts w:cs="Arial"/>
                <w:b/>
                <w:sz w:val="18"/>
                <w:szCs w:val="20"/>
                <w:u w:val="single"/>
              </w:rPr>
              <w:t>Nariño</w:t>
            </w:r>
            <w:r w:rsidRPr="003D6F87">
              <w:rPr>
                <w:rFonts w:cs="Arial"/>
                <w:b/>
                <w:sz w:val="18"/>
                <w:szCs w:val="20"/>
              </w:rPr>
              <w:t>:</w:t>
            </w:r>
            <w:r w:rsidRPr="003D6F87">
              <w:rPr>
                <w:rFonts w:cs="Arial"/>
                <w:sz w:val="18"/>
                <w:szCs w:val="20"/>
              </w:rPr>
              <w:t xml:space="preserve"> San Bernardo, Tablón de Gómez, Buesaco y Albán.</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62"/>
              </w:numPr>
              <w:spacing w:after="0" w:line="240" w:lineRule="auto"/>
              <w:ind w:left="360"/>
              <w:contextualSpacing/>
              <w:jc w:val="both"/>
              <w:rPr>
                <w:rFonts w:cs="Arial"/>
                <w:sz w:val="18"/>
                <w:szCs w:val="20"/>
              </w:rPr>
            </w:pPr>
            <w:r w:rsidRPr="003D6F87">
              <w:rPr>
                <w:rFonts w:cs="Arial"/>
                <w:b/>
                <w:sz w:val="18"/>
                <w:szCs w:val="20"/>
                <w:u w:val="single"/>
              </w:rPr>
              <w:t>Valle del Cauca</w:t>
            </w:r>
            <w:r w:rsidRPr="003D6F87">
              <w:rPr>
                <w:rFonts w:cs="Arial"/>
                <w:b/>
                <w:sz w:val="18"/>
                <w:szCs w:val="20"/>
              </w:rPr>
              <w:t>:</w:t>
            </w:r>
            <w:r w:rsidRPr="003D6F87">
              <w:rPr>
                <w:rFonts w:cs="Arial"/>
                <w:sz w:val="18"/>
                <w:szCs w:val="20"/>
              </w:rPr>
              <w:t xml:space="preserve"> Cali (Centro, Sur, Suroriental y Nororiental).</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$1.703.780.000</w:t>
            </w:r>
          </w:p>
        </w:tc>
      </w:tr>
    </w:tbl>
    <w:p w:rsidR="00FB2352" w:rsidRPr="005044B5" w:rsidRDefault="005044B5" w:rsidP="00FB2352">
      <w:pPr>
        <w:pStyle w:val="Sinespaciado"/>
        <w:jc w:val="both"/>
        <w:rPr>
          <w:rFonts w:cs="Arial"/>
          <w:sz w:val="16"/>
          <w:szCs w:val="16"/>
        </w:rPr>
      </w:pPr>
      <w:r>
        <w:rPr>
          <w:rFonts w:cs="Arial"/>
          <w:sz w:val="14"/>
        </w:rPr>
        <w:t xml:space="preserve">       </w:t>
      </w:r>
      <w:r w:rsidR="00FB2352" w:rsidRPr="005044B5">
        <w:rPr>
          <w:rFonts w:cs="Arial"/>
          <w:b/>
          <w:sz w:val="16"/>
          <w:szCs w:val="16"/>
        </w:rPr>
        <w:t>Fuente:</w:t>
      </w:r>
      <w:r w:rsidR="00FB2352" w:rsidRPr="005044B5">
        <w:rPr>
          <w:rFonts w:cs="Arial"/>
          <w:sz w:val="16"/>
          <w:szCs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rPr>
      </w:pPr>
      <w:r w:rsidRPr="00992589">
        <w:rPr>
          <w:rFonts w:cs="Arial"/>
          <w:b/>
          <w:u w:val="single"/>
        </w:rPr>
        <w:lastRenderedPageBreak/>
        <w:t>Promoción de derechos con énfasis en el derecho a la participación desde la diversidad étnica y cultural</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FB2352" w:rsidRPr="00992589" w:rsidTr="00E454EA">
        <w:trPr>
          <w:jc w:val="center"/>
        </w:trPr>
        <w:tc>
          <w:tcPr>
            <w:tcW w:w="456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 xml:space="preserve">Descripción </w:t>
            </w:r>
            <w:r w:rsidR="00E454EA" w:rsidRPr="00E454EA">
              <w:rPr>
                <w:rFonts w:cs="Arial"/>
                <w:b/>
                <w:color w:val="FFFFFF" w:themeColor="background1"/>
                <w:sz w:val="18"/>
                <w:szCs w:val="20"/>
              </w:rPr>
              <w:t>Y Metodología</w:t>
            </w:r>
          </w:p>
        </w:tc>
        <w:tc>
          <w:tcPr>
            <w:tcW w:w="2518"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 xml:space="preserve">Municipios </w:t>
            </w:r>
            <w:r w:rsidR="00E454EA" w:rsidRPr="00E454EA">
              <w:rPr>
                <w:rFonts w:cs="Arial"/>
                <w:b/>
                <w:color w:val="FFFFFF" w:themeColor="background1"/>
                <w:sz w:val="18"/>
                <w:szCs w:val="20"/>
              </w:rPr>
              <w:t>Focalizados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Inversión ICBF</w:t>
            </w:r>
          </w:p>
        </w:tc>
      </w:tr>
      <w:tr w:rsidR="00FB2352" w:rsidRPr="00992589" w:rsidTr="00E454EA">
        <w:trPr>
          <w:jc w:val="center"/>
        </w:trPr>
        <w:tc>
          <w:tcPr>
            <w:tcW w:w="4565" w:type="dxa"/>
            <w:vAlign w:val="center"/>
          </w:tcPr>
          <w:p w:rsidR="00FB2352" w:rsidRPr="003D6F87" w:rsidRDefault="00FB2352" w:rsidP="00FB2352">
            <w:pPr>
              <w:pStyle w:val="Sinespaciado"/>
              <w:jc w:val="both"/>
              <w:rPr>
                <w:rFonts w:cs="Arial"/>
                <w:sz w:val="18"/>
                <w:szCs w:val="20"/>
              </w:rPr>
            </w:pPr>
            <w:r w:rsidRPr="003D6F87">
              <w:rPr>
                <w:rFonts w:cs="Arial"/>
                <w:sz w:val="18"/>
                <w:szCs w:val="20"/>
              </w:rPr>
              <w:t>Tras la experiencia del año 2015 derivada del proyecto “</w:t>
            </w:r>
            <w:r w:rsidRPr="003D6F87">
              <w:rPr>
                <w:rFonts w:cs="Arial"/>
                <w:i/>
                <w:sz w:val="18"/>
                <w:szCs w:val="20"/>
              </w:rPr>
              <w:t>Pasa La Voz, Tu Opinión Cuenta</w:t>
            </w:r>
            <w:r w:rsidRPr="003D6F87">
              <w:rPr>
                <w:rFonts w:cs="Arial"/>
                <w:sz w:val="18"/>
                <w:szCs w:val="20"/>
              </w:rPr>
              <w:t>”, se ha comprobado que la formación en periodismo y en comunicaciones es un vehículo apropiado para el empoderamiento de los adolescentes como sujetos de derechos, y especialmente para el ejercicio de su derecho a la participación.</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Este año se ha desarrollado el mismo modelo de formación en periodismo y comunicaciones para adolescentes, pero esta vez con un fortalecido proceso de incidencia en medios locales, regionales y nacionales, y apertura de espacios de participación significativa para incidencia política de la niñez y la adolescencia.</w:t>
            </w:r>
          </w:p>
          <w:p w:rsidR="00FB2352" w:rsidRPr="003D6F87" w:rsidRDefault="00FB2352" w:rsidP="00FB2352">
            <w:pPr>
              <w:pStyle w:val="Sinespaciado"/>
              <w:jc w:val="both"/>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La focalización recoge la gran diversidad étnica y cultural que existe en Colombia, con miras a reproducir las voces de los adolescentes de regiones representativas.</w:t>
            </w:r>
          </w:p>
        </w:tc>
        <w:tc>
          <w:tcPr>
            <w:tcW w:w="2518" w:type="dxa"/>
            <w:vAlign w:val="center"/>
          </w:tcPr>
          <w:p w:rsidR="00FB2352" w:rsidRPr="003D6F87" w:rsidRDefault="00FB2352" w:rsidP="00D712DC">
            <w:pPr>
              <w:pStyle w:val="Prrafodelista"/>
              <w:numPr>
                <w:ilvl w:val="0"/>
                <w:numId w:val="163"/>
              </w:numPr>
              <w:spacing w:after="0" w:line="240" w:lineRule="auto"/>
              <w:ind w:left="360"/>
              <w:contextualSpacing/>
              <w:jc w:val="both"/>
              <w:rPr>
                <w:rFonts w:cs="Arial"/>
                <w:sz w:val="18"/>
                <w:szCs w:val="20"/>
              </w:rPr>
            </w:pPr>
            <w:r w:rsidRPr="003D6F87">
              <w:rPr>
                <w:rFonts w:cs="Arial"/>
                <w:b/>
                <w:sz w:val="18"/>
                <w:szCs w:val="20"/>
                <w:u w:val="single"/>
              </w:rPr>
              <w:t>Casanare</w:t>
            </w:r>
            <w:r w:rsidRPr="003D6F87">
              <w:rPr>
                <w:rFonts w:cs="Arial"/>
                <w:b/>
                <w:sz w:val="18"/>
                <w:szCs w:val="20"/>
              </w:rPr>
              <w:t>:</w:t>
            </w:r>
            <w:r w:rsidRPr="003D6F87">
              <w:rPr>
                <w:rFonts w:cs="Arial"/>
                <w:sz w:val="18"/>
                <w:szCs w:val="20"/>
              </w:rPr>
              <w:t xml:space="preserve"> Paz de Ariporo.</w:t>
            </w:r>
          </w:p>
          <w:p w:rsidR="00FB2352" w:rsidRPr="003D6F87" w:rsidRDefault="00FB2352" w:rsidP="00FB2352">
            <w:pPr>
              <w:spacing w:after="0" w:line="240" w:lineRule="auto"/>
              <w:ind w:hanging="317"/>
              <w:jc w:val="both"/>
              <w:rPr>
                <w:rFonts w:cs="Arial"/>
                <w:sz w:val="18"/>
                <w:szCs w:val="20"/>
              </w:rPr>
            </w:pPr>
          </w:p>
          <w:p w:rsidR="00FB2352" w:rsidRPr="003D6F87" w:rsidRDefault="00FB2352" w:rsidP="00D712DC">
            <w:pPr>
              <w:pStyle w:val="Prrafodelista"/>
              <w:numPr>
                <w:ilvl w:val="0"/>
                <w:numId w:val="163"/>
              </w:numPr>
              <w:spacing w:after="0" w:line="240" w:lineRule="auto"/>
              <w:ind w:left="360"/>
              <w:contextualSpacing/>
              <w:jc w:val="both"/>
              <w:rPr>
                <w:rFonts w:cs="Arial"/>
                <w:sz w:val="18"/>
                <w:szCs w:val="20"/>
              </w:rPr>
            </w:pPr>
            <w:r w:rsidRPr="003D6F87">
              <w:rPr>
                <w:rFonts w:cs="Arial"/>
                <w:b/>
                <w:sz w:val="18"/>
                <w:szCs w:val="20"/>
                <w:u w:val="single"/>
              </w:rPr>
              <w:t>Guainía</w:t>
            </w:r>
            <w:r w:rsidRPr="003D6F87">
              <w:rPr>
                <w:rFonts w:cs="Arial"/>
                <w:b/>
                <w:sz w:val="18"/>
                <w:szCs w:val="20"/>
              </w:rPr>
              <w:t>:</w:t>
            </w:r>
            <w:r w:rsidRPr="003D6F87">
              <w:rPr>
                <w:rFonts w:cs="Arial"/>
                <w:sz w:val="18"/>
                <w:szCs w:val="20"/>
              </w:rPr>
              <w:t xml:space="preserve"> Puerto Inírida.</w:t>
            </w:r>
          </w:p>
          <w:p w:rsidR="00FB2352" w:rsidRPr="003D6F87" w:rsidRDefault="00FB2352" w:rsidP="00FB2352">
            <w:pPr>
              <w:spacing w:after="0" w:line="240" w:lineRule="auto"/>
              <w:ind w:hanging="317"/>
              <w:jc w:val="both"/>
              <w:rPr>
                <w:rFonts w:cs="Arial"/>
                <w:sz w:val="18"/>
                <w:szCs w:val="20"/>
              </w:rPr>
            </w:pPr>
          </w:p>
          <w:p w:rsidR="00FB2352" w:rsidRPr="003D6F87" w:rsidRDefault="00FB2352" w:rsidP="00D712DC">
            <w:pPr>
              <w:pStyle w:val="Prrafodelista"/>
              <w:numPr>
                <w:ilvl w:val="0"/>
                <w:numId w:val="163"/>
              </w:numPr>
              <w:spacing w:after="0" w:line="240" w:lineRule="auto"/>
              <w:ind w:left="360"/>
              <w:contextualSpacing/>
              <w:jc w:val="both"/>
              <w:rPr>
                <w:rFonts w:cs="Arial"/>
                <w:sz w:val="18"/>
                <w:szCs w:val="20"/>
              </w:rPr>
            </w:pPr>
            <w:r w:rsidRPr="003D6F87">
              <w:rPr>
                <w:rFonts w:cs="Arial"/>
                <w:b/>
                <w:sz w:val="18"/>
                <w:szCs w:val="20"/>
                <w:u w:val="single"/>
              </w:rPr>
              <w:t>La Guajira</w:t>
            </w:r>
            <w:r w:rsidRPr="003D6F87">
              <w:rPr>
                <w:rFonts w:cs="Arial"/>
                <w:b/>
                <w:sz w:val="18"/>
                <w:szCs w:val="20"/>
              </w:rPr>
              <w:t>:</w:t>
            </w:r>
            <w:r w:rsidRPr="003D6F87">
              <w:rPr>
                <w:rFonts w:cs="Arial"/>
                <w:sz w:val="18"/>
                <w:szCs w:val="20"/>
              </w:rPr>
              <w:t xml:space="preserve"> Riohacha.</w:t>
            </w:r>
          </w:p>
          <w:p w:rsidR="00FB2352" w:rsidRPr="003D6F87" w:rsidRDefault="00FB2352" w:rsidP="00FB2352">
            <w:pPr>
              <w:spacing w:after="0" w:line="240" w:lineRule="auto"/>
              <w:ind w:hanging="317"/>
              <w:jc w:val="both"/>
              <w:rPr>
                <w:rFonts w:cs="Arial"/>
                <w:sz w:val="18"/>
                <w:szCs w:val="20"/>
              </w:rPr>
            </w:pPr>
          </w:p>
          <w:p w:rsidR="00FB2352" w:rsidRPr="003D6F87" w:rsidRDefault="00FB2352" w:rsidP="00D712DC">
            <w:pPr>
              <w:pStyle w:val="Prrafodelista"/>
              <w:numPr>
                <w:ilvl w:val="0"/>
                <w:numId w:val="163"/>
              </w:numPr>
              <w:spacing w:after="0" w:line="240" w:lineRule="auto"/>
              <w:ind w:left="360"/>
              <w:contextualSpacing/>
              <w:jc w:val="both"/>
              <w:rPr>
                <w:rFonts w:cs="Arial"/>
                <w:b/>
                <w:sz w:val="18"/>
                <w:szCs w:val="20"/>
              </w:rPr>
            </w:pPr>
            <w:r w:rsidRPr="003D6F87">
              <w:rPr>
                <w:rFonts w:cs="Arial"/>
                <w:b/>
                <w:sz w:val="18"/>
                <w:szCs w:val="20"/>
                <w:u w:val="single"/>
              </w:rPr>
              <w:t>San Andres Islas</w:t>
            </w:r>
            <w:r w:rsidRPr="003D6F87">
              <w:rPr>
                <w:rFonts w:cs="Arial"/>
                <w:b/>
                <w:sz w:val="18"/>
                <w:szCs w:val="20"/>
              </w:rPr>
              <w:t xml:space="preserve">: </w:t>
            </w:r>
            <w:r w:rsidRPr="003D6F87">
              <w:rPr>
                <w:rFonts w:cs="Arial"/>
                <w:sz w:val="18"/>
                <w:szCs w:val="20"/>
              </w:rPr>
              <w:t>San Andrés y Providencia.</w:t>
            </w:r>
          </w:p>
          <w:p w:rsidR="00FB2352" w:rsidRPr="003D6F87" w:rsidRDefault="00FB2352" w:rsidP="00FB2352">
            <w:pPr>
              <w:pStyle w:val="Prrafodelista"/>
              <w:ind w:left="0" w:hanging="317"/>
              <w:rPr>
                <w:rFonts w:cs="Arial"/>
                <w:b/>
                <w:sz w:val="18"/>
                <w:szCs w:val="20"/>
              </w:rPr>
            </w:pPr>
          </w:p>
          <w:p w:rsidR="00FB2352" w:rsidRPr="003D6F87" w:rsidRDefault="00FB2352" w:rsidP="00D712DC">
            <w:pPr>
              <w:pStyle w:val="Prrafodelista"/>
              <w:numPr>
                <w:ilvl w:val="0"/>
                <w:numId w:val="163"/>
              </w:numPr>
              <w:spacing w:after="0" w:line="240" w:lineRule="auto"/>
              <w:ind w:left="360"/>
              <w:contextualSpacing/>
              <w:jc w:val="both"/>
              <w:rPr>
                <w:rFonts w:cs="Arial"/>
                <w:sz w:val="18"/>
                <w:szCs w:val="20"/>
              </w:rPr>
            </w:pPr>
            <w:r w:rsidRPr="003D6F87">
              <w:rPr>
                <w:rFonts w:cs="Arial"/>
                <w:b/>
                <w:sz w:val="18"/>
                <w:szCs w:val="20"/>
                <w:u w:val="single"/>
              </w:rPr>
              <w:t>Valle del Cauca</w:t>
            </w:r>
            <w:r w:rsidRPr="003D6F87">
              <w:rPr>
                <w:rFonts w:cs="Arial"/>
                <w:b/>
                <w:sz w:val="18"/>
                <w:szCs w:val="20"/>
              </w:rPr>
              <w:t xml:space="preserve">: </w:t>
            </w:r>
            <w:r w:rsidRPr="003D6F87">
              <w:rPr>
                <w:rFonts w:cs="Arial"/>
                <w:sz w:val="18"/>
                <w:szCs w:val="20"/>
              </w:rPr>
              <w:t>Cali.</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$507.659.943</w:t>
            </w:r>
          </w:p>
        </w:tc>
      </w:tr>
    </w:tbl>
    <w:p w:rsidR="00FB2352" w:rsidRPr="00992589" w:rsidRDefault="005044B5" w:rsidP="00FB2352">
      <w:pPr>
        <w:pStyle w:val="Sinespaciado"/>
        <w:jc w:val="both"/>
        <w:rPr>
          <w:rFonts w:cs="Arial"/>
          <w:sz w:val="16"/>
        </w:rPr>
      </w:pPr>
      <w:r>
        <w:rPr>
          <w:rFonts w:cs="Arial"/>
          <w:b/>
          <w:sz w:val="16"/>
        </w:rPr>
        <w:t xml:space="preserve">      </w:t>
      </w:r>
      <w:r w:rsidR="00FB2352" w:rsidRPr="005044B5">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acoso e intimidación escolar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FB2352" w:rsidRPr="003D6F87" w:rsidTr="00E454EA">
        <w:trPr>
          <w:tblHeader/>
          <w:jc w:val="center"/>
        </w:trPr>
        <w:tc>
          <w:tcPr>
            <w:tcW w:w="4565"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18"/>
                <w:szCs w:val="20"/>
              </w:rPr>
            </w:pPr>
            <w:r>
              <w:rPr>
                <w:rFonts w:cs="Arial"/>
                <w:b/>
                <w:color w:val="FFFFFF" w:themeColor="background1"/>
                <w:sz w:val="18"/>
                <w:szCs w:val="20"/>
              </w:rPr>
              <w:t>Descripción y M</w:t>
            </w:r>
            <w:r w:rsidR="00FB2352" w:rsidRPr="00E454EA">
              <w:rPr>
                <w:rFonts w:cs="Arial"/>
                <w:b/>
                <w:color w:val="FFFFFF" w:themeColor="background1"/>
                <w:sz w:val="18"/>
                <w:szCs w:val="20"/>
              </w:rPr>
              <w:t>etodología</w:t>
            </w:r>
          </w:p>
        </w:tc>
        <w:tc>
          <w:tcPr>
            <w:tcW w:w="2518"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18"/>
                <w:szCs w:val="20"/>
              </w:rPr>
            </w:pPr>
            <w:r>
              <w:rPr>
                <w:rFonts w:cs="Arial"/>
                <w:b/>
                <w:color w:val="FFFFFF" w:themeColor="background1"/>
                <w:sz w:val="18"/>
                <w:szCs w:val="20"/>
              </w:rPr>
              <w:t>Municipios F</w:t>
            </w:r>
            <w:r w:rsidR="00FB2352" w:rsidRPr="00E454EA">
              <w:rPr>
                <w:rFonts w:cs="Arial"/>
                <w:b/>
                <w:color w:val="FFFFFF" w:themeColor="background1"/>
                <w:sz w:val="18"/>
                <w:szCs w:val="20"/>
              </w:rPr>
              <w:t>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Inversión ICBF</w:t>
            </w:r>
          </w:p>
        </w:tc>
      </w:tr>
      <w:tr w:rsidR="00FB2352" w:rsidRPr="003D6F87" w:rsidTr="00E454EA">
        <w:trPr>
          <w:jc w:val="center"/>
        </w:trPr>
        <w:tc>
          <w:tcPr>
            <w:tcW w:w="4565" w:type="dxa"/>
            <w:vAlign w:val="center"/>
          </w:tcPr>
          <w:p w:rsidR="00FB2352" w:rsidRPr="003D6F87" w:rsidRDefault="00FB2352" w:rsidP="00FB2352">
            <w:pPr>
              <w:pStyle w:val="Sinespaciado"/>
              <w:jc w:val="both"/>
              <w:rPr>
                <w:rFonts w:cs="Arial"/>
                <w:sz w:val="18"/>
                <w:szCs w:val="20"/>
                <w:lang w:val="es-MX"/>
              </w:rPr>
            </w:pPr>
            <w:r w:rsidRPr="003D6F87">
              <w:rPr>
                <w:rFonts w:cs="Arial"/>
                <w:sz w:val="18"/>
                <w:szCs w:val="20"/>
                <w:lang w:val="es-MX"/>
              </w:rPr>
              <w:t>A través de las herramientas metodológicas que brindan las experiencias participativas en las diferentes modalidades de arte escénico, en este caso el teatro y los títeres, se buscó comprender y suscitar la participación de los niños, niñas y adolescentes en la búsqueda de alternativas para la promoción de los derechos y prevención de sus vulneraciones, especialmente en lo relacionado con el fenómeno de las violencias en la escuela. Desde allí se desarrolló este “Proyecto Especializado de Prevención Específica”.</w:t>
            </w:r>
          </w:p>
          <w:p w:rsidR="00FB2352" w:rsidRPr="003D6F87" w:rsidRDefault="00FB2352" w:rsidP="00FB2352">
            <w:pPr>
              <w:pStyle w:val="Sinespaciado"/>
              <w:jc w:val="both"/>
              <w:rPr>
                <w:rFonts w:cs="Arial"/>
                <w:sz w:val="18"/>
                <w:szCs w:val="20"/>
                <w:lang w:val="es-MX"/>
              </w:rPr>
            </w:pPr>
          </w:p>
          <w:p w:rsidR="00FB2352" w:rsidRPr="003D6F87" w:rsidRDefault="00FB2352" w:rsidP="00FB2352">
            <w:pPr>
              <w:pStyle w:val="Sinespaciado"/>
              <w:jc w:val="both"/>
              <w:rPr>
                <w:rFonts w:cs="Arial"/>
                <w:sz w:val="18"/>
                <w:szCs w:val="20"/>
              </w:rPr>
            </w:pPr>
            <w:r w:rsidRPr="003D6F87">
              <w:rPr>
                <w:rFonts w:cs="Arial"/>
                <w:sz w:val="18"/>
                <w:szCs w:val="20"/>
              </w:rPr>
              <w:t>Desde lo metodológico, en territorio ha sido posible articular con otras estrategias artísticas y lúdicas que están desarrollándose en las instituciones educativas, para robustecer los esfuerzos de prevención de las violencias entre los estudiantes y los demás miembros de las comunidades educativas.</w:t>
            </w:r>
          </w:p>
        </w:tc>
        <w:tc>
          <w:tcPr>
            <w:tcW w:w="2518" w:type="dxa"/>
            <w:vAlign w:val="center"/>
          </w:tcPr>
          <w:p w:rsidR="00FB2352" w:rsidRPr="003D6F87" w:rsidRDefault="00FB2352" w:rsidP="00D712DC">
            <w:pPr>
              <w:pStyle w:val="Prrafodelista"/>
              <w:numPr>
                <w:ilvl w:val="0"/>
                <w:numId w:val="164"/>
              </w:numPr>
              <w:spacing w:after="0" w:line="240" w:lineRule="auto"/>
              <w:ind w:left="360"/>
              <w:contextualSpacing/>
              <w:jc w:val="both"/>
              <w:rPr>
                <w:rFonts w:cs="Arial"/>
                <w:b/>
                <w:i/>
                <w:sz w:val="18"/>
                <w:szCs w:val="20"/>
              </w:rPr>
            </w:pPr>
            <w:r w:rsidRPr="003D6F87">
              <w:rPr>
                <w:rFonts w:cs="Arial"/>
                <w:b/>
                <w:sz w:val="18"/>
                <w:szCs w:val="20"/>
                <w:u w:val="single"/>
              </w:rPr>
              <w:t>Caldas</w:t>
            </w:r>
            <w:r w:rsidRPr="003D6F87">
              <w:rPr>
                <w:rFonts w:cs="Arial"/>
                <w:b/>
                <w:i/>
                <w:sz w:val="18"/>
                <w:szCs w:val="20"/>
              </w:rPr>
              <w:t xml:space="preserve">: </w:t>
            </w:r>
            <w:r w:rsidRPr="003D6F87">
              <w:rPr>
                <w:rFonts w:cs="Arial"/>
                <w:sz w:val="18"/>
                <w:szCs w:val="20"/>
              </w:rPr>
              <w:t>Ríosucio, Viterbo, Anserma y Belalcázar.</w:t>
            </w:r>
          </w:p>
          <w:p w:rsidR="00FB2352" w:rsidRPr="003D6F87" w:rsidRDefault="00FB2352" w:rsidP="00FB2352">
            <w:pPr>
              <w:pStyle w:val="Prrafodelista"/>
              <w:ind w:left="0" w:hanging="317"/>
              <w:rPr>
                <w:rFonts w:cs="Arial"/>
                <w:sz w:val="18"/>
                <w:szCs w:val="20"/>
              </w:rPr>
            </w:pPr>
          </w:p>
          <w:p w:rsidR="00FB2352" w:rsidRPr="003D6F87" w:rsidRDefault="00FB2352" w:rsidP="00D712DC">
            <w:pPr>
              <w:pStyle w:val="Prrafodelista"/>
              <w:numPr>
                <w:ilvl w:val="0"/>
                <w:numId w:val="164"/>
              </w:numPr>
              <w:spacing w:after="0" w:line="240" w:lineRule="auto"/>
              <w:ind w:left="360"/>
              <w:contextualSpacing/>
              <w:jc w:val="both"/>
              <w:rPr>
                <w:rFonts w:cs="Arial"/>
                <w:sz w:val="18"/>
                <w:szCs w:val="20"/>
              </w:rPr>
            </w:pPr>
            <w:r w:rsidRPr="003D6F87">
              <w:rPr>
                <w:rFonts w:cs="Arial"/>
                <w:b/>
                <w:sz w:val="18"/>
                <w:szCs w:val="20"/>
                <w:u w:val="single"/>
              </w:rPr>
              <w:t>Bogotá D.C</w:t>
            </w:r>
            <w:r w:rsidRPr="003D6F87">
              <w:rPr>
                <w:rFonts w:cs="Arial"/>
                <w:b/>
                <w:i/>
                <w:sz w:val="18"/>
                <w:szCs w:val="20"/>
              </w:rPr>
              <w:t>.</w:t>
            </w:r>
          </w:p>
        </w:tc>
        <w:tc>
          <w:tcPr>
            <w:tcW w:w="1745"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$320.000.000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AMAS</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Promoción de derechos, diversidad sexual y prevención de discriminación basada en orientación sexual o identidad de género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righ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FB2352" w:rsidRPr="00992589" w:rsidTr="00E454EA">
        <w:trPr>
          <w:tblHeader/>
          <w:jc w:val="right"/>
        </w:trPr>
        <w:tc>
          <w:tcPr>
            <w:tcW w:w="4565"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rPr>
            </w:pPr>
            <w:r>
              <w:rPr>
                <w:rFonts w:cs="Arial"/>
                <w:b/>
                <w:color w:val="FFFFFF" w:themeColor="background1"/>
                <w:sz w:val="20"/>
              </w:rPr>
              <w:lastRenderedPageBreak/>
              <w:t>Descripción y M</w:t>
            </w:r>
            <w:r w:rsidR="00FB2352" w:rsidRPr="00E454EA">
              <w:rPr>
                <w:rFonts w:cs="Arial"/>
                <w:b/>
                <w:color w:val="FFFFFF" w:themeColor="background1"/>
                <w:sz w:val="20"/>
              </w:rPr>
              <w:t>etodología</w:t>
            </w:r>
          </w:p>
        </w:tc>
        <w:tc>
          <w:tcPr>
            <w:tcW w:w="2518"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rPr>
            </w:pPr>
            <w:r>
              <w:rPr>
                <w:rFonts w:cs="Arial"/>
                <w:b/>
                <w:color w:val="FFFFFF" w:themeColor="background1"/>
                <w:sz w:val="20"/>
              </w:rPr>
              <w:t>Municipios F</w:t>
            </w:r>
            <w:r w:rsidR="00FB2352" w:rsidRPr="00E454EA">
              <w:rPr>
                <w:rFonts w:cs="Arial"/>
                <w:b/>
                <w:color w:val="FFFFFF" w:themeColor="background1"/>
                <w:sz w:val="20"/>
              </w:rPr>
              <w:t>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rPr>
            </w:pPr>
            <w:r w:rsidRPr="00E454EA">
              <w:rPr>
                <w:rFonts w:cs="Arial"/>
                <w:b/>
                <w:color w:val="FFFFFF" w:themeColor="background1"/>
                <w:sz w:val="20"/>
              </w:rPr>
              <w:t>Inversión ICBF</w:t>
            </w:r>
          </w:p>
        </w:tc>
      </w:tr>
      <w:tr w:rsidR="00FB2352" w:rsidRPr="00992589" w:rsidTr="00E454EA">
        <w:trPr>
          <w:jc w:val="right"/>
        </w:trPr>
        <w:tc>
          <w:tcPr>
            <w:tcW w:w="4565" w:type="dxa"/>
            <w:vAlign w:val="center"/>
          </w:tcPr>
          <w:p w:rsidR="00FB2352" w:rsidRPr="003D6F87" w:rsidRDefault="00FB2352" w:rsidP="00FB2352">
            <w:pPr>
              <w:pStyle w:val="Sinespaciado"/>
              <w:jc w:val="both"/>
              <w:rPr>
                <w:rFonts w:cs="Arial"/>
                <w:sz w:val="18"/>
              </w:rPr>
            </w:pPr>
            <w:r w:rsidRPr="003D6F87">
              <w:rPr>
                <w:rFonts w:cs="Arial"/>
                <w:sz w:val="18"/>
              </w:rPr>
              <w:t>En 2015 se realizó el piloto de “</w:t>
            </w:r>
            <w:r w:rsidRPr="003D6F87">
              <w:rPr>
                <w:rFonts w:cs="Arial"/>
                <w:i/>
                <w:sz w:val="18"/>
              </w:rPr>
              <w:t>Mi escuela: un espacio libre de prejuicios hacia la diversidad sexual y de género</w:t>
            </w:r>
            <w:r w:rsidRPr="003D6F87">
              <w:rPr>
                <w:rFonts w:cs="Arial"/>
                <w:sz w:val="18"/>
              </w:rPr>
              <w:t>”, en la ciudad de Sincelejo. Por el éxito y los grandes resultados obtenidos en materia de prevención de discriminación basada en orientación sexual o identidad de género, en 2016 se formuló como “Proyecto Especializado de Prevención Específica”, abarcando más territorios y participantes.</w:t>
            </w:r>
          </w:p>
          <w:p w:rsidR="00FB2352" w:rsidRPr="003D6F87" w:rsidRDefault="00FB2352" w:rsidP="00FB2352">
            <w:pPr>
              <w:pStyle w:val="Sinespaciado"/>
              <w:rPr>
                <w:rFonts w:cs="Arial"/>
                <w:sz w:val="18"/>
              </w:rPr>
            </w:pPr>
          </w:p>
          <w:p w:rsidR="00FB2352" w:rsidRPr="003D6F87" w:rsidRDefault="00FB2352" w:rsidP="00FB2352">
            <w:pPr>
              <w:pStyle w:val="Sinespaciado"/>
              <w:jc w:val="both"/>
              <w:rPr>
                <w:rFonts w:cs="Arial"/>
                <w:sz w:val="18"/>
              </w:rPr>
            </w:pPr>
            <w:r w:rsidRPr="003D6F87">
              <w:rPr>
                <w:rFonts w:cs="Arial"/>
                <w:sz w:val="18"/>
              </w:rPr>
              <w:t>La metodología emplea actividades lúdicas, recreativas y métodos pedagógicos basados en incentivos, diversión y comunicación entre pares, para entablar lazos comunicativos sólidos y de confianza con los niños, niñas y adolescentes, que permitan hablar, sin tapujos, sobre sexualidad, género, orientación sexual y diversidad, entre otros.</w:t>
            </w:r>
          </w:p>
          <w:p w:rsidR="00FB2352" w:rsidRPr="003D6F87" w:rsidRDefault="00FB2352" w:rsidP="00FB2352">
            <w:pPr>
              <w:pStyle w:val="Sinespaciado"/>
              <w:rPr>
                <w:rFonts w:cs="Arial"/>
                <w:sz w:val="18"/>
              </w:rPr>
            </w:pPr>
          </w:p>
          <w:p w:rsidR="00FB2352" w:rsidRPr="003D6F87" w:rsidRDefault="00FB2352" w:rsidP="00FB2352">
            <w:pPr>
              <w:pStyle w:val="Sinespaciado"/>
              <w:jc w:val="both"/>
              <w:rPr>
                <w:rFonts w:cs="Arial"/>
                <w:sz w:val="18"/>
              </w:rPr>
            </w:pPr>
            <w:r w:rsidRPr="003D6F87">
              <w:rPr>
                <w:rFonts w:cs="Arial"/>
                <w:sz w:val="18"/>
              </w:rPr>
              <w:t>La acción incorpora la participación de docentes, directivos, padres, madres y cuidadores, y Policía Nacional; todos actores relevantes para la temática abordada.</w:t>
            </w:r>
          </w:p>
        </w:tc>
        <w:tc>
          <w:tcPr>
            <w:tcW w:w="2518" w:type="dxa"/>
            <w:vAlign w:val="center"/>
          </w:tcPr>
          <w:p w:rsidR="00FB2352" w:rsidRPr="003D6F87" w:rsidRDefault="00FB2352" w:rsidP="00D712DC">
            <w:pPr>
              <w:pStyle w:val="Prrafodelista"/>
              <w:numPr>
                <w:ilvl w:val="0"/>
                <w:numId w:val="165"/>
              </w:numPr>
              <w:spacing w:after="0" w:line="240" w:lineRule="auto"/>
              <w:ind w:left="360"/>
              <w:contextualSpacing/>
              <w:jc w:val="both"/>
              <w:rPr>
                <w:rFonts w:cs="Arial"/>
                <w:b/>
                <w:i/>
                <w:sz w:val="18"/>
              </w:rPr>
            </w:pPr>
            <w:r w:rsidRPr="003D6F87">
              <w:rPr>
                <w:rFonts w:cs="Arial"/>
                <w:b/>
                <w:sz w:val="18"/>
                <w:u w:val="single"/>
              </w:rPr>
              <w:t>Atlántico:</w:t>
            </w:r>
            <w:r w:rsidRPr="003D6F87">
              <w:rPr>
                <w:rFonts w:cs="Arial"/>
                <w:b/>
                <w:i/>
                <w:sz w:val="18"/>
              </w:rPr>
              <w:t xml:space="preserve"> </w:t>
            </w:r>
            <w:r w:rsidRPr="003D6F87">
              <w:rPr>
                <w:rFonts w:cs="Arial"/>
                <w:sz w:val="18"/>
              </w:rPr>
              <w:t>Barranquilla.</w:t>
            </w:r>
          </w:p>
          <w:p w:rsidR="00FB2352" w:rsidRPr="003D6F87" w:rsidRDefault="00FB2352" w:rsidP="00FB2352">
            <w:pPr>
              <w:pStyle w:val="Prrafodelista"/>
              <w:ind w:left="0" w:hanging="317"/>
              <w:jc w:val="both"/>
              <w:rPr>
                <w:rFonts w:cs="Arial"/>
                <w:b/>
                <w:i/>
                <w:sz w:val="18"/>
              </w:rPr>
            </w:pPr>
          </w:p>
          <w:p w:rsidR="00FB2352" w:rsidRPr="003D6F87" w:rsidRDefault="00FB2352" w:rsidP="00D712DC">
            <w:pPr>
              <w:pStyle w:val="Prrafodelista"/>
              <w:numPr>
                <w:ilvl w:val="0"/>
                <w:numId w:val="165"/>
              </w:numPr>
              <w:spacing w:after="0" w:line="240" w:lineRule="auto"/>
              <w:ind w:left="360"/>
              <w:contextualSpacing/>
              <w:jc w:val="both"/>
              <w:rPr>
                <w:rFonts w:cs="Arial"/>
                <w:b/>
                <w:i/>
                <w:sz w:val="18"/>
              </w:rPr>
            </w:pPr>
            <w:r w:rsidRPr="003D6F87">
              <w:rPr>
                <w:rFonts w:cs="Arial"/>
                <w:b/>
                <w:sz w:val="18"/>
                <w:u w:val="single"/>
              </w:rPr>
              <w:t>Sucre</w:t>
            </w:r>
            <w:r w:rsidRPr="003D6F87">
              <w:rPr>
                <w:rFonts w:cs="Arial"/>
                <w:b/>
                <w:i/>
                <w:sz w:val="18"/>
              </w:rPr>
              <w:t xml:space="preserve">: </w:t>
            </w:r>
            <w:r w:rsidRPr="003D6F87">
              <w:rPr>
                <w:rFonts w:cs="Arial"/>
                <w:sz w:val="18"/>
              </w:rPr>
              <w:t>Corozal.</w:t>
            </w:r>
          </w:p>
          <w:p w:rsidR="00FB2352" w:rsidRPr="003D6F87" w:rsidRDefault="00FB2352" w:rsidP="00FB2352">
            <w:pPr>
              <w:pStyle w:val="Prrafodelista"/>
              <w:ind w:left="0" w:hanging="317"/>
              <w:rPr>
                <w:rFonts w:cs="Arial"/>
                <w:b/>
                <w:i/>
                <w:sz w:val="18"/>
              </w:rPr>
            </w:pPr>
          </w:p>
          <w:p w:rsidR="00FB2352" w:rsidRPr="003D6F87" w:rsidRDefault="00FB2352" w:rsidP="00D712DC">
            <w:pPr>
              <w:pStyle w:val="Prrafodelista"/>
              <w:numPr>
                <w:ilvl w:val="0"/>
                <w:numId w:val="165"/>
              </w:numPr>
              <w:spacing w:after="0" w:line="240" w:lineRule="auto"/>
              <w:ind w:left="360"/>
              <w:contextualSpacing/>
              <w:jc w:val="both"/>
              <w:rPr>
                <w:rFonts w:cs="Arial"/>
                <w:sz w:val="18"/>
              </w:rPr>
            </w:pPr>
            <w:r w:rsidRPr="003D6F87">
              <w:rPr>
                <w:rFonts w:cs="Arial"/>
                <w:b/>
                <w:sz w:val="18"/>
                <w:u w:val="single"/>
              </w:rPr>
              <w:t>Bolívar</w:t>
            </w:r>
            <w:r w:rsidRPr="003D6F87">
              <w:rPr>
                <w:rFonts w:cs="Arial"/>
                <w:b/>
                <w:i/>
                <w:sz w:val="18"/>
              </w:rPr>
              <w:t xml:space="preserve">: </w:t>
            </w:r>
            <w:r w:rsidRPr="003D6F87">
              <w:rPr>
                <w:rFonts w:cs="Arial"/>
                <w:sz w:val="18"/>
              </w:rPr>
              <w:t>Magangué.</w:t>
            </w:r>
          </w:p>
        </w:tc>
        <w:tc>
          <w:tcPr>
            <w:tcW w:w="1745" w:type="dxa"/>
            <w:vAlign w:val="center"/>
          </w:tcPr>
          <w:p w:rsidR="00FB2352" w:rsidRPr="003D6F87" w:rsidRDefault="00FB2352" w:rsidP="00FB2352">
            <w:pPr>
              <w:pStyle w:val="Sinespaciado"/>
              <w:jc w:val="center"/>
              <w:rPr>
                <w:rFonts w:cs="Arial"/>
                <w:sz w:val="18"/>
              </w:rPr>
            </w:pPr>
            <w:r w:rsidRPr="003D6F87">
              <w:rPr>
                <w:rFonts w:cs="Arial"/>
                <w:sz w:val="18"/>
              </w:rPr>
              <w:t>$200.000.000</w:t>
            </w:r>
          </w:p>
        </w:tc>
      </w:tr>
    </w:tbl>
    <w:p w:rsidR="00FB2352" w:rsidRPr="00992589" w:rsidRDefault="005044B5"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PEA</w:t>
      </w:r>
    </w:p>
    <w:p w:rsidR="00FB2352" w:rsidRPr="00992589" w:rsidRDefault="00FB2352" w:rsidP="00FB2352">
      <w:pPr>
        <w:pStyle w:val="Sinespaciado"/>
        <w:jc w:val="both"/>
        <w:rPr>
          <w:rFonts w:cs="Arial"/>
        </w:rPr>
      </w:pPr>
    </w:p>
    <w:p w:rsidR="00FB2352" w:rsidRPr="00992589" w:rsidRDefault="00FB2352" w:rsidP="00FB2352">
      <w:pPr>
        <w:pStyle w:val="Sinespaciado"/>
        <w:jc w:val="both"/>
        <w:rPr>
          <w:rFonts w:cs="Arial"/>
          <w:b/>
          <w:u w:val="single"/>
        </w:rPr>
      </w:pPr>
      <w:r w:rsidRPr="00992589">
        <w:rPr>
          <w:rFonts w:cs="Arial"/>
          <w:b/>
          <w:u w:val="single"/>
        </w:rPr>
        <w:t>Prevención de explotación sexual y trata de niños, niñas y adolescentes con fines comerciales (Proyecto Especializado de Prevención Específica)</w:t>
      </w:r>
    </w:p>
    <w:p w:rsidR="00FB2352" w:rsidRPr="00992589" w:rsidRDefault="00FB2352" w:rsidP="00FB2352">
      <w:pPr>
        <w:pStyle w:val="Sinespaciad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65"/>
        <w:gridCol w:w="2518"/>
        <w:gridCol w:w="1745"/>
      </w:tblGrid>
      <w:tr w:rsidR="00FB2352" w:rsidRPr="00992589" w:rsidTr="00E454EA">
        <w:trPr>
          <w:tblHeader/>
          <w:jc w:val="center"/>
        </w:trPr>
        <w:tc>
          <w:tcPr>
            <w:tcW w:w="4565"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rPr>
            </w:pPr>
            <w:r>
              <w:rPr>
                <w:rFonts w:cs="Arial"/>
                <w:b/>
                <w:color w:val="FFFFFF" w:themeColor="background1"/>
                <w:sz w:val="20"/>
              </w:rPr>
              <w:t>Descripción y M</w:t>
            </w:r>
            <w:r w:rsidR="00FB2352" w:rsidRPr="00E454EA">
              <w:rPr>
                <w:rFonts w:cs="Arial"/>
                <w:b/>
                <w:color w:val="FFFFFF" w:themeColor="background1"/>
                <w:sz w:val="20"/>
              </w:rPr>
              <w:t>etodología</w:t>
            </w:r>
          </w:p>
        </w:tc>
        <w:tc>
          <w:tcPr>
            <w:tcW w:w="2518"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rPr>
            </w:pPr>
            <w:r>
              <w:rPr>
                <w:rFonts w:cs="Arial"/>
                <w:b/>
                <w:color w:val="FFFFFF" w:themeColor="background1"/>
                <w:sz w:val="20"/>
              </w:rPr>
              <w:t>Municipios F</w:t>
            </w:r>
            <w:r w:rsidR="00FB2352" w:rsidRPr="00E454EA">
              <w:rPr>
                <w:rFonts w:cs="Arial"/>
                <w:b/>
                <w:color w:val="FFFFFF" w:themeColor="background1"/>
                <w:sz w:val="20"/>
              </w:rPr>
              <w:t>ocalizados</w:t>
            </w:r>
          </w:p>
        </w:tc>
        <w:tc>
          <w:tcPr>
            <w:tcW w:w="1745"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rPr>
            </w:pPr>
            <w:r w:rsidRPr="00E454EA">
              <w:rPr>
                <w:rFonts w:cs="Arial"/>
                <w:b/>
                <w:color w:val="FFFFFF" w:themeColor="background1"/>
                <w:sz w:val="20"/>
              </w:rPr>
              <w:t>Inversión ICBF</w:t>
            </w:r>
          </w:p>
        </w:tc>
      </w:tr>
      <w:tr w:rsidR="00FB2352" w:rsidRPr="003D6F87" w:rsidTr="00E454EA">
        <w:trPr>
          <w:jc w:val="center"/>
        </w:trPr>
        <w:tc>
          <w:tcPr>
            <w:tcW w:w="4565" w:type="dxa"/>
            <w:vAlign w:val="center"/>
          </w:tcPr>
          <w:p w:rsidR="00FB2352" w:rsidRPr="003D6F87" w:rsidRDefault="00FB2352" w:rsidP="00FB2352">
            <w:pPr>
              <w:pStyle w:val="Sinespaciado"/>
              <w:jc w:val="both"/>
              <w:rPr>
                <w:rFonts w:cs="Arial"/>
                <w:sz w:val="18"/>
              </w:rPr>
            </w:pPr>
            <w:r w:rsidRPr="003D6F87">
              <w:rPr>
                <w:rFonts w:cs="Arial"/>
                <w:sz w:val="18"/>
              </w:rPr>
              <w:t>Proyecto encaminado a trabajar a través de talleres de formación y sensibilización, la prevención de la explotación sexual comercial de niños, niñas y adolescentes (ESCNNA) y trata con fines comerciales. La metodología se vale de las posibilidades que brindan la formación artística en danza y música, y las actividades lúdico-recreativas.</w:t>
            </w:r>
          </w:p>
          <w:p w:rsidR="00FB2352" w:rsidRPr="003D6F87" w:rsidRDefault="00FB2352" w:rsidP="00FB2352">
            <w:pPr>
              <w:pStyle w:val="Sinespaciado"/>
              <w:rPr>
                <w:rFonts w:cs="Arial"/>
                <w:sz w:val="18"/>
              </w:rPr>
            </w:pPr>
          </w:p>
          <w:p w:rsidR="00FB2352" w:rsidRPr="003D6F87" w:rsidRDefault="00FB2352" w:rsidP="00FB2352">
            <w:pPr>
              <w:pStyle w:val="Sinespaciado"/>
              <w:jc w:val="both"/>
              <w:rPr>
                <w:rFonts w:cs="Arial"/>
                <w:sz w:val="18"/>
              </w:rPr>
            </w:pPr>
            <w:r w:rsidRPr="003D6F87">
              <w:rPr>
                <w:rFonts w:cs="Arial"/>
                <w:sz w:val="18"/>
              </w:rPr>
              <w:t>Adicionalmente, se trabajó en la conformación de mesas técnicas locales, estrategias de comunicación, conformación de redes humanas, para fortalecer los entornos protectores y difundir las rutas de atención a víctimas de la ESCNNA y trata de niños, niñas y adolescentes con fines comerciales.</w:t>
            </w:r>
          </w:p>
        </w:tc>
        <w:tc>
          <w:tcPr>
            <w:tcW w:w="2518" w:type="dxa"/>
            <w:vAlign w:val="center"/>
          </w:tcPr>
          <w:p w:rsidR="00FB2352" w:rsidRPr="003D6F87" w:rsidRDefault="00FB2352" w:rsidP="00D712DC">
            <w:pPr>
              <w:pStyle w:val="Prrafodelista"/>
              <w:numPr>
                <w:ilvl w:val="0"/>
                <w:numId w:val="166"/>
              </w:numPr>
              <w:spacing w:after="0" w:line="240" w:lineRule="auto"/>
              <w:contextualSpacing/>
              <w:jc w:val="both"/>
              <w:rPr>
                <w:rFonts w:cs="Arial"/>
                <w:sz w:val="18"/>
              </w:rPr>
            </w:pPr>
            <w:r w:rsidRPr="003D6F87">
              <w:rPr>
                <w:rFonts w:cs="Arial"/>
                <w:b/>
                <w:sz w:val="18"/>
                <w:u w:val="single"/>
              </w:rPr>
              <w:t>Amazonas</w:t>
            </w:r>
            <w:r w:rsidRPr="003D6F87">
              <w:rPr>
                <w:rFonts w:cs="Arial"/>
                <w:b/>
                <w:sz w:val="18"/>
              </w:rPr>
              <w:t xml:space="preserve">: </w:t>
            </w:r>
            <w:r w:rsidRPr="003D6F87">
              <w:rPr>
                <w:rFonts w:cs="Arial"/>
                <w:sz w:val="18"/>
              </w:rPr>
              <w:t>Leticia y Puerto Nariño.</w:t>
            </w:r>
          </w:p>
        </w:tc>
        <w:tc>
          <w:tcPr>
            <w:tcW w:w="1745" w:type="dxa"/>
            <w:vAlign w:val="center"/>
          </w:tcPr>
          <w:p w:rsidR="00FB2352" w:rsidRPr="003D6F87" w:rsidRDefault="00FB2352" w:rsidP="00FB2352">
            <w:pPr>
              <w:pStyle w:val="Sinespaciado"/>
              <w:jc w:val="center"/>
              <w:rPr>
                <w:rFonts w:cs="Arial"/>
                <w:sz w:val="18"/>
              </w:rPr>
            </w:pPr>
            <w:r w:rsidRPr="003D6F87">
              <w:rPr>
                <w:rFonts w:cs="Arial"/>
                <w:sz w:val="18"/>
              </w:rPr>
              <w:t>$393.670.000</w:t>
            </w:r>
          </w:p>
        </w:tc>
      </w:tr>
    </w:tbl>
    <w:p w:rsidR="003D6F87" w:rsidRDefault="005044B5"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 Equipo AMAS</w:t>
      </w:r>
    </w:p>
    <w:p w:rsidR="00E454EA" w:rsidRDefault="00E454EA" w:rsidP="00FB2352">
      <w:pPr>
        <w:pStyle w:val="Sinespaciado"/>
        <w:jc w:val="both"/>
        <w:rPr>
          <w:rFonts w:cs="Arial"/>
          <w:sz w:val="16"/>
        </w:rPr>
      </w:pPr>
    </w:p>
    <w:p w:rsidR="00FB2352" w:rsidRPr="003D6F87" w:rsidRDefault="00FB2352" w:rsidP="00FB2352">
      <w:pPr>
        <w:pStyle w:val="Sinespaciado"/>
        <w:jc w:val="both"/>
        <w:rPr>
          <w:rFonts w:cs="Arial"/>
          <w:sz w:val="16"/>
        </w:rPr>
      </w:pPr>
      <w:r w:rsidRPr="00992589">
        <w:rPr>
          <w:rFonts w:cs="Arial"/>
          <w:b/>
          <w:u w:val="single"/>
        </w:rPr>
        <w:t>Promoción de derechos y prevención de utilización y pandillismo</w:t>
      </w:r>
    </w:p>
    <w:p w:rsidR="00FB2352" w:rsidRPr="00992589" w:rsidRDefault="00FB2352" w:rsidP="00FB2352">
      <w:pPr>
        <w:pStyle w:val="Sinespaciado"/>
        <w:jc w:val="both"/>
        <w:rPr>
          <w:rFonts w:cs="Arial"/>
          <w:i/>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531"/>
        <w:gridCol w:w="2586"/>
        <w:gridCol w:w="1711"/>
      </w:tblGrid>
      <w:tr w:rsidR="00FB2352" w:rsidRPr="00992589" w:rsidTr="00E454EA">
        <w:trPr>
          <w:tblHeader/>
          <w:jc w:val="center"/>
        </w:trPr>
        <w:tc>
          <w:tcPr>
            <w:tcW w:w="4531"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Descripción y M</w:t>
            </w:r>
            <w:r w:rsidR="00FB2352" w:rsidRPr="00E454EA">
              <w:rPr>
                <w:rFonts w:cs="Arial"/>
                <w:b/>
                <w:color w:val="FFFFFF" w:themeColor="background1"/>
                <w:sz w:val="20"/>
                <w:szCs w:val="20"/>
              </w:rPr>
              <w:t>etodología</w:t>
            </w:r>
          </w:p>
        </w:tc>
        <w:tc>
          <w:tcPr>
            <w:tcW w:w="2586" w:type="dxa"/>
            <w:shd w:val="clear" w:color="auto" w:fill="76923C" w:themeFill="accent3" w:themeFillShade="BF"/>
          </w:tcPr>
          <w:p w:rsidR="00FB2352" w:rsidRPr="00E454EA" w:rsidRDefault="00E454EA" w:rsidP="00FB2352">
            <w:pPr>
              <w:pStyle w:val="Sinespaciado"/>
              <w:jc w:val="center"/>
              <w:rPr>
                <w:rFonts w:cs="Arial"/>
                <w:b/>
                <w:color w:val="FFFFFF" w:themeColor="background1"/>
                <w:sz w:val="20"/>
                <w:szCs w:val="20"/>
              </w:rPr>
            </w:pPr>
            <w:r>
              <w:rPr>
                <w:rFonts w:cs="Arial"/>
                <w:b/>
                <w:color w:val="FFFFFF" w:themeColor="background1"/>
                <w:sz w:val="20"/>
                <w:szCs w:val="20"/>
              </w:rPr>
              <w:t>Municipios F</w:t>
            </w:r>
            <w:r w:rsidR="00FB2352" w:rsidRPr="00E454EA">
              <w:rPr>
                <w:rFonts w:cs="Arial"/>
                <w:b/>
                <w:color w:val="FFFFFF" w:themeColor="background1"/>
                <w:sz w:val="20"/>
                <w:szCs w:val="20"/>
              </w:rPr>
              <w:t>ocalizados</w:t>
            </w:r>
          </w:p>
        </w:tc>
        <w:tc>
          <w:tcPr>
            <w:tcW w:w="1711"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20"/>
                <w:szCs w:val="20"/>
              </w:rPr>
            </w:pPr>
            <w:r w:rsidRPr="00E454EA">
              <w:rPr>
                <w:rFonts w:cs="Arial"/>
                <w:b/>
                <w:color w:val="FFFFFF" w:themeColor="background1"/>
                <w:sz w:val="20"/>
                <w:szCs w:val="20"/>
              </w:rPr>
              <w:t>Inversión ICBF</w:t>
            </w:r>
          </w:p>
        </w:tc>
      </w:tr>
      <w:tr w:rsidR="00FB2352" w:rsidRPr="00992589" w:rsidTr="00E454EA">
        <w:trPr>
          <w:jc w:val="center"/>
        </w:trPr>
        <w:tc>
          <w:tcPr>
            <w:tcW w:w="4531" w:type="dxa"/>
            <w:vAlign w:val="center"/>
          </w:tcPr>
          <w:p w:rsidR="00FB2352" w:rsidRPr="003D6F87" w:rsidRDefault="00FB2352" w:rsidP="00FB2352">
            <w:pPr>
              <w:pStyle w:val="Sinespaciado"/>
              <w:jc w:val="both"/>
              <w:rPr>
                <w:rFonts w:cs="Arial"/>
                <w:sz w:val="18"/>
                <w:szCs w:val="20"/>
              </w:rPr>
            </w:pPr>
            <w:r w:rsidRPr="003D6F87">
              <w:rPr>
                <w:rFonts w:cs="Arial"/>
                <w:sz w:val="18"/>
                <w:szCs w:val="20"/>
              </w:rPr>
              <w:t>A través de los recursos lúdico-pedagógicos que ofrece la literatura, la música y el arte, se desarrolló una acción que promueve los derechos de la niñez y la adolescencia de Barranquilla y su área metropolitana (incluyendo el corregimiento de Palermo, en Sitionuevo, Magdalena).</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lastRenderedPageBreak/>
              <w:t>Las metodologías literarias, musicales y artísticas se apalancan en los arraigos culturales e históricos de la tradición barranquillera y del Caribe, de modo que, mientras que se desarrollan los procesos formativos y de promoción de derechos, así mismo se fortalecen los valores culturales de la región en esta población.</w:t>
            </w:r>
          </w:p>
          <w:p w:rsidR="00FB2352" w:rsidRPr="003D6F87" w:rsidRDefault="00FB2352" w:rsidP="00FB2352">
            <w:pPr>
              <w:pStyle w:val="Sinespaciado"/>
              <w:rPr>
                <w:rFonts w:cs="Arial"/>
                <w:sz w:val="18"/>
                <w:szCs w:val="20"/>
              </w:rPr>
            </w:pPr>
          </w:p>
          <w:p w:rsidR="00FB2352" w:rsidRPr="003D6F87" w:rsidRDefault="00FB2352" w:rsidP="00FB2352">
            <w:pPr>
              <w:pStyle w:val="Sinespaciado"/>
              <w:jc w:val="both"/>
              <w:rPr>
                <w:rFonts w:cs="Arial"/>
                <w:sz w:val="18"/>
                <w:szCs w:val="20"/>
              </w:rPr>
            </w:pPr>
            <w:r w:rsidRPr="003D6F87">
              <w:rPr>
                <w:rFonts w:cs="Arial"/>
                <w:sz w:val="18"/>
                <w:szCs w:val="20"/>
              </w:rPr>
              <w:t>El proyecto se enfoca en los niños, niñas y adolescentes que se encuentran altamente expuestos a riesgos de utilización, pues se desenvuelven en contextos de violencia, pandillismo y pobreza, y es allí donde las bandas criminales que tienen presencia en esta región ubican a los niños, niñas y adolescentes que utilizan en sus acciones delincuenciales y criminales.</w:t>
            </w:r>
          </w:p>
        </w:tc>
        <w:tc>
          <w:tcPr>
            <w:tcW w:w="2586" w:type="dxa"/>
            <w:vAlign w:val="center"/>
          </w:tcPr>
          <w:p w:rsidR="00FB2352" w:rsidRPr="003D6F87" w:rsidRDefault="00FB2352" w:rsidP="00D712DC">
            <w:pPr>
              <w:pStyle w:val="Prrafodelista"/>
              <w:numPr>
                <w:ilvl w:val="0"/>
                <w:numId w:val="167"/>
              </w:numPr>
              <w:spacing w:after="0" w:line="240" w:lineRule="auto"/>
              <w:ind w:left="360"/>
              <w:contextualSpacing/>
              <w:jc w:val="both"/>
              <w:rPr>
                <w:rFonts w:cs="Arial"/>
                <w:b/>
                <w:sz w:val="18"/>
                <w:szCs w:val="20"/>
              </w:rPr>
            </w:pPr>
            <w:r w:rsidRPr="003D6F87">
              <w:rPr>
                <w:rFonts w:cs="Arial"/>
                <w:b/>
                <w:sz w:val="18"/>
                <w:szCs w:val="20"/>
                <w:u w:val="single"/>
              </w:rPr>
              <w:lastRenderedPageBreak/>
              <w:t>Atlántico</w:t>
            </w:r>
            <w:r w:rsidRPr="003D6F87">
              <w:rPr>
                <w:rFonts w:cs="Arial"/>
                <w:b/>
                <w:sz w:val="18"/>
                <w:szCs w:val="20"/>
              </w:rPr>
              <w:t xml:space="preserve">: </w:t>
            </w:r>
            <w:r w:rsidRPr="003D6F87">
              <w:rPr>
                <w:rFonts w:cs="Arial"/>
                <w:sz w:val="18"/>
                <w:szCs w:val="20"/>
              </w:rPr>
              <w:t>Puerto Colombia, Barranquilla y Sabanalarga.</w:t>
            </w:r>
          </w:p>
          <w:p w:rsidR="00FB2352" w:rsidRPr="003D6F87" w:rsidRDefault="00FB2352" w:rsidP="00FB2352">
            <w:pPr>
              <w:pStyle w:val="Prrafodelista"/>
              <w:ind w:left="0" w:hanging="317"/>
              <w:jc w:val="both"/>
              <w:rPr>
                <w:rFonts w:cs="Arial"/>
                <w:b/>
                <w:sz w:val="18"/>
                <w:szCs w:val="20"/>
              </w:rPr>
            </w:pPr>
          </w:p>
          <w:p w:rsidR="00FB2352" w:rsidRPr="003D6F87" w:rsidRDefault="00FB2352" w:rsidP="00D712DC">
            <w:pPr>
              <w:pStyle w:val="Prrafodelista"/>
              <w:numPr>
                <w:ilvl w:val="0"/>
                <w:numId w:val="167"/>
              </w:numPr>
              <w:spacing w:after="0" w:line="240" w:lineRule="auto"/>
              <w:ind w:left="360"/>
              <w:contextualSpacing/>
              <w:jc w:val="both"/>
              <w:rPr>
                <w:rFonts w:cs="Arial"/>
                <w:sz w:val="18"/>
                <w:szCs w:val="20"/>
              </w:rPr>
            </w:pPr>
            <w:r w:rsidRPr="003D6F87">
              <w:rPr>
                <w:rFonts w:cs="Arial"/>
                <w:b/>
                <w:sz w:val="18"/>
                <w:szCs w:val="20"/>
                <w:u w:val="single"/>
              </w:rPr>
              <w:t>Magdalena</w:t>
            </w:r>
            <w:r w:rsidRPr="003D6F87">
              <w:rPr>
                <w:rFonts w:cs="Arial"/>
                <w:b/>
                <w:sz w:val="18"/>
                <w:szCs w:val="20"/>
              </w:rPr>
              <w:t>:</w:t>
            </w:r>
            <w:r w:rsidRPr="003D6F87">
              <w:rPr>
                <w:rFonts w:cs="Arial"/>
                <w:sz w:val="18"/>
                <w:szCs w:val="20"/>
              </w:rPr>
              <w:t xml:space="preserve"> Sitionuevo (corregimiento de Palermo).</w:t>
            </w:r>
          </w:p>
        </w:tc>
        <w:tc>
          <w:tcPr>
            <w:tcW w:w="1711" w:type="dxa"/>
            <w:vAlign w:val="center"/>
          </w:tcPr>
          <w:p w:rsidR="00FB2352" w:rsidRPr="003D6F87" w:rsidRDefault="00FB2352" w:rsidP="00FB2352">
            <w:pPr>
              <w:pStyle w:val="Sinespaciado"/>
              <w:jc w:val="center"/>
              <w:rPr>
                <w:rFonts w:cs="Arial"/>
                <w:sz w:val="18"/>
                <w:szCs w:val="20"/>
              </w:rPr>
            </w:pPr>
            <w:r w:rsidRPr="003D6F87">
              <w:rPr>
                <w:rFonts w:cs="Arial"/>
                <w:sz w:val="18"/>
                <w:szCs w:val="20"/>
              </w:rPr>
              <w:t>$593.048.000</w:t>
            </w:r>
          </w:p>
        </w:tc>
      </w:tr>
    </w:tbl>
    <w:p w:rsidR="00FB2352" w:rsidRPr="00992589" w:rsidRDefault="005044B5" w:rsidP="00FB2352">
      <w:pPr>
        <w:pStyle w:val="Sinespaciado"/>
        <w:jc w:val="both"/>
        <w:rPr>
          <w:rFonts w:cs="Arial"/>
          <w:sz w:val="16"/>
        </w:rPr>
      </w:pPr>
      <w:r>
        <w:rPr>
          <w:rFonts w:cs="Arial"/>
          <w:b/>
          <w:sz w:val="16"/>
        </w:rPr>
        <w:lastRenderedPageBreak/>
        <w:t xml:space="preserve">      </w:t>
      </w:r>
      <w:r w:rsidR="00FB2352" w:rsidRPr="00E454EA">
        <w:rPr>
          <w:rFonts w:cs="Arial"/>
          <w:b/>
          <w:sz w:val="16"/>
        </w:rPr>
        <w:t>Fuente:</w:t>
      </w:r>
      <w:r w:rsidR="00FB2352" w:rsidRPr="00992589">
        <w:rPr>
          <w:rFonts w:cs="Arial"/>
          <w:sz w:val="16"/>
        </w:rPr>
        <w:t xml:space="preserve"> Elaboración Propia DNA- Equipo AMAS</w:t>
      </w:r>
    </w:p>
    <w:p w:rsidR="00646D3D" w:rsidRDefault="00646D3D" w:rsidP="000A5B46">
      <w:pPr>
        <w:ind w:left="708" w:firstLine="708"/>
        <w:rPr>
          <w:rFonts w:eastAsia="Times New Roman"/>
          <w:b/>
          <w:lang w:eastAsia="es-ES"/>
        </w:rPr>
      </w:pPr>
    </w:p>
    <w:p w:rsidR="00FB2352" w:rsidRPr="00D87C26" w:rsidRDefault="00FB2352" w:rsidP="000A5B46">
      <w:pPr>
        <w:ind w:left="708" w:firstLine="708"/>
        <w:rPr>
          <w:rFonts w:eastAsia="Times New Roman"/>
          <w:b/>
          <w:lang w:eastAsia="es-ES"/>
        </w:rPr>
      </w:pPr>
      <w:r w:rsidRPr="00D87C26">
        <w:rPr>
          <w:rFonts w:eastAsia="Times New Roman"/>
          <w:b/>
          <w:lang w:eastAsia="es-ES"/>
        </w:rPr>
        <w:t xml:space="preserve">Estrategia Construyendo Juntos Entornos Protectores </w:t>
      </w:r>
    </w:p>
    <w:p w:rsidR="00FB2352" w:rsidRPr="00992589" w:rsidRDefault="00FB2352" w:rsidP="00FB2352">
      <w:pPr>
        <w:spacing w:after="0" w:line="240" w:lineRule="auto"/>
        <w:jc w:val="both"/>
        <w:rPr>
          <w:rFonts w:cs="Arial"/>
        </w:rPr>
      </w:pPr>
      <w:r w:rsidRPr="00992589">
        <w:rPr>
          <w:rFonts w:cs="Arial"/>
        </w:rPr>
        <w:t xml:space="preserve">A través del Convenio de Cooperación Internacional 1231 de 2016, que se suscribió entre el ICBF y la Organización de Estados Iberoamericanos – OEI, se implementó la </w:t>
      </w:r>
      <w:r w:rsidRPr="00992589">
        <w:rPr>
          <w:rFonts w:cs="Arial"/>
          <w:i/>
        </w:rPr>
        <w:t>Estrategia Construyendo Juntos Entornos Protectores,</w:t>
      </w:r>
      <w:r w:rsidRPr="00992589">
        <w:rPr>
          <w:rFonts w:cs="Arial"/>
        </w:rPr>
        <w:t xml:space="preserve"> a cargo de la Dirección de Niñez y Adolescencia y la Dirección de Familias y Comunidades del Instituto Colombiano de Bienestar Familiar. </w:t>
      </w:r>
    </w:p>
    <w:p w:rsidR="00646D3D" w:rsidRDefault="00646D3D" w:rsidP="000A5B46">
      <w:pPr>
        <w:ind w:left="708" w:firstLine="708"/>
        <w:rPr>
          <w:b/>
        </w:rPr>
      </w:pPr>
    </w:p>
    <w:p w:rsidR="00FB2352" w:rsidRPr="000A5B46" w:rsidRDefault="00FB2352" w:rsidP="000A5B46">
      <w:pPr>
        <w:ind w:left="708" w:firstLine="708"/>
        <w:rPr>
          <w:b/>
        </w:rPr>
      </w:pPr>
      <w:r w:rsidRPr="000A5B46">
        <w:rPr>
          <w:b/>
        </w:rPr>
        <w:t xml:space="preserve">Descripción de la Estrategia Construyendo Juntos Entornos Protectores </w:t>
      </w:r>
    </w:p>
    <w:p w:rsidR="00FB2352" w:rsidRPr="00992589" w:rsidRDefault="00FB2352" w:rsidP="00FB2352">
      <w:pPr>
        <w:spacing w:after="0" w:line="240" w:lineRule="auto"/>
        <w:jc w:val="both"/>
        <w:rPr>
          <w:rFonts w:eastAsiaTheme="minorHAnsi" w:cs="Arial"/>
        </w:rPr>
      </w:pPr>
      <w:r w:rsidRPr="00992589">
        <w:rPr>
          <w:rFonts w:eastAsia="MS Gothic" w:cs="Arial"/>
          <w:bCs/>
        </w:rPr>
        <w:t>A partir del piloto de la Escuela de Padres, Madres y Cuidadores</w:t>
      </w:r>
      <w:r w:rsidRPr="00992589">
        <w:rPr>
          <w:rStyle w:val="Refdenotaalpie"/>
          <w:rFonts w:eastAsia="MS Gothic" w:cs="Arial"/>
          <w:bCs/>
        </w:rPr>
        <w:footnoteReference w:id="7"/>
      </w:r>
      <w:r w:rsidRPr="00992589">
        <w:rPr>
          <w:rFonts w:eastAsia="MS Gothic" w:cs="Arial"/>
          <w:bCs/>
        </w:rPr>
        <w:t xml:space="preserve"> se legitima la Estrategia Construyendo Juntos Entornos Protectores, que tiene como </w:t>
      </w:r>
      <w:r w:rsidRPr="00992589">
        <w:rPr>
          <w:rFonts w:cs="Arial"/>
        </w:rPr>
        <w:t>fin generar espacios de diálogo y de construcción de saberes con padres, madres, cuidadores y docentes, y contribuir al reconocimiento de niños, niñas y adolescentes como sujetos de derechos, promoción de los mismos y prevención de sus vulneraciones. Así</w:t>
      </w:r>
      <w:r w:rsidRPr="00992589">
        <w:rPr>
          <w:rFonts w:eastAsiaTheme="minorHAnsi" w:cs="Arial"/>
        </w:rPr>
        <w:t xml:space="preserve">, la Estrategia busca que en los entornos institucionales se integre a la comunidad educativa para intercambiar saberes y conciliar hábitos o pautas de comportamiento, que afectan la garantía de derechos de los niños, niñas y adolescentes. </w:t>
      </w:r>
    </w:p>
    <w:p w:rsidR="00FB2352" w:rsidRPr="00992589" w:rsidRDefault="00FB2352" w:rsidP="00FB2352">
      <w:pPr>
        <w:spacing w:after="0" w:line="240" w:lineRule="auto"/>
        <w:jc w:val="both"/>
        <w:rPr>
          <w:rFonts w:eastAsia="MS Gothic" w:cs="Arial"/>
          <w:bCs/>
        </w:rPr>
      </w:pPr>
    </w:p>
    <w:p w:rsidR="00FB2352" w:rsidRPr="00992589" w:rsidRDefault="00FB2352" w:rsidP="00FB2352">
      <w:pPr>
        <w:spacing w:after="0" w:line="240" w:lineRule="auto"/>
        <w:jc w:val="both"/>
        <w:rPr>
          <w:rFonts w:eastAsiaTheme="minorHAnsi" w:cs="Arial"/>
        </w:rPr>
      </w:pPr>
      <w:r w:rsidRPr="00992589">
        <w:rPr>
          <w:rFonts w:eastAsiaTheme="minorHAnsi" w:cs="Arial"/>
        </w:rPr>
        <w:t>El establecimiento de esta Estrategia parte de reconocer la corresponsabilidad que tienen las familias y los docentes, en la garantía de los derechos de los niños, niñas y adolescentes; para lo cual requieren del apoyo, acompañamiento y fortalecimiento del Estado y la sociedad civil. A continuación, los datos básicos de la Estrategia:</w:t>
      </w:r>
    </w:p>
    <w:p w:rsidR="00FB2352" w:rsidRPr="00992589" w:rsidRDefault="00FB2352" w:rsidP="00FB2352">
      <w:pPr>
        <w:spacing w:after="0" w:line="240" w:lineRule="auto"/>
        <w:jc w:val="both"/>
        <w:rPr>
          <w:rFonts w:eastAsiaTheme="minorHAnsi" w:cs="Arial"/>
        </w:rPr>
      </w:pPr>
    </w:p>
    <w:p w:rsidR="005D2693" w:rsidRDefault="005D2693" w:rsidP="00FB2352">
      <w:pPr>
        <w:spacing w:after="0" w:line="240" w:lineRule="auto"/>
        <w:jc w:val="both"/>
        <w:rPr>
          <w:rFonts w:cs="Arial"/>
          <w:b/>
          <w:u w:val="single"/>
        </w:rPr>
      </w:pPr>
    </w:p>
    <w:p w:rsidR="005D2693" w:rsidRDefault="005D2693" w:rsidP="00FB2352">
      <w:pPr>
        <w:spacing w:after="0" w:line="240" w:lineRule="auto"/>
        <w:jc w:val="both"/>
        <w:rPr>
          <w:rFonts w:cs="Arial"/>
          <w:b/>
          <w:u w:val="single"/>
        </w:rPr>
      </w:pPr>
    </w:p>
    <w:p w:rsidR="005D2693" w:rsidRDefault="005D2693" w:rsidP="00FB2352">
      <w:pPr>
        <w:spacing w:after="0" w:line="240" w:lineRule="auto"/>
        <w:jc w:val="both"/>
        <w:rPr>
          <w:rFonts w:cs="Arial"/>
          <w:b/>
          <w:u w:val="single"/>
        </w:rPr>
      </w:pPr>
    </w:p>
    <w:p w:rsidR="00FB2352" w:rsidRDefault="00FB2352" w:rsidP="00FB2352">
      <w:pPr>
        <w:spacing w:after="0" w:line="240" w:lineRule="auto"/>
        <w:jc w:val="both"/>
        <w:rPr>
          <w:rFonts w:cs="Arial"/>
          <w:b/>
          <w:u w:val="single"/>
        </w:rPr>
      </w:pPr>
      <w:r w:rsidRPr="00992589">
        <w:rPr>
          <w:rFonts w:cs="Arial"/>
          <w:b/>
          <w:u w:val="single"/>
        </w:rPr>
        <w:lastRenderedPageBreak/>
        <w:t xml:space="preserve">Objetivos </w:t>
      </w:r>
    </w:p>
    <w:p w:rsidR="005D2693" w:rsidRPr="00992589" w:rsidRDefault="005D2693" w:rsidP="00FB2352">
      <w:pPr>
        <w:spacing w:after="0" w:line="240" w:lineRule="auto"/>
        <w:jc w:val="both"/>
        <w:rPr>
          <w:rFonts w:cs="Arial"/>
          <w:b/>
          <w:u w:val="single"/>
        </w:rPr>
      </w:pPr>
    </w:p>
    <w:p w:rsidR="00FB2352" w:rsidRPr="00992589" w:rsidRDefault="00FB2352" w:rsidP="00FB2352">
      <w:pPr>
        <w:spacing w:after="0" w:line="240" w:lineRule="auto"/>
        <w:jc w:val="both"/>
        <w:rPr>
          <w:rFonts w:cs="Arial"/>
        </w:rPr>
      </w:pPr>
      <w:r w:rsidRPr="00992589">
        <w:rPr>
          <w:rFonts w:cs="Arial"/>
        </w:rPr>
        <w:t xml:space="preserve">La implementación de la Estrategia tendrá como objetivo general consolidar espacios de intercambios de saberes con padres, madres, cuidadores, docentes, niños, niñas y adolescentes, para promover entornos protectores que garanticen el goce efectivo de los derechos de niños, niñas y adolescentes. </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Algunos objetivos específicos son los siguientes:</w:t>
      </w:r>
    </w:p>
    <w:p w:rsidR="00FB2352" w:rsidRPr="00992589" w:rsidRDefault="00FB2352" w:rsidP="00FB2352">
      <w:pPr>
        <w:spacing w:after="0" w:line="240" w:lineRule="auto"/>
        <w:jc w:val="both"/>
        <w:rPr>
          <w:rFonts w:cs="Arial"/>
        </w:rPr>
      </w:pPr>
    </w:p>
    <w:p w:rsidR="00FB2352" w:rsidRPr="00992589" w:rsidRDefault="00FB2352" w:rsidP="005044B5">
      <w:pPr>
        <w:pStyle w:val="Prrafodelista"/>
        <w:numPr>
          <w:ilvl w:val="0"/>
          <w:numId w:val="257"/>
        </w:numPr>
        <w:spacing w:after="0" w:line="240" w:lineRule="auto"/>
        <w:contextualSpacing/>
        <w:jc w:val="both"/>
        <w:rPr>
          <w:rFonts w:eastAsia="MS Gothic" w:cs="Arial"/>
          <w:bCs/>
        </w:rPr>
      </w:pPr>
      <w:r w:rsidRPr="00992589">
        <w:rPr>
          <w:rFonts w:eastAsia="MS Gothic" w:cs="Arial"/>
          <w:bCs/>
        </w:rPr>
        <w:t xml:space="preserve">Propiciar espacios de formación grupales como recurso de apoyo a familias y docentes, en donde se discutan y analicen estrategias conducentes al reconocimiento de la niñez y la adolescencia como sujetos titulares de derechos, generando reflexiones acerca de sus relaciones familiares y promoviendo estrategias para la construcción de entornos protectores; </w:t>
      </w:r>
    </w:p>
    <w:p w:rsidR="00FB2352" w:rsidRPr="00992589" w:rsidRDefault="00FB2352" w:rsidP="005044B5">
      <w:pPr>
        <w:pStyle w:val="Prrafodelista"/>
        <w:numPr>
          <w:ilvl w:val="0"/>
          <w:numId w:val="257"/>
        </w:numPr>
        <w:spacing w:after="0" w:line="240" w:lineRule="auto"/>
        <w:contextualSpacing/>
        <w:jc w:val="both"/>
        <w:rPr>
          <w:rFonts w:eastAsia="MS Gothic" w:cs="Arial"/>
          <w:bCs/>
        </w:rPr>
      </w:pPr>
      <w:r w:rsidRPr="00992589">
        <w:rPr>
          <w:rFonts w:eastAsia="MS Gothic" w:cs="Arial"/>
          <w:bCs/>
        </w:rPr>
        <w:t>Constituir espacios de información, formación y reflexión sobre aspectos relacionados con los derechos de los niños, niñas y adolescentes, la vinculación afectiva, su derecho a la participación y sus derechos sexuales y reproductivos, con especial énfasis en la prevención del embarazo en la adolescencia;</w:t>
      </w:r>
    </w:p>
    <w:p w:rsidR="00FB2352" w:rsidRPr="00992589" w:rsidRDefault="00FB2352" w:rsidP="005044B5">
      <w:pPr>
        <w:pStyle w:val="Prrafodelista"/>
        <w:numPr>
          <w:ilvl w:val="0"/>
          <w:numId w:val="257"/>
        </w:numPr>
        <w:spacing w:after="0" w:line="240" w:lineRule="auto"/>
        <w:contextualSpacing/>
        <w:jc w:val="both"/>
        <w:rPr>
          <w:rFonts w:eastAsia="MS Gothic" w:cs="Arial"/>
          <w:bCs/>
        </w:rPr>
      </w:pPr>
      <w:r w:rsidRPr="00992589">
        <w:rPr>
          <w:rFonts w:eastAsia="MS Gothic" w:cs="Arial"/>
          <w:bCs/>
        </w:rPr>
        <w:t xml:space="preserve">Generar un especio digital para producir y adaptar contenidos web para los padres, madres, cuidadores y docentes de acuerdo a sus principales necesidades. </w:t>
      </w:r>
    </w:p>
    <w:p w:rsidR="00646D3D" w:rsidRDefault="00646D3D" w:rsidP="000078D6">
      <w:pPr>
        <w:ind w:firstLine="708"/>
        <w:rPr>
          <w:b/>
        </w:rPr>
      </w:pPr>
    </w:p>
    <w:p w:rsidR="00FB2352" w:rsidRDefault="00FB2352" w:rsidP="000078D6">
      <w:pPr>
        <w:ind w:firstLine="708"/>
        <w:rPr>
          <w:b/>
        </w:rPr>
      </w:pPr>
      <w:r w:rsidRPr="00D87C26">
        <w:rPr>
          <w:b/>
        </w:rPr>
        <w:t>Presupuesto de la Estrategia Construyendo Juntos Entornos Protectores</w:t>
      </w:r>
    </w:p>
    <w:p w:rsidR="00FB2352" w:rsidRPr="00992589" w:rsidRDefault="00FB2352" w:rsidP="00FB2352">
      <w:pPr>
        <w:pStyle w:val="Textocomentario"/>
        <w:spacing w:after="0"/>
        <w:jc w:val="both"/>
        <w:rPr>
          <w:rFonts w:cs="Arial"/>
          <w:sz w:val="22"/>
          <w:szCs w:val="22"/>
        </w:rPr>
      </w:pPr>
      <w:r w:rsidRPr="00992589">
        <w:rPr>
          <w:rFonts w:cs="Arial"/>
          <w:sz w:val="22"/>
          <w:szCs w:val="22"/>
        </w:rPr>
        <w:t xml:space="preserve">El valor total del Convenio de Cooperación Internacional con el cual se desarrolló la estrategia fue de </w:t>
      </w:r>
      <w:r w:rsidRPr="00992589">
        <w:rPr>
          <w:rFonts w:cs="Arial"/>
          <w:i/>
          <w:sz w:val="22"/>
          <w:szCs w:val="22"/>
        </w:rPr>
        <w:t xml:space="preserve">Veinte Mil Seiscientos Cuarenta y Cuatro Millones </w:t>
      </w:r>
      <w:r w:rsidR="005044B5" w:rsidRPr="00992589">
        <w:rPr>
          <w:rFonts w:cs="Arial"/>
          <w:i/>
          <w:sz w:val="22"/>
          <w:szCs w:val="22"/>
        </w:rPr>
        <w:t>Novecientos</w:t>
      </w:r>
      <w:r w:rsidRPr="00992589">
        <w:rPr>
          <w:rFonts w:cs="Arial"/>
          <w:i/>
          <w:sz w:val="22"/>
          <w:szCs w:val="22"/>
        </w:rPr>
        <w:t xml:space="preserve"> Setenta Y Cinco Mil Pesos </w:t>
      </w:r>
      <w:r w:rsidRPr="00992589">
        <w:rPr>
          <w:rFonts w:cs="Arial"/>
          <w:sz w:val="22"/>
          <w:szCs w:val="22"/>
        </w:rPr>
        <w:t>M/CTE ($20.644.975.000), discriminados de la siguiente manera:</w:t>
      </w:r>
    </w:p>
    <w:p w:rsidR="00FB2352" w:rsidRDefault="00FB2352" w:rsidP="00FB2352">
      <w:pPr>
        <w:pStyle w:val="Textocomentario"/>
        <w:spacing w:after="0"/>
        <w:jc w:val="both"/>
        <w:rPr>
          <w:rFonts w:cs="Arial"/>
          <w:sz w:val="22"/>
          <w:szCs w:val="22"/>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47"/>
        <w:gridCol w:w="1867"/>
        <w:gridCol w:w="2207"/>
        <w:gridCol w:w="2207"/>
      </w:tblGrid>
      <w:tr w:rsidR="00E454EA" w:rsidRPr="00E454EA" w:rsidTr="00E454EA">
        <w:trPr>
          <w:jc w:val="center"/>
        </w:trPr>
        <w:tc>
          <w:tcPr>
            <w:tcW w:w="2547" w:type="dxa"/>
            <w:vMerge w:val="restart"/>
            <w:shd w:val="clear" w:color="auto" w:fill="76923C" w:themeFill="accent3" w:themeFillShade="BF"/>
            <w:vAlign w:val="center"/>
          </w:tcPr>
          <w:p w:rsidR="00FB2352" w:rsidRPr="00E454EA" w:rsidRDefault="00E454EA" w:rsidP="00FB2352">
            <w:pPr>
              <w:pStyle w:val="Textocomentario"/>
              <w:spacing w:after="0"/>
              <w:jc w:val="center"/>
              <w:rPr>
                <w:rFonts w:cs="Arial"/>
                <w:b/>
                <w:color w:val="FFFFFF" w:themeColor="background1"/>
                <w:sz w:val="18"/>
              </w:rPr>
            </w:pPr>
            <w:r w:rsidRPr="00E454EA">
              <w:rPr>
                <w:rFonts w:cs="Arial"/>
                <w:b/>
                <w:color w:val="FFFFFF" w:themeColor="background1"/>
                <w:sz w:val="18"/>
              </w:rPr>
              <w:t>Entidad</w:t>
            </w:r>
          </w:p>
        </w:tc>
        <w:tc>
          <w:tcPr>
            <w:tcW w:w="4074" w:type="dxa"/>
            <w:gridSpan w:val="2"/>
            <w:shd w:val="clear" w:color="auto" w:fill="76923C" w:themeFill="accent3" w:themeFillShade="BF"/>
            <w:vAlign w:val="center"/>
          </w:tcPr>
          <w:p w:rsidR="00FB2352" w:rsidRPr="00E454EA" w:rsidRDefault="00FB2352" w:rsidP="00FB2352">
            <w:pPr>
              <w:pStyle w:val="Textocomentario"/>
              <w:spacing w:after="0"/>
              <w:jc w:val="center"/>
              <w:rPr>
                <w:rFonts w:cs="Arial"/>
                <w:b/>
                <w:color w:val="FFFFFF" w:themeColor="background1"/>
                <w:sz w:val="18"/>
              </w:rPr>
            </w:pPr>
            <w:r w:rsidRPr="00E454EA">
              <w:rPr>
                <w:rFonts w:cs="Arial"/>
                <w:b/>
                <w:color w:val="FFFFFF" w:themeColor="background1"/>
                <w:sz w:val="18"/>
              </w:rPr>
              <w:t>ICBF</w:t>
            </w:r>
          </w:p>
        </w:tc>
        <w:tc>
          <w:tcPr>
            <w:tcW w:w="2207" w:type="dxa"/>
            <w:vMerge w:val="restart"/>
            <w:shd w:val="clear" w:color="auto" w:fill="76923C" w:themeFill="accent3" w:themeFillShade="BF"/>
            <w:vAlign w:val="center"/>
          </w:tcPr>
          <w:p w:rsidR="00FB2352" w:rsidRPr="00E454EA" w:rsidRDefault="00FB2352" w:rsidP="00FB2352">
            <w:pPr>
              <w:pStyle w:val="Textocomentario"/>
              <w:spacing w:after="0"/>
              <w:jc w:val="center"/>
              <w:rPr>
                <w:rFonts w:cs="Arial"/>
                <w:b/>
                <w:color w:val="FFFFFF" w:themeColor="background1"/>
                <w:sz w:val="18"/>
              </w:rPr>
            </w:pPr>
            <w:r w:rsidRPr="00E454EA">
              <w:rPr>
                <w:rFonts w:cs="Arial"/>
                <w:b/>
                <w:color w:val="FFFFFF" w:themeColor="background1"/>
                <w:sz w:val="18"/>
                <w:lang w:val="es-CO"/>
              </w:rPr>
              <w:t xml:space="preserve">Organización de Estados Iberoamericanos - </w:t>
            </w:r>
            <w:r w:rsidRPr="00E454EA">
              <w:rPr>
                <w:rFonts w:cs="Arial"/>
                <w:b/>
                <w:color w:val="FFFFFF" w:themeColor="background1"/>
                <w:sz w:val="18"/>
              </w:rPr>
              <w:t>OEI</w:t>
            </w:r>
          </w:p>
        </w:tc>
      </w:tr>
      <w:tr w:rsidR="00FB2352" w:rsidRPr="00992589" w:rsidTr="00E454EA">
        <w:trPr>
          <w:trHeight w:val="508"/>
          <w:jc w:val="center"/>
        </w:trPr>
        <w:tc>
          <w:tcPr>
            <w:tcW w:w="2547" w:type="dxa"/>
            <w:vMerge/>
            <w:shd w:val="clear" w:color="auto" w:fill="F79646" w:themeFill="accent6"/>
            <w:vAlign w:val="center"/>
          </w:tcPr>
          <w:p w:rsidR="00FB2352" w:rsidRPr="003D6F87" w:rsidRDefault="00FB2352" w:rsidP="00FB2352">
            <w:pPr>
              <w:pStyle w:val="Textocomentario"/>
              <w:spacing w:after="0"/>
              <w:jc w:val="center"/>
              <w:rPr>
                <w:rFonts w:cs="Arial"/>
                <w:b/>
                <w:sz w:val="18"/>
              </w:rPr>
            </w:pPr>
          </w:p>
        </w:tc>
        <w:tc>
          <w:tcPr>
            <w:tcW w:w="1867" w:type="dxa"/>
            <w:shd w:val="clear" w:color="auto" w:fill="76923C" w:themeFill="accent3" w:themeFillShade="BF"/>
            <w:vAlign w:val="center"/>
          </w:tcPr>
          <w:p w:rsidR="00FB2352" w:rsidRPr="00E454EA" w:rsidRDefault="00FB2352" w:rsidP="00FB2352">
            <w:pPr>
              <w:pStyle w:val="Textocomentario"/>
              <w:spacing w:after="0"/>
              <w:jc w:val="center"/>
              <w:rPr>
                <w:rFonts w:cs="Arial"/>
                <w:b/>
                <w:color w:val="FFFFFF" w:themeColor="background1"/>
                <w:sz w:val="18"/>
              </w:rPr>
            </w:pPr>
            <w:r w:rsidRPr="00E454EA">
              <w:rPr>
                <w:rFonts w:cs="Arial"/>
                <w:b/>
                <w:color w:val="FFFFFF" w:themeColor="background1"/>
                <w:sz w:val="18"/>
              </w:rPr>
              <w:t>Dirección de Niñez y Adolescencia</w:t>
            </w:r>
          </w:p>
        </w:tc>
        <w:tc>
          <w:tcPr>
            <w:tcW w:w="2207" w:type="dxa"/>
            <w:shd w:val="clear" w:color="auto" w:fill="76923C" w:themeFill="accent3" w:themeFillShade="BF"/>
            <w:vAlign w:val="center"/>
          </w:tcPr>
          <w:p w:rsidR="00FB2352" w:rsidRPr="00E454EA" w:rsidRDefault="00FB2352" w:rsidP="00FB2352">
            <w:pPr>
              <w:pStyle w:val="Textocomentario"/>
              <w:spacing w:after="0"/>
              <w:jc w:val="center"/>
              <w:rPr>
                <w:rFonts w:cs="Arial"/>
                <w:b/>
                <w:color w:val="FFFFFF" w:themeColor="background1"/>
                <w:sz w:val="18"/>
              </w:rPr>
            </w:pPr>
            <w:r w:rsidRPr="00E454EA">
              <w:rPr>
                <w:rFonts w:cs="Arial"/>
                <w:b/>
                <w:color w:val="FFFFFF" w:themeColor="background1"/>
                <w:sz w:val="18"/>
              </w:rPr>
              <w:t>Dirección de Familias y Comunidades</w:t>
            </w:r>
          </w:p>
        </w:tc>
        <w:tc>
          <w:tcPr>
            <w:tcW w:w="2207" w:type="dxa"/>
            <w:vMerge/>
            <w:shd w:val="clear" w:color="auto" w:fill="92D050"/>
            <w:vAlign w:val="center"/>
          </w:tcPr>
          <w:p w:rsidR="00FB2352" w:rsidRPr="003D6F87" w:rsidRDefault="00FB2352" w:rsidP="00FB2352">
            <w:pPr>
              <w:pStyle w:val="Textocomentario"/>
              <w:spacing w:after="0"/>
              <w:jc w:val="center"/>
              <w:rPr>
                <w:rFonts w:cs="Arial"/>
                <w:sz w:val="18"/>
              </w:rPr>
            </w:pPr>
          </w:p>
        </w:tc>
      </w:tr>
      <w:tr w:rsidR="00FB2352" w:rsidRPr="00992589" w:rsidTr="00E454EA">
        <w:trPr>
          <w:trHeight w:val="661"/>
          <w:jc w:val="center"/>
        </w:trPr>
        <w:tc>
          <w:tcPr>
            <w:tcW w:w="2547" w:type="dxa"/>
            <w:vAlign w:val="center"/>
          </w:tcPr>
          <w:p w:rsidR="00FB2352" w:rsidRPr="003D6F87" w:rsidRDefault="00FB2352" w:rsidP="00FB2352">
            <w:pPr>
              <w:pStyle w:val="Textocomentario"/>
              <w:spacing w:after="0"/>
              <w:rPr>
                <w:rFonts w:cs="Arial"/>
                <w:sz w:val="18"/>
              </w:rPr>
            </w:pPr>
            <w:r w:rsidRPr="003D6F87">
              <w:rPr>
                <w:rFonts w:cs="Arial"/>
                <w:sz w:val="18"/>
              </w:rPr>
              <w:t>APORTES FINANCIEROS</w:t>
            </w:r>
          </w:p>
        </w:tc>
        <w:tc>
          <w:tcPr>
            <w:tcW w:w="1867" w:type="dxa"/>
            <w:vAlign w:val="center"/>
          </w:tcPr>
          <w:p w:rsidR="00FB2352" w:rsidRPr="003D6F87" w:rsidRDefault="00FB2352" w:rsidP="00FB2352">
            <w:pPr>
              <w:pStyle w:val="Textocomentario"/>
              <w:spacing w:after="0"/>
              <w:jc w:val="center"/>
              <w:rPr>
                <w:rFonts w:cs="Arial"/>
                <w:sz w:val="18"/>
              </w:rPr>
            </w:pPr>
            <w:r w:rsidRPr="003D6F87">
              <w:rPr>
                <w:rFonts w:cs="Arial"/>
                <w:iCs/>
                <w:sz w:val="18"/>
              </w:rPr>
              <w:t>$5.300.000.000</w:t>
            </w:r>
          </w:p>
        </w:tc>
        <w:tc>
          <w:tcPr>
            <w:tcW w:w="2207" w:type="dxa"/>
            <w:vAlign w:val="center"/>
          </w:tcPr>
          <w:p w:rsidR="00FB2352" w:rsidRPr="003D6F87" w:rsidRDefault="00FB2352" w:rsidP="00FB2352">
            <w:pPr>
              <w:pStyle w:val="Textocomentario"/>
              <w:spacing w:after="0"/>
              <w:jc w:val="center"/>
              <w:rPr>
                <w:rFonts w:cs="Arial"/>
                <w:sz w:val="18"/>
              </w:rPr>
            </w:pPr>
            <w:r w:rsidRPr="003D6F87">
              <w:rPr>
                <w:rFonts w:cs="Arial"/>
                <w:iCs/>
                <w:sz w:val="18"/>
              </w:rPr>
              <w:t>$5.000.000.000</w:t>
            </w:r>
          </w:p>
        </w:tc>
        <w:tc>
          <w:tcPr>
            <w:tcW w:w="2207" w:type="dxa"/>
            <w:vAlign w:val="center"/>
          </w:tcPr>
          <w:p w:rsidR="00FB2352" w:rsidRPr="003D6F87" w:rsidRDefault="00FB2352" w:rsidP="00FB2352">
            <w:pPr>
              <w:pStyle w:val="Textocomentario"/>
              <w:spacing w:after="0"/>
              <w:jc w:val="center"/>
              <w:rPr>
                <w:rFonts w:cs="Arial"/>
                <w:sz w:val="18"/>
              </w:rPr>
            </w:pPr>
            <w:r w:rsidRPr="003D6F87">
              <w:rPr>
                <w:rFonts w:cs="Arial"/>
                <w:iCs/>
                <w:sz w:val="18"/>
              </w:rPr>
              <w:t xml:space="preserve">$ </w:t>
            </w:r>
            <w:r w:rsidRPr="003D6F87">
              <w:rPr>
                <w:rFonts w:cs="Arial"/>
                <w:spacing w:val="-2"/>
                <w:sz w:val="18"/>
              </w:rPr>
              <w:t>9.394.975.000</w:t>
            </w:r>
          </w:p>
        </w:tc>
      </w:tr>
      <w:tr w:rsidR="00FB2352" w:rsidRPr="00992589" w:rsidTr="00E454EA">
        <w:trPr>
          <w:trHeight w:val="661"/>
          <w:jc w:val="center"/>
        </w:trPr>
        <w:tc>
          <w:tcPr>
            <w:tcW w:w="2547" w:type="dxa"/>
            <w:vAlign w:val="center"/>
          </w:tcPr>
          <w:p w:rsidR="00FB2352" w:rsidRPr="003D6F87" w:rsidRDefault="00FB2352" w:rsidP="00FB2352">
            <w:pPr>
              <w:pStyle w:val="Textocomentario"/>
              <w:spacing w:after="0"/>
              <w:rPr>
                <w:rFonts w:cs="Arial"/>
                <w:sz w:val="18"/>
              </w:rPr>
            </w:pPr>
            <w:r w:rsidRPr="003D6F87">
              <w:rPr>
                <w:rFonts w:cs="Arial"/>
                <w:sz w:val="18"/>
              </w:rPr>
              <w:t>APORTES DE ASISTENCIA TÉCNICA</w:t>
            </w:r>
          </w:p>
        </w:tc>
        <w:tc>
          <w:tcPr>
            <w:tcW w:w="1867" w:type="dxa"/>
            <w:vAlign w:val="center"/>
          </w:tcPr>
          <w:p w:rsidR="00FB2352" w:rsidRPr="003D6F87" w:rsidRDefault="00FB2352" w:rsidP="00FB2352">
            <w:pPr>
              <w:pStyle w:val="Textocomentario"/>
              <w:spacing w:after="0"/>
              <w:jc w:val="center"/>
              <w:rPr>
                <w:rFonts w:cs="Arial"/>
                <w:iCs/>
                <w:sz w:val="18"/>
              </w:rPr>
            </w:pPr>
          </w:p>
        </w:tc>
        <w:tc>
          <w:tcPr>
            <w:tcW w:w="2207" w:type="dxa"/>
            <w:vAlign w:val="center"/>
          </w:tcPr>
          <w:p w:rsidR="00FB2352" w:rsidRPr="003D6F87" w:rsidRDefault="00FB2352" w:rsidP="00FB2352">
            <w:pPr>
              <w:pStyle w:val="Textocomentario"/>
              <w:spacing w:after="0"/>
              <w:jc w:val="center"/>
              <w:rPr>
                <w:rFonts w:cs="Arial"/>
                <w:iCs/>
                <w:sz w:val="18"/>
              </w:rPr>
            </w:pPr>
          </w:p>
        </w:tc>
        <w:tc>
          <w:tcPr>
            <w:tcW w:w="2207" w:type="dxa"/>
            <w:vAlign w:val="center"/>
          </w:tcPr>
          <w:p w:rsidR="00FB2352" w:rsidRPr="003D6F87" w:rsidRDefault="00FB2352" w:rsidP="00FB2352">
            <w:pPr>
              <w:pStyle w:val="Textocomentario"/>
              <w:spacing w:after="0"/>
              <w:jc w:val="center"/>
              <w:rPr>
                <w:rFonts w:cs="Arial"/>
                <w:iCs/>
                <w:sz w:val="18"/>
              </w:rPr>
            </w:pPr>
            <w:r w:rsidRPr="003D6F87">
              <w:rPr>
                <w:rFonts w:cs="Arial"/>
                <w:spacing w:val="-2"/>
                <w:sz w:val="18"/>
              </w:rPr>
              <w:t>$ 950.000.000</w:t>
            </w:r>
          </w:p>
        </w:tc>
      </w:tr>
      <w:tr w:rsidR="00FB2352" w:rsidRPr="00992589" w:rsidTr="000D6E44">
        <w:trPr>
          <w:trHeight w:val="255"/>
          <w:jc w:val="center"/>
        </w:trPr>
        <w:tc>
          <w:tcPr>
            <w:tcW w:w="2547" w:type="dxa"/>
            <w:shd w:val="clear" w:color="auto" w:fill="E2EFDA"/>
            <w:vAlign w:val="center"/>
          </w:tcPr>
          <w:p w:rsidR="00FB2352" w:rsidRPr="003D6F87" w:rsidRDefault="00FB2352" w:rsidP="00FB2352">
            <w:pPr>
              <w:pStyle w:val="Textocomentario"/>
              <w:spacing w:after="0"/>
              <w:jc w:val="center"/>
              <w:rPr>
                <w:rFonts w:cs="Arial"/>
                <w:b/>
                <w:sz w:val="18"/>
              </w:rPr>
            </w:pPr>
            <w:r w:rsidRPr="003D6F87">
              <w:rPr>
                <w:rFonts w:cs="Arial"/>
                <w:b/>
                <w:sz w:val="18"/>
              </w:rPr>
              <w:t>TOTAL</w:t>
            </w:r>
          </w:p>
        </w:tc>
        <w:tc>
          <w:tcPr>
            <w:tcW w:w="4074" w:type="dxa"/>
            <w:gridSpan w:val="2"/>
            <w:shd w:val="clear" w:color="auto" w:fill="E2EFDA"/>
            <w:vAlign w:val="center"/>
          </w:tcPr>
          <w:p w:rsidR="00FB2352" w:rsidRPr="003D6F87" w:rsidRDefault="00FB2352" w:rsidP="00FB2352">
            <w:pPr>
              <w:pStyle w:val="Textocomentario"/>
              <w:spacing w:after="0"/>
              <w:jc w:val="center"/>
              <w:rPr>
                <w:rFonts w:cs="Arial"/>
                <w:b/>
                <w:iCs/>
                <w:sz w:val="18"/>
              </w:rPr>
            </w:pPr>
            <w:r w:rsidRPr="003D6F87">
              <w:rPr>
                <w:rFonts w:cs="Arial"/>
                <w:b/>
                <w:iCs/>
                <w:sz w:val="18"/>
              </w:rPr>
              <w:t>$ 10.300.000</w:t>
            </w:r>
          </w:p>
        </w:tc>
        <w:tc>
          <w:tcPr>
            <w:tcW w:w="2207" w:type="dxa"/>
            <w:shd w:val="clear" w:color="auto" w:fill="E2EFDA"/>
            <w:vAlign w:val="center"/>
          </w:tcPr>
          <w:p w:rsidR="00FB2352" w:rsidRPr="003D6F87" w:rsidRDefault="00FB2352" w:rsidP="00FB2352">
            <w:pPr>
              <w:pStyle w:val="Textocomentario"/>
              <w:spacing w:after="0"/>
              <w:jc w:val="center"/>
              <w:rPr>
                <w:rFonts w:cs="Arial"/>
                <w:b/>
                <w:iCs/>
                <w:sz w:val="18"/>
              </w:rPr>
            </w:pPr>
            <w:r w:rsidRPr="003D6F87">
              <w:rPr>
                <w:rFonts w:cs="Arial"/>
                <w:b/>
                <w:iCs/>
                <w:sz w:val="18"/>
              </w:rPr>
              <w:t>$10.344.975.000</w:t>
            </w:r>
          </w:p>
        </w:tc>
      </w:tr>
    </w:tbl>
    <w:p w:rsidR="00FB2352" w:rsidRDefault="000D6E44" w:rsidP="00FB2352">
      <w:pPr>
        <w:pStyle w:val="Sinespaciado"/>
        <w:jc w:val="both"/>
        <w:rPr>
          <w:rFonts w:cs="Arial"/>
          <w:sz w:val="16"/>
        </w:rPr>
      </w:pPr>
      <w:r>
        <w:rPr>
          <w:rFonts w:cs="Arial"/>
          <w:b/>
          <w:sz w:val="16"/>
        </w:rPr>
        <w:t xml:space="preserve">      </w:t>
      </w:r>
      <w:r w:rsidR="00FB2352" w:rsidRPr="00E454EA">
        <w:rPr>
          <w:rFonts w:cs="Arial"/>
          <w:b/>
          <w:sz w:val="16"/>
        </w:rPr>
        <w:t>Fuente:</w:t>
      </w:r>
      <w:r w:rsidR="00FB2352" w:rsidRPr="00992589">
        <w:rPr>
          <w:rFonts w:cs="Arial"/>
          <w:sz w:val="16"/>
        </w:rPr>
        <w:t xml:space="preserve"> Elaboración Propia DNA/DFC</w:t>
      </w:r>
    </w:p>
    <w:p w:rsidR="00E454EA" w:rsidRDefault="00E454EA" w:rsidP="00FB2352">
      <w:pPr>
        <w:pStyle w:val="Sinespaciado"/>
        <w:jc w:val="both"/>
        <w:rPr>
          <w:rFonts w:cs="Arial"/>
          <w:sz w:val="16"/>
        </w:rPr>
      </w:pPr>
    </w:p>
    <w:p w:rsidR="000078D6" w:rsidRDefault="000078D6" w:rsidP="00FB2352">
      <w:pPr>
        <w:pStyle w:val="Sinespaciado"/>
        <w:jc w:val="both"/>
        <w:rPr>
          <w:rFonts w:cs="Arial"/>
          <w:sz w:val="16"/>
        </w:rPr>
      </w:pPr>
    </w:p>
    <w:p w:rsidR="00FB2352" w:rsidRPr="00D87C26" w:rsidRDefault="00FB2352" w:rsidP="000078D6">
      <w:pPr>
        <w:ind w:left="708"/>
        <w:rPr>
          <w:b/>
        </w:rPr>
      </w:pPr>
      <w:r w:rsidRPr="00D87C26">
        <w:rPr>
          <w:b/>
        </w:rPr>
        <w:t>Implementación de la Estrategia Construyendo Juntos Entornos Protectores</w:t>
      </w:r>
    </w:p>
    <w:p w:rsidR="00FB2352" w:rsidRPr="00992589" w:rsidRDefault="00FB2352" w:rsidP="00FB2352">
      <w:pPr>
        <w:spacing w:after="0" w:line="240" w:lineRule="auto"/>
        <w:jc w:val="both"/>
        <w:rPr>
          <w:rFonts w:cs="Arial"/>
        </w:rPr>
      </w:pPr>
      <w:r w:rsidRPr="00992589">
        <w:rPr>
          <w:rFonts w:cs="Arial"/>
        </w:rPr>
        <w:t xml:space="preserve">La formación que propone la Estrategia está dirigida a un mínimo de siete mil (7.000) familias y siete mil (7.000) cuidadores, en las seis (6) macro regiones del país. No obstante, la Estrategia también busca incluir en el proceso de formación a niños, niñas y adolescentes en ciertas temáticas que se consideran esenciales para garantizar un proceso integral (Para 2016, se logró </w:t>
      </w:r>
      <w:r w:rsidRPr="00992589">
        <w:rPr>
          <w:rFonts w:cs="Arial"/>
        </w:rPr>
        <w:lastRenderedPageBreak/>
        <w:t xml:space="preserve">la participación de 3.410 niños, niñas y adolescentes que asistieron a los talleres y 12.722 niños, niñas y adolescentes como beneficiarios indirectos). </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 xml:space="preserve">Este proceso de formación está organizado en módulos temáticos, desde los cuales se abordan diferentes </w:t>
      </w:r>
      <w:r w:rsidRPr="00992589">
        <w:rPr>
          <w:rFonts w:cs="Arial"/>
          <w:i/>
        </w:rPr>
        <w:t>espacios de reflexión</w:t>
      </w:r>
      <w:r w:rsidRPr="00992589">
        <w:rPr>
          <w:rFonts w:cs="Arial"/>
        </w:rPr>
        <w:t xml:space="preserve">, y compuesto por siete (7) </w:t>
      </w:r>
      <w:r w:rsidRPr="00992589">
        <w:rPr>
          <w:rFonts w:cs="Arial"/>
          <w:i/>
        </w:rPr>
        <w:t xml:space="preserve">sesiones de formación </w:t>
      </w:r>
      <w:r w:rsidRPr="00992589">
        <w:rPr>
          <w:rFonts w:eastAsia="MS Gothic" w:cs="Arial"/>
          <w:bCs/>
        </w:rPr>
        <w:t>que desarrollan de manera didáctica los diferentes contenidos</w:t>
      </w:r>
      <w:r w:rsidRPr="00992589">
        <w:rPr>
          <w:rFonts w:cs="Arial"/>
          <w:i/>
        </w:rPr>
        <w:t xml:space="preserve"> </w:t>
      </w:r>
      <w:r w:rsidRPr="00992589">
        <w:rPr>
          <w:rFonts w:cs="Arial"/>
        </w:rPr>
        <w:t>y que se distribuyen de la siguiente manera:</w:t>
      </w:r>
    </w:p>
    <w:p w:rsidR="00FB2352" w:rsidRDefault="00FB2352" w:rsidP="00FB2352">
      <w:pPr>
        <w:spacing w:after="0" w:line="240" w:lineRule="auto"/>
        <w:jc w:val="both"/>
        <w:rPr>
          <w:rFonts w:cs="Arial"/>
        </w:rPr>
      </w:pPr>
    </w:p>
    <w:tbl>
      <w:tblPr>
        <w:tblStyle w:val="Sombreadomedio1-nfasis4"/>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137"/>
        <w:gridCol w:w="2969"/>
        <w:gridCol w:w="1134"/>
        <w:gridCol w:w="3578"/>
      </w:tblGrid>
      <w:tr w:rsidR="00FB2352" w:rsidRPr="005044B5" w:rsidTr="005D26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37"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rsidR="00FB2352" w:rsidRPr="005044B5" w:rsidRDefault="00E454EA" w:rsidP="00FB2352">
            <w:pPr>
              <w:pStyle w:val="Sinespaciado"/>
              <w:jc w:val="center"/>
              <w:rPr>
                <w:rFonts w:cs="Arial"/>
                <w:sz w:val="18"/>
                <w:szCs w:val="18"/>
              </w:rPr>
            </w:pPr>
            <w:r w:rsidRPr="005044B5">
              <w:rPr>
                <w:rFonts w:cs="Arial"/>
                <w:sz w:val="18"/>
                <w:szCs w:val="18"/>
              </w:rPr>
              <w:t>Sesión de F</w:t>
            </w:r>
            <w:r w:rsidR="00FB2352" w:rsidRPr="005044B5">
              <w:rPr>
                <w:rFonts w:cs="Arial"/>
                <w:sz w:val="18"/>
                <w:szCs w:val="18"/>
              </w:rPr>
              <w:t>ormación No.</w:t>
            </w:r>
          </w:p>
        </w:tc>
        <w:tc>
          <w:tcPr>
            <w:tcW w:w="2969"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rsidR="00FB2352" w:rsidRPr="005044B5" w:rsidRDefault="00FB2352" w:rsidP="00FB2352">
            <w:pPr>
              <w:pStyle w:val="Sinespaciad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044B5">
              <w:rPr>
                <w:rFonts w:cs="Arial"/>
                <w:sz w:val="18"/>
                <w:szCs w:val="18"/>
              </w:rPr>
              <w:t>Módulo</w:t>
            </w:r>
          </w:p>
        </w:tc>
        <w:tc>
          <w:tcPr>
            <w:tcW w:w="1134"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rsidR="00FB2352" w:rsidRPr="005044B5" w:rsidRDefault="00E454EA" w:rsidP="00FB2352">
            <w:pPr>
              <w:pStyle w:val="Sinespaciad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044B5">
              <w:rPr>
                <w:rFonts w:cs="Arial"/>
                <w:sz w:val="18"/>
                <w:szCs w:val="18"/>
              </w:rPr>
              <w:t>No. de H</w:t>
            </w:r>
            <w:r w:rsidR="00FB2352" w:rsidRPr="005044B5">
              <w:rPr>
                <w:rFonts w:cs="Arial"/>
                <w:sz w:val="18"/>
                <w:szCs w:val="18"/>
              </w:rPr>
              <w:t>oras</w:t>
            </w:r>
          </w:p>
        </w:tc>
        <w:tc>
          <w:tcPr>
            <w:tcW w:w="3578" w:type="dxa"/>
            <w:tcBorders>
              <w:top w:val="none" w:sz="0" w:space="0" w:color="auto"/>
              <w:left w:val="none" w:sz="0" w:space="0" w:color="auto"/>
              <w:bottom w:val="none" w:sz="0" w:space="0" w:color="auto"/>
              <w:right w:val="none" w:sz="0" w:space="0" w:color="auto"/>
            </w:tcBorders>
            <w:shd w:val="clear" w:color="auto" w:fill="76923C" w:themeFill="accent3" w:themeFillShade="BF"/>
            <w:vAlign w:val="center"/>
          </w:tcPr>
          <w:p w:rsidR="00FB2352" w:rsidRPr="005044B5" w:rsidRDefault="00FB2352" w:rsidP="00FB2352">
            <w:pPr>
              <w:pStyle w:val="Sinespaciad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5044B5">
              <w:rPr>
                <w:rFonts w:cs="Arial"/>
                <w:sz w:val="18"/>
                <w:szCs w:val="18"/>
              </w:rPr>
              <w:t>Participantes</w:t>
            </w:r>
          </w:p>
        </w:tc>
      </w:tr>
      <w:tr w:rsidR="00FB2352" w:rsidRPr="005044B5" w:rsidTr="005D2693">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1</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Módulo 1: Análisis del Contexto</w:t>
            </w:r>
            <w:r w:rsidRPr="005044B5">
              <w:rPr>
                <w:rStyle w:val="Refdenotaalpie"/>
                <w:rFonts w:cs="Arial"/>
                <w:sz w:val="18"/>
                <w:szCs w:val="18"/>
              </w:rPr>
              <w:footnoteReference w:id="8"/>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Padres, madres, cuidadores y docentes.</w:t>
            </w:r>
          </w:p>
        </w:tc>
      </w:tr>
      <w:tr w:rsidR="00FB2352" w:rsidRPr="005044B5" w:rsidTr="005D26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2</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Módulo 2: Lo que debemos saber sobre los derechos de los niños, niñas y adolescentes</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4</w:t>
            </w:r>
            <w:r w:rsidRPr="005044B5">
              <w:rPr>
                <w:rStyle w:val="Refdenotaalpie"/>
                <w:rFonts w:cs="Arial"/>
                <w:sz w:val="18"/>
                <w:szCs w:val="18"/>
              </w:rPr>
              <w:footnoteReference w:id="9"/>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Padres, madres, cuidadores y docentes.</w:t>
            </w:r>
          </w:p>
        </w:tc>
      </w:tr>
      <w:tr w:rsidR="00FB2352" w:rsidRPr="005044B5" w:rsidTr="005D2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3</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Módulo 2: Lo que debemos saber sobre los derechos de los niños, niñas y adolescentes</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Padres, madres, cuidadores y docentes.</w:t>
            </w:r>
          </w:p>
        </w:tc>
      </w:tr>
      <w:tr w:rsidR="00FB2352" w:rsidRPr="005044B5" w:rsidTr="005D26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4</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Módulo 3: Derechos sexuales y reproductivos y Prevención del embarazo en la adolescencia</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Niños, niñas, adolescentes, padres, madres, cuidadores y docentes.</w:t>
            </w:r>
          </w:p>
        </w:tc>
      </w:tr>
      <w:tr w:rsidR="00FB2352" w:rsidRPr="005044B5" w:rsidTr="005D2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5</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Módulo 4: Participación y Ciudadanía</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Niños, niñas, adolescentes, padres, madres, cuidadores y docentes.</w:t>
            </w:r>
          </w:p>
        </w:tc>
      </w:tr>
      <w:tr w:rsidR="00FB2352" w:rsidRPr="005044B5" w:rsidTr="005D26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6</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Módulo 4: Participación y Ciudadanía</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010000" w:firstRow="0" w:lastRow="0" w:firstColumn="0" w:lastColumn="0" w:oddVBand="0" w:evenVBand="0" w:oddHBand="0" w:evenHBand="1" w:firstRowFirstColumn="0" w:firstRowLastColumn="0" w:lastRowFirstColumn="0" w:lastRowLastColumn="0"/>
              <w:rPr>
                <w:rFonts w:cs="Arial"/>
                <w:sz w:val="18"/>
                <w:szCs w:val="18"/>
              </w:rPr>
            </w:pPr>
            <w:r w:rsidRPr="005044B5">
              <w:rPr>
                <w:rFonts w:cs="Arial"/>
                <w:sz w:val="18"/>
                <w:szCs w:val="18"/>
              </w:rPr>
              <w:t>Niños, niñas, adolescentes, padres, madres, cuidadores y docentes.</w:t>
            </w:r>
          </w:p>
        </w:tc>
      </w:tr>
      <w:tr w:rsidR="00FB2352" w:rsidRPr="005044B5" w:rsidTr="005D2693">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1137" w:type="dxa"/>
            <w:tcBorders>
              <w:right w:val="none" w:sz="0" w:space="0" w:color="auto"/>
            </w:tcBorders>
            <w:shd w:val="clear" w:color="auto" w:fill="auto"/>
            <w:vAlign w:val="center"/>
          </w:tcPr>
          <w:p w:rsidR="00FB2352" w:rsidRPr="005044B5" w:rsidRDefault="00FB2352" w:rsidP="00FB2352">
            <w:pPr>
              <w:pStyle w:val="Sinespaciado"/>
              <w:jc w:val="center"/>
              <w:rPr>
                <w:rFonts w:cs="Arial"/>
                <w:sz w:val="18"/>
                <w:szCs w:val="18"/>
              </w:rPr>
            </w:pPr>
            <w:r w:rsidRPr="005044B5">
              <w:rPr>
                <w:rFonts w:cs="Arial"/>
                <w:sz w:val="18"/>
                <w:szCs w:val="18"/>
              </w:rPr>
              <w:t>7</w:t>
            </w:r>
          </w:p>
        </w:tc>
        <w:tc>
          <w:tcPr>
            <w:tcW w:w="2969" w:type="dxa"/>
            <w:tcBorders>
              <w:left w:val="none" w:sz="0" w:space="0" w:color="auto"/>
              <w:righ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Módulo 5: Vinculación Afectiva</w:t>
            </w:r>
          </w:p>
        </w:tc>
        <w:tc>
          <w:tcPr>
            <w:tcW w:w="1134" w:type="dxa"/>
            <w:tcBorders>
              <w:left w:val="none" w:sz="0" w:space="0" w:color="auto"/>
              <w:right w:val="none" w:sz="0" w:space="0" w:color="auto"/>
            </w:tcBorders>
            <w:shd w:val="clear" w:color="auto" w:fill="auto"/>
            <w:vAlign w:val="center"/>
          </w:tcPr>
          <w:p w:rsidR="00FB2352" w:rsidRPr="005044B5"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3</w:t>
            </w:r>
          </w:p>
        </w:tc>
        <w:tc>
          <w:tcPr>
            <w:tcW w:w="3578" w:type="dxa"/>
            <w:tcBorders>
              <w:left w:val="none" w:sz="0" w:space="0" w:color="auto"/>
            </w:tcBorders>
            <w:shd w:val="clear" w:color="auto" w:fill="auto"/>
            <w:vAlign w:val="center"/>
          </w:tcPr>
          <w:p w:rsidR="00FB2352" w:rsidRPr="005044B5" w:rsidRDefault="00FB2352" w:rsidP="00E454EA">
            <w:pPr>
              <w:pStyle w:val="Sinespaciado"/>
              <w:cnfStyle w:val="000000100000" w:firstRow="0" w:lastRow="0" w:firstColumn="0" w:lastColumn="0" w:oddVBand="0" w:evenVBand="0" w:oddHBand="1" w:evenHBand="0" w:firstRowFirstColumn="0" w:firstRowLastColumn="0" w:lastRowFirstColumn="0" w:lastRowLastColumn="0"/>
              <w:rPr>
                <w:rFonts w:cs="Arial"/>
                <w:sz w:val="18"/>
                <w:szCs w:val="18"/>
              </w:rPr>
            </w:pPr>
            <w:r w:rsidRPr="005044B5">
              <w:rPr>
                <w:rFonts w:cs="Arial"/>
                <w:sz w:val="18"/>
                <w:szCs w:val="18"/>
              </w:rPr>
              <w:t>Niños, niñas, adolescentes, padres, madres, cuidadores y docentes.</w:t>
            </w:r>
          </w:p>
        </w:tc>
      </w:tr>
    </w:tbl>
    <w:p w:rsidR="00FB2352" w:rsidRPr="00992589" w:rsidRDefault="00FB2352" w:rsidP="00FB2352">
      <w:pPr>
        <w:spacing w:after="0" w:line="240" w:lineRule="auto"/>
        <w:rPr>
          <w:rFonts w:cs="Arial"/>
        </w:rPr>
      </w:pPr>
    </w:p>
    <w:p w:rsidR="00FB2352" w:rsidRPr="00992589" w:rsidRDefault="00FB2352" w:rsidP="00FB2352">
      <w:pPr>
        <w:spacing w:after="0" w:line="240" w:lineRule="auto"/>
        <w:jc w:val="both"/>
        <w:rPr>
          <w:rFonts w:cs="Arial"/>
        </w:rPr>
      </w:pPr>
      <w:r w:rsidRPr="00992589">
        <w:rPr>
          <w:rFonts w:cs="Arial"/>
        </w:rPr>
        <w:t>En 2016 la Estrategia se implementó en la siguiente cantidad de departamentos, municipios e instituciones educativas:</w:t>
      </w:r>
    </w:p>
    <w:p w:rsidR="00FB2352" w:rsidRPr="00992589" w:rsidRDefault="00FB2352" w:rsidP="00FB2352">
      <w:pPr>
        <w:spacing w:after="0" w:line="240" w:lineRule="auto"/>
        <w:jc w:val="both"/>
        <w:rPr>
          <w:rFonts w:cs="Arial"/>
        </w:rPr>
      </w:pPr>
    </w:p>
    <w:tbl>
      <w:tblPr>
        <w:tblW w:w="481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489"/>
        <w:gridCol w:w="1321"/>
      </w:tblGrid>
      <w:tr w:rsidR="00FB2352" w:rsidRPr="00992589" w:rsidTr="00E454EA">
        <w:trPr>
          <w:trHeight w:val="300"/>
          <w:jc w:val="center"/>
        </w:trPr>
        <w:tc>
          <w:tcPr>
            <w:tcW w:w="3489" w:type="dxa"/>
            <w:shd w:val="clear" w:color="auto" w:fill="76923C" w:themeFill="accent3" w:themeFillShade="BF"/>
            <w:noWrap/>
            <w:vAlign w:val="bottom"/>
            <w:hideMark/>
          </w:tcPr>
          <w:p w:rsidR="00FB2352" w:rsidRPr="00E454EA" w:rsidRDefault="00E454EA" w:rsidP="00FB2352">
            <w:pPr>
              <w:spacing w:after="0" w:line="240" w:lineRule="auto"/>
              <w:jc w:val="right"/>
              <w:rPr>
                <w:rFonts w:eastAsia="Times New Roman" w:cs="Arial"/>
                <w:b/>
                <w:bCs/>
                <w:color w:val="FFFFFF" w:themeColor="background1"/>
                <w:sz w:val="18"/>
                <w:lang w:val="es-ES_tradnl" w:eastAsia="es-ES"/>
              </w:rPr>
            </w:pPr>
            <w:r>
              <w:rPr>
                <w:rFonts w:eastAsia="Times New Roman" w:cs="Arial"/>
                <w:b/>
                <w:bCs/>
                <w:color w:val="FFFFFF" w:themeColor="background1"/>
                <w:sz w:val="18"/>
                <w:lang w:val="es-ES_tradnl" w:eastAsia="es-ES"/>
              </w:rPr>
              <w:t>Número de D</w:t>
            </w:r>
            <w:r w:rsidR="00FB2352" w:rsidRPr="00E454EA">
              <w:rPr>
                <w:rFonts w:eastAsia="Times New Roman" w:cs="Arial"/>
                <w:b/>
                <w:bCs/>
                <w:color w:val="FFFFFF" w:themeColor="background1"/>
                <w:sz w:val="18"/>
                <w:lang w:val="es-ES_tradnl" w:eastAsia="es-ES"/>
              </w:rPr>
              <w:t>epartamentos</w:t>
            </w:r>
          </w:p>
        </w:tc>
        <w:tc>
          <w:tcPr>
            <w:tcW w:w="1321" w:type="dxa"/>
            <w:shd w:val="clear" w:color="auto" w:fill="auto"/>
            <w:noWrap/>
            <w:vAlign w:val="bottom"/>
            <w:hideMark/>
          </w:tcPr>
          <w:p w:rsidR="00FB2352" w:rsidRPr="003D6F87" w:rsidRDefault="00FB2352" w:rsidP="00FB2352">
            <w:pPr>
              <w:spacing w:after="0" w:line="240" w:lineRule="auto"/>
              <w:jc w:val="center"/>
              <w:rPr>
                <w:rFonts w:eastAsia="Times New Roman" w:cs="Arial"/>
                <w:sz w:val="18"/>
                <w:lang w:val="es-ES_tradnl" w:eastAsia="es-ES"/>
              </w:rPr>
            </w:pPr>
            <w:r w:rsidRPr="003D6F87">
              <w:rPr>
                <w:rFonts w:eastAsia="Times New Roman" w:cs="Arial"/>
                <w:sz w:val="18"/>
                <w:lang w:val="es-ES_tradnl" w:eastAsia="es-ES"/>
              </w:rPr>
              <w:t>27</w:t>
            </w:r>
          </w:p>
        </w:tc>
      </w:tr>
      <w:tr w:rsidR="00FB2352" w:rsidRPr="00992589" w:rsidTr="00E454EA">
        <w:trPr>
          <w:trHeight w:val="240"/>
          <w:jc w:val="center"/>
        </w:trPr>
        <w:tc>
          <w:tcPr>
            <w:tcW w:w="3489" w:type="dxa"/>
            <w:shd w:val="clear" w:color="auto" w:fill="76923C" w:themeFill="accent3" w:themeFillShade="BF"/>
            <w:noWrap/>
            <w:vAlign w:val="bottom"/>
            <w:hideMark/>
          </w:tcPr>
          <w:p w:rsidR="00FB2352" w:rsidRPr="00E454EA" w:rsidRDefault="00E454EA" w:rsidP="00FB2352">
            <w:pPr>
              <w:spacing w:after="0" w:line="240" w:lineRule="auto"/>
              <w:jc w:val="right"/>
              <w:rPr>
                <w:rFonts w:eastAsia="Times New Roman" w:cs="Arial"/>
                <w:b/>
                <w:bCs/>
                <w:color w:val="FFFFFF" w:themeColor="background1"/>
                <w:sz w:val="18"/>
                <w:lang w:val="es-ES_tradnl" w:eastAsia="es-ES"/>
              </w:rPr>
            </w:pPr>
            <w:r>
              <w:rPr>
                <w:rFonts w:eastAsia="Times New Roman" w:cs="Arial"/>
                <w:b/>
                <w:bCs/>
                <w:color w:val="FFFFFF" w:themeColor="background1"/>
                <w:sz w:val="18"/>
                <w:lang w:val="es-ES_tradnl" w:eastAsia="es-ES"/>
              </w:rPr>
              <w:t>Número de M</w:t>
            </w:r>
            <w:r w:rsidR="00FB2352" w:rsidRPr="00E454EA">
              <w:rPr>
                <w:rFonts w:eastAsia="Times New Roman" w:cs="Arial"/>
                <w:b/>
                <w:bCs/>
                <w:color w:val="FFFFFF" w:themeColor="background1"/>
                <w:sz w:val="18"/>
                <w:lang w:val="es-ES_tradnl" w:eastAsia="es-ES"/>
              </w:rPr>
              <w:t>unicipios</w:t>
            </w:r>
          </w:p>
        </w:tc>
        <w:tc>
          <w:tcPr>
            <w:tcW w:w="1321" w:type="dxa"/>
            <w:shd w:val="clear" w:color="auto" w:fill="auto"/>
            <w:noWrap/>
            <w:vAlign w:val="bottom"/>
            <w:hideMark/>
          </w:tcPr>
          <w:p w:rsidR="00FB2352" w:rsidRPr="003D6F87" w:rsidRDefault="00FB2352" w:rsidP="00FB2352">
            <w:pPr>
              <w:spacing w:after="0" w:line="240" w:lineRule="auto"/>
              <w:jc w:val="center"/>
              <w:rPr>
                <w:rFonts w:eastAsia="Times New Roman" w:cs="Arial"/>
                <w:sz w:val="18"/>
                <w:lang w:val="es-ES_tradnl" w:eastAsia="es-ES"/>
              </w:rPr>
            </w:pPr>
            <w:r w:rsidRPr="003D6F87">
              <w:rPr>
                <w:rFonts w:eastAsia="Times New Roman" w:cs="Arial"/>
                <w:sz w:val="18"/>
                <w:lang w:val="es-ES_tradnl" w:eastAsia="es-ES"/>
              </w:rPr>
              <w:t>192</w:t>
            </w:r>
          </w:p>
        </w:tc>
      </w:tr>
      <w:tr w:rsidR="00FB2352" w:rsidRPr="00992589" w:rsidTr="00E454EA">
        <w:trPr>
          <w:trHeight w:val="260"/>
          <w:jc w:val="center"/>
        </w:trPr>
        <w:tc>
          <w:tcPr>
            <w:tcW w:w="3489" w:type="dxa"/>
            <w:shd w:val="clear" w:color="auto" w:fill="76923C" w:themeFill="accent3" w:themeFillShade="BF"/>
            <w:noWrap/>
            <w:vAlign w:val="bottom"/>
            <w:hideMark/>
          </w:tcPr>
          <w:p w:rsidR="00FB2352" w:rsidRPr="00E454EA" w:rsidRDefault="00FB2352" w:rsidP="00FB2352">
            <w:pPr>
              <w:spacing w:after="0" w:line="240" w:lineRule="auto"/>
              <w:jc w:val="right"/>
              <w:rPr>
                <w:rFonts w:eastAsia="Times New Roman" w:cs="Arial"/>
                <w:b/>
                <w:bCs/>
                <w:color w:val="FFFFFF" w:themeColor="background1"/>
                <w:sz w:val="18"/>
                <w:lang w:val="es-ES_tradnl" w:eastAsia="es-ES"/>
              </w:rPr>
            </w:pPr>
            <w:r w:rsidRPr="00E454EA">
              <w:rPr>
                <w:rFonts w:eastAsia="Times New Roman" w:cs="Arial"/>
                <w:b/>
                <w:bCs/>
                <w:color w:val="FFFFFF" w:themeColor="background1"/>
                <w:sz w:val="18"/>
                <w:lang w:val="es-ES_tradnl" w:eastAsia="es-ES"/>
              </w:rPr>
              <w:t>Número de Instituciones Educativas</w:t>
            </w:r>
          </w:p>
        </w:tc>
        <w:tc>
          <w:tcPr>
            <w:tcW w:w="1321" w:type="dxa"/>
            <w:shd w:val="clear" w:color="auto" w:fill="auto"/>
            <w:noWrap/>
            <w:vAlign w:val="bottom"/>
            <w:hideMark/>
          </w:tcPr>
          <w:p w:rsidR="00FB2352" w:rsidRPr="003D6F87" w:rsidRDefault="00FB2352" w:rsidP="00FB2352">
            <w:pPr>
              <w:spacing w:after="0" w:line="240" w:lineRule="auto"/>
              <w:jc w:val="center"/>
              <w:rPr>
                <w:rFonts w:eastAsia="Times New Roman" w:cs="Arial"/>
                <w:sz w:val="18"/>
                <w:lang w:val="es-ES_tradnl" w:eastAsia="es-ES"/>
              </w:rPr>
            </w:pPr>
            <w:r w:rsidRPr="003D6F87">
              <w:rPr>
                <w:rFonts w:eastAsia="Times New Roman" w:cs="Arial"/>
                <w:sz w:val="18"/>
                <w:lang w:val="es-ES_tradnl" w:eastAsia="es-ES"/>
              </w:rPr>
              <w:t>387</w:t>
            </w:r>
          </w:p>
        </w:tc>
      </w:tr>
    </w:tbl>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La operación de la estrategia se organizó de acuerdo con las siguientes zonas:</w:t>
      </w:r>
    </w:p>
    <w:p w:rsidR="00FB2352" w:rsidRPr="00992589" w:rsidRDefault="00FB2352" w:rsidP="00FB2352">
      <w:pPr>
        <w:spacing w:after="0" w:line="240" w:lineRule="auto"/>
        <w:jc w:val="both"/>
        <w:rPr>
          <w:rFonts w:cs="Arial"/>
        </w:rPr>
      </w:pPr>
    </w:p>
    <w:tbl>
      <w:tblPr>
        <w:tblStyle w:val="Sombreadomedio1-nfasis6"/>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764"/>
        <w:gridCol w:w="4618"/>
      </w:tblGrid>
      <w:tr w:rsidR="00FB2352" w:rsidRPr="00992589" w:rsidTr="00E454EA">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764" w:type="dxa"/>
            <w:tcBorders>
              <w:top w:val="none" w:sz="0" w:space="0" w:color="auto"/>
              <w:left w:val="none" w:sz="0" w:space="0" w:color="auto"/>
              <w:bottom w:val="none" w:sz="0" w:space="0" w:color="auto"/>
              <w:right w:val="none" w:sz="0" w:space="0" w:color="auto"/>
            </w:tcBorders>
            <w:shd w:val="clear" w:color="auto" w:fill="76923C" w:themeFill="accent3" w:themeFillShade="BF"/>
          </w:tcPr>
          <w:p w:rsidR="00FB2352" w:rsidRPr="00E454EA" w:rsidRDefault="00FB2352" w:rsidP="00FB2352">
            <w:pPr>
              <w:pStyle w:val="Sinespaciado"/>
              <w:jc w:val="center"/>
              <w:rPr>
                <w:rFonts w:cs="Arial"/>
                <w:sz w:val="18"/>
              </w:rPr>
            </w:pPr>
            <w:r w:rsidRPr="00E454EA">
              <w:rPr>
                <w:rFonts w:cs="Arial"/>
                <w:sz w:val="18"/>
              </w:rPr>
              <w:t>Zona</w:t>
            </w:r>
          </w:p>
        </w:tc>
        <w:tc>
          <w:tcPr>
            <w:tcW w:w="4618" w:type="dxa"/>
            <w:tcBorders>
              <w:top w:val="none" w:sz="0" w:space="0" w:color="auto"/>
              <w:left w:val="none" w:sz="0" w:space="0" w:color="auto"/>
              <w:bottom w:val="none" w:sz="0" w:space="0" w:color="auto"/>
              <w:right w:val="none" w:sz="0" w:space="0" w:color="auto"/>
            </w:tcBorders>
            <w:shd w:val="clear" w:color="auto" w:fill="76923C" w:themeFill="accent3" w:themeFillShade="BF"/>
          </w:tcPr>
          <w:p w:rsidR="00FB2352" w:rsidRPr="00E454EA" w:rsidRDefault="00FB2352" w:rsidP="00FB2352">
            <w:pPr>
              <w:pStyle w:val="Sinespaciado"/>
              <w:jc w:val="center"/>
              <w:cnfStyle w:val="100000000000" w:firstRow="1" w:lastRow="0" w:firstColumn="0" w:lastColumn="0" w:oddVBand="0" w:evenVBand="0" w:oddHBand="0" w:evenHBand="0" w:firstRowFirstColumn="0" w:firstRowLastColumn="0" w:lastRowFirstColumn="0" w:lastRowLastColumn="0"/>
              <w:rPr>
                <w:rFonts w:cs="Arial"/>
                <w:sz w:val="18"/>
              </w:rPr>
            </w:pPr>
            <w:r w:rsidRPr="00E454EA">
              <w:rPr>
                <w:rFonts w:cs="Arial"/>
                <w:sz w:val="18"/>
              </w:rPr>
              <w:t>Región</w:t>
            </w:r>
          </w:p>
        </w:tc>
      </w:tr>
      <w:tr w:rsidR="00FB2352" w:rsidRPr="00992589" w:rsidTr="00E454EA">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3D6F87" w:rsidRDefault="00FB2352" w:rsidP="00FB2352">
            <w:pPr>
              <w:pStyle w:val="Sinespaciado"/>
              <w:jc w:val="center"/>
              <w:rPr>
                <w:rFonts w:cs="Arial"/>
                <w:b w:val="0"/>
                <w:sz w:val="18"/>
              </w:rPr>
            </w:pPr>
            <w:r w:rsidRPr="003D6F87">
              <w:rPr>
                <w:rFonts w:cs="Arial"/>
                <w:b w:val="0"/>
                <w:sz w:val="18"/>
              </w:rPr>
              <w:t>1</w:t>
            </w:r>
          </w:p>
        </w:tc>
        <w:tc>
          <w:tcPr>
            <w:tcW w:w="4618" w:type="dxa"/>
            <w:tcBorders>
              <w:left w:val="none" w:sz="0" w:space="0" w:color="auto"/>
            </w:tcBorders>
            <w:shd w:val="clear" w:color="auto" w:fill="auto"/>
          </w:tcPr>
          <w:p w:rsidR="00FB2352" w:rsidRPr="003D6F87"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rPr>
            </w:pPr>
            <w:r w:rsidRPr="003D6F87">
              <w:rPr>
                <w:rFonts w:cs="Arial"/>
                <w:sz w:val="18"/>
              </w:rPr>
              <w:t>Caribe</w:t>
            </w:r>
          </w:p>
        </w:tc>
      </w:tr>
      <w:tr w:rsidR="00FB2352" w:rsidRPr="00992589" w:rsidTr="00E454E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3D6F87" w:rsidRDefault="00FB2352" w:rsidP="00FB2352">
            <w:pPr>
              <w:pStyle w:val="Sinespaciado"/>
              <w:jc w:val="center"/>
              <w:rPr>
                <w:rFonts w:cs="Arial"/>
                <w:b w:val="0"/>
                <w:sz w:val="18"/>
              </w:rPr>
            </w:pPr>
            <w:r w:rsidRPr="003D6F87">
              <w:rPr>
                <w:rFonts w:cs="Arial"/>
                <w:b w:val="0"/>
                <w:sz w:val="18"/>
              </w:rPr>
              <w:t>2</w:t>
            </w:r>
          </w:p>
        </w:tc>
        <w:tc>
          <w:tcPr>
            <w:tcW w:w="4618" w:type="dxa"/>
            <w:tcBorders>
              <w:left w:val="none" w:sz="0" w:space="0" w:color="auto"/>
            </w:tcBorders>
            <w:shd w:val="clear" w:color="auto" w:fill="auto"/>
          </w:tcPr>
          <w:p w:rsidR="00FB2352" w:rsidRPr="003D6F87"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18"/>
              </w:rPr>
            </w:pPr>
            <w:r w:rsidRPr="003D6F87">
              <w:rPr>
                <w:rFonts w:cs="Arial"/>
                <w:sz w:val="18"/>
              </w:rPr>
              <w:t>Bogotá</w:t>
            </w:r>
          </w:p>
        </w:tc>
      </w:tr>
      <w:tr w:rsidR="00FB2352" w:rsidRPr="00992589" w:rsidTr="00E45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3D6F87" w:rsidRDefault="00FB2352" w:rsidP="00FB2352">
            <w:pPr>
              <w:pStyle w:val="Sinespaciado"/>
              <w:jc w:val="center"/>
              <w:rPr>
                <w:rFonts w:cs="Arial"/>
                <w:b w:val="0"/>
                <w:sz w:val="18"/>
              </w:rPr>
            </w:pPr>
            <w:r w:rsidRPr="003D6F87">
              <w:rPr>
                <w:rFonts w:cs="Arial"/>
                <w:b w:val="0"/>
                <w:sz w:val="18"/>
              </w:rPr>
              <w:t>3</w:t>
            </w:r>
          </w:p>
        </w:tc>
        <w:tc>
          <w:tcPr>
            <w:tcW w:w="4618" w:type="dxa"/>
            <w:tcBorders>
              <w:left w:val="none" w:sz="0" w:space="0" w:color="auto"/>
            </w:tcBorders>
            <w:shd w:val="clear" w:color="auto" w:fill="auto"/>
          </w:tcPr>
          <w:p w:rsidR="00FB2352" w:rsidRPr="003D6F87"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18"/>
              </w:rPr>
            </w:pPr>
            <w:r w:rsidRPr="003D6F87">
              <w:rPr>
                <w:rFonts w:cs="Arial"/>
                <w:sz w:val="18"/>
              </w:rPr>
              <w:t>Cundinamarca, Santander y Norte de Santander</w:t>
            </w:r>
          </w:p>
        </w:tc>
      </w:tr>
      <w:tr w:rsidR="00FB2352" w:rsidRPr="00992589" w:rsidTr="00E454E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992589" w:rsidRDefault="00FB2352" w:rsidP="00FB2352">
            <w:pPr>
              <w:pStyle w:val="Sinespaciado"/>
              <w:jc w:val="center"/>
              <w:rPr>
                <w:rFonts w:cs="Arial"/>
                <w:b w:val="0"/>
                <w:sz w:val="20"/>
              </w:rPr>
            </w:pPr>
            <w:r w:rsidRPr="00992589">
              <w:rPr>
                <w:rFonts w:cs="Arial"/>
                <w:b w:val="0"/>
                <w:sz w:val="20"/>
              </w:rPr>
              <w:t>4</w:t>
            </w:r>
          </w:p>
        </w:tc>
        <w:tc>
          <w:tcPr>
            <w:tcW w:w="4618" w:type="dxa"/>
            <w:tcBorders>
              <w:left w:val="none" w:sz="0" w:space="0" w:color="auto"/>
            </w:tcBorders>
            <w:shd w:val="clear" w:color="auto" w:fill="auto"/>
          </w:tcPr>
          <w:p w:rsidR="00FB2352" w:rsidRPr="00992589"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20"/>
              </w:rPr>
            </w:pPr>
            <w:r w:rsidRPr="00992589">
              <w:rPr>
                <w:rFonts w:cs="Arial"/>
                <w:sz w:val="20"/>
              </w:rPr>
              <w:t>Meta y Centro Sur</w:t>
            </w:r>
          </w:p>
        </w:tc>
      </w:tr>
      <w:tr w:rsidR="00FB2352" w:rsidRPr="00992589" w:rsidTr="00E45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992589" w:rsidRDefault="00FB2352" w:rsidP="00FB2352">
            <w:pPr>
              <w:pStyle w:val="Sinespaciado"/>
              <w:jc w:val="center"/>
              <w:rPr>
                <w:rFonts w:cs="Arial"/>
                <w:b w:val="0"/>
                <w:sz w:val="20"/>
              </w:rPr>
            </w:pPr>
            <w:r w:rsidRPr="00992589">
              <w:rPr>
                <w:rFonts w:cs="Arial"/>
                <w:b w:val="0"/>
                <w:sz w:val="20"/>
              </w:rPr>
              <w:t>5</w:t>
            </w:r>
          </w:p>
        </w:tc>
        <w:tc>
          <w:tcPr>
            <w:tcW w:w="4618" w:type="dxa"/>
            <w:tcBorders>
              <w:left w:val="none" w:sz="0" w:space="0" w:color="auto"/>
            </w:tcBorders>
            <w:shd w:val="clear" w:color="auto" w:fill="auto"/>
          </w:tcPr>
          <w:p w:rsidR="00FB2352" w:rsidRPr="00992589" w:rsidRDefault="00FB2352" w:rsidP="00FB2352">
            <w:pPr>
              <w:pStyle w:val="Sinespaciado"/>
              <w:jc w:val="center"/>
              <w:cnfStyle w:val="000000100000" w:firstRow="0" w:lastRow="0" w:firstColumn="0" w:lastColumn="0" w:oddVBand="0" w:evenVBand="0" w:oddHBand="1" w:evenHBand="0" w:firstRowFirstColumn="0" w:firstRowLastColumn="0" w:lastRowFirstColumn="0" w:lastRowLastColumn="0"/>
              <w:rPr>
                <w:rFonts w:cs="Arial"/>
                <w:sz w:val="20"/>
              </w:rPr>
            </w:pPr>
            <w:r w:rsidRPr="00992589">
              <w:rPr>
                <w:rFonts w:cs="Arial"/>
                <w:sz w:val="20"/>
              </w:rPr>
              <w:t>Eje Cafetero</w:t>
            </w:r>
          </w:p>
        </w:tc>
      </w:tr>
      <w:tr w:rsidR="00FB2352" w:rsidRPr="00992589" w:rsidTr="00E454E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auto"/>
          </w:tcPr>
          <w:p w:rsidR="00FB2352" w:rsidRPr="00992589" w:rsidRDefault="00FB2352" w:rsidP="00FB2352">
            <w:pPr>
              <w:pStyle w:val="Sinespaciado"/>
              <w:jc w:val="center"/>
              <w:rPr>
                <w:rFonts w:cs="Arial"/>
                <w:b w:val="0"/>
                <w:sz w:val="20"/>
              </w:rPr>
            </w:pPr>
            <w:r w:rsidRPr="00992589">
              <w:rPr>
                <w:rFonts w:cs="Arial"/>
                <w:b w:val="0"/>
                <w:sz w:val="20"/>
              </w:rPr>
              <w:t>6</w:t>
            </w:r>
          </w:p>
        </w:tc>
        <w:tc>
          <w:tcPr>
            <w:tcW w:w="4618" w:type="dxa"/>
            <w:tcBorders>
              <w:left w:val="none" w:sz="0" w:space="0" w:color="auto"/>
            </w:tcBorders>
            <w:shd w:val="clear" w:color="auto" w:fill="auto"/>
          </w:tcPr>
          <w:p w:rsidR="00FB2352" w:rsidRPr="00992589" w:rsidRDefault="00FB2352" w:rsidP="00FB2352">
            <w:pPr>
              <w:pStyle w:val="Sinespaciado"/>
              <w:jc w:val="center"/>
              <w:cnfStyle w:val="000000010000" w:firstRow="0" w:lastRow="0" w:firstColumn="0" w:lastColumn="0" w:oddVBand="0" w:evenVBand="0" w:oddHBand="0" w:evenHBand="1" w:firstRowFirstColumn="0" w:firstRowLastColumn="0" w:lastRowFirstColumn="0" w:lastRowLastColumn="0"/>
              <w:rPr>
                <w:rFonts w:cs="Arial"/>
                <w:sz w:val="20"/>
              </w:rPr>
            </w:pPr>
            <w:r w:rsidRPr="00992589">
              <w:rPr>
                <w:rFonts w:cs="Arial"/>
                <w:sz w:val="20"/>
              </w:rPr>
              <w:t>Pacífico</w:t>
            </w:r>
          </w:p>
        </w:tc>
      </w:tr>
    </w:tbl>
    <w:p w:rsidR="00FB2352" w:rsidRPr="00D87C26" w:rsidRDefault="00FB2352" w:rsidP="009D5DCD">
      <w:pPr>
        <w:ind w:firstLine="708"/>
        <w:rPr>
          <w:b/>
        </w:rPr>
      </w:pPr>
      <w:r w:rsidRPr="00D87C26">
        <w:rPr>
          <w:b/>
        </w:rPr>
        <w:lastRenderedPageBreak/>
        <w:t>Información general Entorno Protector Digital- BUHO</w:t>
      </w:r>
    </w:p>
    <w:p w:rsidR="00FB2352" w:rsidRPr="00992589" w:rsidRDefault="00FB2352" w:rsidP="00FB2352">
      <w:pPr>
        <w:spacing w:after="0" w:line="240" w:lineRule="auto"/>
        <w:jc w:val="both"/>
        <w:rPr>
          <w:rFonts w:cs="Arial"/>
        </w:rPr>
      </w:pPr>
      <w:r w:rsidRPr="00992589">
        <w:rPr>
          <w:rFonts w:eastAsia="Times New Roman" w:cs="Arial"/>
        </w:rPr>
        <w:t xml:space="preserve">Todo el proceso de formación propuesto por la Estrategia Construyendo Juntos Entornos Protectores, es fortalecido por la implementación del </w:t>
      </w:r>
      <w:r w:rsidRPr="00992589">
        <w:rPr>
          <w:rFonts w:eastAsia="Times New Roman" w:cs="Arial"/>
          <w:i/>
        </w:rPr>
        <w:t>Entorno Protector Digital</w:t>
      </w:r>
      <w:r w:rsidRPr="00992589">
        <w:rPr>
          <w:rFonts w:eastAsia="Times New Roman" w:cs="Arial"/>
        </w:rPr>
        <w:t xml:space="preserve">, plataforma para la entrega, generación e interacción con contenidos de bienestar familiar para la comunidad en general, de forma que sea de fácil acceso y consumo por parte de quien la requiera. Así, la plataforma servirá de </w:t>
      </w:r>
      <w:r w:rsidRPr="00992589">
        <w:rPr>
          <w:rFonts w:cs="Arial"/>
        </w:rPr>
        <w:t>epicentro de las interacciones con los padres, madres, cuidadores y docentes alrededor de contenidos de interés, la cual contará con múltiples herramientas de personalización, automatización y comunicación que trabajarán en sincronía para ofrecer una experiencia de usuario gratificante, útil y satisfactoria, convirtiendo la plataforma y su ecosistema digital en una herramienta útil, de uso recurrente que fortalezca el bienestar de la comunidad a medida que su uso se incremente.</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 xml:space="preserve">La Estrategia abordará el desarrollo de un Entorno Protector Digital, toda vez que el ICBF identifica que existe una gran necesidad de divulgar información en diferentes temáticas y contenidos sobre bienestar de niños, niñas y adolescentes, dirigido a padres, madres, cuidadores y docentes, de tal forma que sea útil para todos los colombianos. Asimismo, entiende que más allá de contar con la información, esta debe ser entregada de tal forma que sea de fácil acceso y consumo por parte de quien la requiera. </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 xml:space="preserve">El Entorno Digital busca </w:t>
      </w:r>
      <w:r w:rsidRPr="00992589">
        <w:rPr>
          <w:rFonts w:cs="Arial"/>
          <w:lang w:val="es-CO"/>
        </w:rPr>
        <w:t xml:space="preserve">integrar recursos y acciones determinadas que permiten que el mensaje (del ICBF) logre una comunicación más efectiva que el marketing tradicional. </w:t>
      </w:r>
      <w:r w:rsidRPr="00992589">
        <w:rPr>
          <w:rFonts w:cs="Arial"/>
        </w:rPr>
        <w:t>Los objetivos generales del Entorno Digital son:</w:t>
      </w:r>
    </w:p>
    <w:p w:rsidR="00FB2352" w:rsidRPr="00992589" w:rsidRDefault="00FB2352" w:rsidP="00FB2352">
      <w:pPr>
        <w:spacing w:after="0" w:line="240" w:lineRule="auto"/>
        <w:jc w:val="both"/>
        <w:rPr>
          <w:rFonts w:cs="Arial"/>
        </w:rPr>
      </w:pPr>
    </w:p>
    <w:p w:rsidR="00FB2352" w:rsidRPr="00992589" w:rsidRDefault="00FB2352" w:rsidP="00D712DC">
      <w:pPr>
        <w:pStyle w:val="Prrafodelista"/>
        <w:numPr>
          <w:ilvl w:val="0"/>
          <w:numId w:val="91"/>
        </w:numPr>
        <w:spacing w:after="0" w:line="240" w:lineRule="auto"/>
        <w:contextualSpacing/>
        <w:jc w:val="both"/>
        <w:rPr>
          <w:rFonts w:cs="Arial"/>
        </w:rPr>
      </w:pPr>
      <w:r w:rsidRPr="00992589">
        <w:rPr>
          <w:rFonts w:cs="Arial"/>
        </w:rPr>
        <w:t>Conseguir más tráfico en el sitio web</w:t>
      </w:r>
    </w:p>
    <w:p w:rsidR="00FB2352" w:rsidRPr="00992589" w:rsidRDefault="00FB2352" w:rsidP="00D712DC">
      <w:pPr>
        <w:pStyle w:val="Prrafodelista"/>
        <w:numPr>
          <w:ilvl w:val="0"/>
          <w:numId w:val="91"/>
        </w:numPr>
        <w:spacing w:after="0" w:line="240" w:lineRule="auto"/>
        <w:contextualSpacing/>
        <w:jc w:val="both"/>
        <w:rPr>
          <w:rFonts w:cs="Arial"/>
        </w:rPr>
      </w:pPr>
      <w:r w:rsidRPr="00992589">
        <w:rPr>
          <w:rFonts w:cs="Arial"/>
        </w:rPr>
        <w:t>Lograr mayor interacción de usuarios</w:t>
      </w:r>
    </w:p>
    <w:p w:rsidR="00FB2352" w:rsidRPr="00992589" w:rsidRDefault="00FB2352" w:rsidP="00D712DC">
      <w:pPr>
        <w:pStyle w:val="Prrafodelista"/>
        <w:numPr>
          <w:ilvl w:val="0"/>
          <w:numId w:val="91"/>
        </w:numPr>
        <w:spacing w:after="0" w:line="240" w:lineRule="auto"/>
        <w:contextualSpacing/>
        <w:jc w:val="both"/>
        <w:rPr>
          <w:rFonts w:cs="Arial"/>
        </w:rPr>
      </w:pPr>
      <w:r w:rsidRPr="00992589">
        <w:rPr>
          <w:rFonts w:cs="Arial"/>
        </w:rPr>
        <w:t>Fidelización de usuarios</w:t>
      </w:r>
    </w:p>
    <w:p w:rsidR="00FB2352" w:rsidRPr="00992589" w:rsidRDefault="00FB2352" w:rsidP="00FB2352">
      <w:pPr>
        <w:spacing w:after="0" w:line="240" w:lineRule="auto"/>
        <w:jc w:val="both"/>
        <w:rPr>
          <w:rFonts w:cs="Arial"/>
        </w:rPr>
      </w:pPr>
    </w:p>
    <w:p w:rsidR="00FB2352" w:rsidRPr="00992589" w:rsidRDefault="00FB2352" w:rsidP="00FB2352">
      <w:pPr>
        <w:spacing w:after="0" w:line="240" w:lineRule="auto"/>
        <w:jc w:val="both"/>
        <w:rPr>
          <w:rFonts w:cs="Arial"/>
        </w:rPr>
      </w:pPr>
      <w:r w:rsidRPr="00992589">
        <w:rPr>
          <w:rFonts w:cs="Arial"/>
        </w:rPr>
        <w:t>A continuación se describen las generalidades de cada uno de los 7 componentes que conforman el Entorno Protector Digital:</w:t>
      </w:r>
    </w:p>
    <w:p w:rsidR="00FB2352" w:rsidRPr="00992589" w:rsidRDefault="00FB2352" w:rsidP="00FB2352">
      <w:pPr>
        <w:spacing w:after="0" w:line="240" w:lineRule="auto"/>
        <w:jc w:val="both"/>
        <w:rPr>
          <w:rFonts w:cs="Arial"/>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971"/>
        <w:gridCol w:w="6857"/>
      </w:tblGrid>
      <w:tr w:rsidR="00FB2352" w:rsidRPr="004309E4" w:rsidTr="00E454EA">
        <w:trPr>
          <w:jc w:val="center"/>
        </w:trPr>
        <w:tc>
          <w:tcPr>
            <w:tcW w:w="1971" w:type="dxa"/>
            <w:shd w:val="clear" w:color="auto" w:fill="76923C" w:themeFill="accent3" w:themeFillShade="BF"/>
            <w:vAlign w:val="center"/>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Componente</w:t>
            </w:r>
          </w:p>
        </w:tc>
        <w:tc>
          <w:tcPr>
            <w:tcW w:w="6857" w:type="dxa"/>
            <w:shd w:val="clear" w:color="auto" w:fill="76923C" w:themeFill="accent3" w:themeFillShade="BF"/>
          </w:tcPr>
          <w:p w:rsidR="00FB2352" w:rsidRPr="00E454EA" w:rsidRDefault="00FB2352" w:rsidP="00FB2352">
            <w:pPr>
              <w:pStyle w:val="Sinespaciado"/>
              <w:jc w:val="center"/>
              <w:rPr>
                <w:rFonts w:cs="Arial"/>
                <w:b/>
                <w:color w:val="FFFFFF" w:themeColor="background1"/>
                <w:sz w:val="18"/>
                <w:szCs w:val="20"/>
              </w:rPr>
            </w:pPr>
            <w:r w:rsidRPr="00E454EA">
              <w:rPr>
                <w:rFonts w:cs="Arial"/>
                <w:b/>
                <w:color w:val="FFFFFF" w:themeColor="background1"/>
                <w:sz w:val="18"/>
                <w:szCs w:val="20"/>
              </w:rPr>
              <w:t>Descripción</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Sitio WEB</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Es el elemento central y clave a donde se direccionará el tráfico (personas visitando el sitio). Debe contener todas las herramientas necesarias para informar, interactuar, incitar a solicitar más información y/o la de fidelizar usuarios.</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Marketing de contenidos</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Es el elemento más importante de toda la estrategia, es el arte de entender exactamente que necesitan saber sus clientes para poder entregárselos de forma pertinente y convincente. Consiste en crear y distribuir contenidos relevantes para los clientes y para los clientes potenciales, con el objetivo de atraerlos y contactarlos.</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Optimización para motores de búsqueda SEO</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 xml:space="preserve">Es el proceso para mejorar la visibilidad del sitio, utilizando los buscadores o motores de búsqueda. Es la técnica que hace que el contenido del sitio web, contenga las palabras claves adecuadas, sea legible y atractivo para los motores de búsqueda y así asegurar que el sitio sea más fácilmente encontrado en los resultados buscados por los usuarios. </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Marketing en redes sociales</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Combina los objetivos de marketing en internet con medios sociales: “viralizar mensajes” para dar a conocer una idea, posicionar una marca, incrementar la visibilidad del ICBF, promocionar servicios</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lastRenderedPageBreak/>
              <w:t>Procesos de conversión</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 xml:space="preserve">Lograr que una persona haga una acción específica. Por ejemplo que un visitante se convierta en suscriptor del </w:t>
            </w:r>
            <w:r w:rsidRPr="004309E4">
              <w:rPr>
                <w:rFonts w:cs="Arial"/>
                <w:i/>
                <w:sz w:val="18"/>
                <w:szCs w:val="20"/>
              </w:rPr>
              <w:t>newsletter</w:t>
            </w:r>
            <w:r w:rsidRPr="004309E4">
              <w:rPr>
                <w:rFonts w:cs="Arial"/>
                <w:sz w:val="18"/>
                <w:szCs w:val="20"/>
              </w:rPr>
              <w:t>, o que el suscriptor se convierta en un cliente potencial al solicitar más información.</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Email marketing</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Es una estrategia de marketing directo que utiliza el correo electrónico como medio de comunicación entre un emisor (ICBF) y una audiencia específica (suscriptores). Se utilizará el correo electrónico para enviar información pertinente y mantener informados a los suscriptores.</w:t>
            </w:r>
          </w:p>
        </w:tc>
      </w:tr>
      <w:tr w:rsidR="00FB2352" w:rsidRPr="004309E4" w:rsidTr="00E454EA">
        <w:trPr>
          <w:jc w:val="center"/>
        </w:trPr>
        <w:tc>
          <w:tcPr>
            <w:tcW w:w="1971" w:type="dxa"/>
            <w:vAlign w:val="center"/>
          </w:tcPr>
          <w:p w:rsidR="00FB2352" w:rsidRPr="004309E4" w:rsidRDefault="00FB2352" w:rsidP="00FB2352">
            <w:pPr>
              <w:pStyle w:val="Sinespaciado"/>
              <w:jc w:val="center"/>
              <w:rPr>
                <w:rFonts w:cs="Arial"/>
                <w:sz w:val="18"/>
                <w:szCs w:val="20"/>
              </w:rPr>
            </w:pPr>
            <w:r w:rsidRPr="004309E4">
              <w:rPr>
                <w:rFonts w:cs="Arial"/>
                <w:sz w:val="18"/>
                <w:szCs w:val="20"/>
              </w:rPr>
              <w:t>Analítica (mediciones basadas en resultados)</w:t>
            </w:r>
          </w:p>
        </w:tc>
        <w:tc>
          <w:tcPr>
            <w:tcW w:w="6857" w:type="dxa"/>
            <w:vAlign w:val="center"/>
          </w:tcPr>
          <w:p w:rsidR="00FB2352" w:rsidRPr="004309E4" w:rsidRDefault="00FB2352" w:rsidP="00FB2352">
            <w:pPr>
              <w:pStyle w:val="Sinespaciado"/>
              <w:jc w:val="both"/>
              <w:rPr>
                <w:rFonts w:cs="Arial"/>
                <w:sz w:val="18"/>
                <w:szCs w:val="20"/>
              </w:rPr>
            </w:pPr>
            <w:r w:rsidRPr="004309E4">
              <w:rPr>
                <w:rFonts w:cs="Arial"/>
                <w:sz w:val="18"/>
                <w:szCs w:val="20"/>
              </w:rPr>
              <w:t>Su objetivo principal es la recopilación, medición, evaluación y explicación racional de los datos obtenidos de internet, con el propósito de entender y optimizar el uso del ecosistema.</w:t>
            </w:r>
          </w:p>
        </w:tc>
      </w:tr>
    </w:tbl>
    <w:p w:rsidR="00FB2352" w:rsidRPr="00992589" w:rsidRDefault="00FB2352" w:rsidP="00FB2352">
      <w:pPr>
        <w:spacing w:after="0" w:line="240" w:lineRule="auto"/>
        <w:rPr>
          <w:rFonts w:cs="Arial"/>
          <w:b/>
        </w:rPr>
      </w:pPr>
    </w:p>
    <w:p w:rsidR="00FB2352" w:rsidRPr="00992589" w:rsidRDefault="00FB2352" w:rsidP="00FB2352">
      <w:pPr>
        <w:spacing w:after="0" w:line="240" w:lineRule="auto"/>
        <w:jc w:val="both"/>
        <w:rPr>
          <w:rFonts w:cs="Arial"/>
          <w:lang w:val="es-CO"/>
        </w:rPr>
      </w:pPr>
      <w:r w:rsidRPr="00992589">
        <w:rPr>
          <w:rFonts w:cs="Arial"/>
          <w:lang w:val="es-CO"/>
        </w:rPr>
        <w:t>Hasta el momento, se han recibido los siguientes productos que componen el blueprint:</w:t>
      </w:r>
    </w:p>
    <w:p w:rsidR="00FB2352" w:rsidRPr="00992589" w:rsidRDefault="00FB2352" w:rsidP="00FB2352">
      <w:pPr>
        <w:spacing w:after="0" w:line="240" w:lineRule="auto"/>
        <w:jc w:val="both"/>
        <w:rPr>
          <w:rFonts w:cs="Arial"/>
          <w:lang w:val="es-CO"/>
        </w:rPr>
      </w:pPr>
    </w:p>
    <w:p w:rsidR="00FB2352" w:rsidRPr="00992589" w:rsidRDefault="00FB2352" w:rsidP="00D712DC">
      <w:pPr>
        <w:pStyle w:val="Prrafodelista"/>
        <w:numPr>
          <w:ilvl w:val="0"/>
          <w:numId w:val="92"/>
        </w:numPr>
        <w:spacing w:after="0" w:line="240" w:lineRule="auto"/>
        <w:contextualSpacing/>
        <w:jc w:val="both"/>
        <w:rPr>
          <w:rFonts w:cs="Arial"/>
        </w:rPr>
      </w:pPr>
      <w:r w:rsidRPr="00992589">
        <w:rPr>
          <w:rFonts w:cs="Arial"/>
        </w:rPr>
        <w:t>Documento con las historias de las personas identificadas como posibles usuarios</w:t>
      </w:r>
    </w:p>
    <w:p w:rsidR="00FB2352" w:rsidRPr="00992589" w:rsidRDefault="00FB2352" w:rsidP="00D712DC">
      <w:pPr>
        <w:pStyle w:val="Prrafodelista"/>
        <w:numPr>
          <w:ilvl w:val="0"/>
          <w:numId w:val="92"/>
        </w:numPr>
        <w:spacing w:after="0" w:line="240" w:lineRule="auto"/>
        <w:contextualSpacing/>
        <w:jc w:val="both"/>
        <w:rPr>
          <w:rFonts w:cs="Arial"/>
        </w:rPr>
      </w:pPr>
      <w:r w:rsidRPr="00992589">
        <w:rPr>
          <w:rFonts w:cs="Arial"/>
        </w:rPr>
        <w:t>Documento con el mapa de la plataforma en la cual funcionará el Entorno Digital</w:t>
      </w:r>
    </w:p>
    <w:p w:rsidR="00FB2352" w:rsidRPr="00992589" w:rsidRDefault="00FB2352" w:rsidP="00D712DC">
      <w:pPr>
        <w:pStyle w:val="Prrafodelista"/>
        <w:numPr>
          <w:ilvl w:val="0"/>
          <w:numId w:val="92"/>
        </w:numPr>
        <w:spacing w:after="0" w:line="240" w:lineRule="auto"/>
        <w:contextualSpacing/>
        <w:jc w:val="both"/>
        <w:rPr>
          <w:rFonts w:cs="Arial"/>
        </w:rPr>
      </w:pPr>
      <w:r w:rsidRPr="00992589">
        <w:rPr>
          <w:rFonts w:cs="Arial"/>
        </w:rPr>
        <w:t>Documento con el flujo de usuarios de la plataforma en la cual funcionará el Entorno Digital</w:t>
      </w:r>
    </w:p>
    <w:p w:rsidR="00FB2352" w:rsidRPr="00992589" w:rsidRDefault="00FB2352" w:rsidP="00D712DC">
      <w:pPr>
        <w:pStyle w:val="Prrafodelista"/>
        <w:numPr>
          <w:ilvl w:val="0"/>
          <w:numId w:val="92"/>
        </w:numPr>
        <w:spacing w:after="0" w:line="240" w:lineRule="auto"/>
        <w:contextualSpacing/>
        <w:jc w:val="both"/>
        <w:rPr>
          <w:rFonts w:cs="Arial"/>
        </w:rPr>
      </w:pPr>
      <w:r w:rsidRPr="00992589">
        <w:rPr>
          <w:rFonts w:cs="Arial"/>
        </w:rPr>
        <w:t>Documento con las opciones de diseño de la plataforma</w:t>
      </w:r>
    </w:p>
    <w:p w:rsidR="00FB2352" w:rsidRPr="00992589" w:rsidRDefault="00FB2352" w:rsidP="00D712DC">
      <w:pPr>
        <w:pStyle w:val="Prrafodelista"/>
        <w:numPr>
          <w:ilvl w:val="0"/>
          <w:numId w:val="92"/>
        </w:numPr>
        <w:spacing w:after="0" w:line="240" w:lineRule="auto"/>
        <w:contextualSpacing/>
        <w:jc w:val="both"/>
        <w:rPr>
          <w:rFonts w:cs="Arial"/>
        </w:rPr>
      </w:pPr>
      <w:r w:rsidRPr="00992589">
        <w:rPr>
          <w:rFonts w:cs="Arial"/>
        </w:rPr>
        <w:t>Documento con la propuesta del diseño de marca.</w:t>
      </w:r>
    </w:p>
    <w:p w:rsidR="0052546C" w:rsidRDefault="0052546C" w:rsidP="0052546C"/>
    <w:p w:rsidR="008C3F88" w:rsidRPr="0052546C" w:rsidRDefault="0052546C" w:rsidP="0052546C">
      <w:pPr>
        <w:outlineLvl w:val="1"/>
        <w:rPr>
          <w:b/>
        </w:rPr>
      </w:pPr>
      <w:bookmarkStart w:id="59" w:name="_Toc473581410"/>
      <w:r>
        <w:rPr>
          <w:b/>
        </w:rPr>
        <w:t xml:space="preserve">3.2.2 </w:t>
      </w:r>
      <w:r w:rsidRPr="0052546C">
        <w:rPr>
          <w:b/>
        </w:rPr>
        <w:t>Política pública de niñez y adolescencia</w:t>
      </w:r>
      <w:bookmarkEnd w:id="59"/>
      <w:r w:rsidRPr="0052546C">
        <w:rPr>
          <w:b/>
        </w:rPr>
        <w:t xml:space="preserve"> </w:t>
      </w:r>
    </w:p>
    <w:p w:rsidR="00FB2352" w:rsidRPr="00185C85" w:rsidRDefault="00FB2352" w:rsidP="00547D82">
      <w:pPr>
        <w:ind w:firstLine="708"/>
        <w:rPr>
          <w:rFonts w:eastAsia="Times New Roman"/>
          <w:b/>
          <w:lang w:eastAsia="es-ES"/>
        </w:rPr>
      </w:pPr>
      <w:r w:rsidRPr="00185C85">
        <w:rPr>
          <w:rFonts w:eastAsia="Times New Roman"/>
          <w:b/>
          <w:lang w:eastAsia="es-ES"/>
        </w:rPr>
        <w:t xml:space="preserve">Avances de la Formulación de la Política Pública de Niñez y Adolescencia </w:t>
      </w:r>
    </w:p>
    <w:p w:rsidR="00FB2352" w:rsidRPr="00992589" w:rsidRDefault="00FB2352" w:rsidP="00FB2352">
      <w:pPr>
        <w:spacing w:after="0" w:line="240" w:lineRule="auto"/>
        <w:contextualSpacing/>
        <w:jc w:val="both"/>
        <w:rPr>
          <w:rFonts w:cs="Arial"/>
        </w:rPr>
      </w:pPr>
      <w:r w:rsidRPr="00992589">
        <w:rPr>
          <w:rFonts w:cs="Arial"/>
        </w:rPr>
        <w:t>Con miras a formular la Política Nacional para la Infancia y la Adolescencia (PNIA), entre 2013 y 2015 se adelantó una fase de generación de insumos, en el marco de dos convenios entre el ICBF y la Alianza por la Niñez Colombiana, la cual contó con la participación de 7.800 personas, entre expertos, delegados de agentes e instancias territoriales del Sistema Nacional de Bienestar Familiar, familias, cuidadores y niños, niñas y adolescentes.</w:t>
      </w:r>
    </w:p>
    <w:p w:rsidR="00FB2352" w:rsidRPr="00992589" w:rsidRDefault="00FB2352" w:rsidP="00FB2352">
      <w:pPr>
        <w:spacing w:after="0" w:line="240" w:lineRule="auto"/>
        <w:contextualSpacing/>
        <w:jc w:val="both"/>
        <w:rPr>
          <w:rFonts w:cs="Arial"/>
        </w:rPr>
      </w:pPr>
    </w:p>
    <w:p w:rsidR="00FB2352" w:rsidRPr="00992589" w:rsidRDefault="00FB2352" w:rsidP="00FB2352">
      <w:pPr>
        <w:spacing w:after="0" w:line="240" w:lineRule="auto"/>
        <w:contextualSpacing/>
        <w:jc w:val="both"/>
        <w:rPr>
          <w:rFonts w:cs="Arial"/>
        </w:rPr>
      </w:pPr>
      <w:r w:rsidRPr="00992589">
        <w:rPr>
          <w:rFonts w:cs="Arial"/>
        </w:rPr>
        <w:t>Con base en este proceso y en un análisis del marco normativo y de políticas públicas existente, de la arquitectura y la oferta institucionales, de las fuentes de sostenibilidad financiera y de los modelos de seguimiento y evaluación, en el primer semestre de 2016 se elaboró un documento base para la discusión y formulación de la PNIA, el cual fue compartido con el Comité Ejecutivo del Sistema Nacional de Bienestar Familiar (SNBF) el pasado 26 de julio.</w:t>
      </w:r>
    </w:p>
    <w:p w:rsidR="00FB2352" w:rsidRPr="00992589" w:rsidRDefault="00FB2352" w:rsidP="00FB2352">
      <w:pPr>
        <w:spacing w:after="0" w:line="240" w:lineRule="auto"/>
        <w:jc w:val="both"/>
        <w:rPr>
          <w:rFonts w:eastAsia="Times New Roman" w:cs="Arial"/>
          <w:lang w:eastAsia="es-ES"/>
        </w:rPr>
      </w:pPr>
    </w:p>
    <w:p w:rsidR="00FB2352" w:rsidRPr="00992589" w:rsidRDefault="00FB2352" w:rsidP="00FB2352">
      <w:pPr>
        <w:spacing w:after="0" w:line="240" w:lineRule="auto"/>
        <w:contextualSpacing/>
        <w:jc w:val="both"/>
        <w:rPr>
          <w:rFonts w:cs="Arial"/>
        </w:rPr>
      </w:pPr>
      <w:r w:rsidRPr="00992589">
        <w:rPr>
          <w:rFonts w:cs="Arial"/>
        </w:rPr>
        <w:t>Las discusiones y los acuerdos entre la Subdirección General del ICBF y el Comité Ejecutivo del SNBF permitieron realizar diversos ajustes al documento, con el fin de someterlo a consulta presencial con agentes e instancias nacionales del SNBF en Bogotá, y con familias, cuidadores y niños, niñas y adolescentes en 16 consultas territoriales con enfoque diferencial en once ciudades del país. Así mismo, a consulta virtual con adultos y niños, niñas y adolescentes.</w:t>
      </w:r>
    </w:p>
    <w:p w:rsidR="00FB2352" w:rsidRPr="00992589" w:rsidRDefault="00FB2352" w:rsidP="00FB2352">
      <w:pPr>
        <w:spacing w:after="0" w:line="240" w:lineRule="auto"/>
        <w:contextualSpacing/>
        <w:jc w:val="both"/>
        <w:rPr>
          <w:rFonts w:cs="Arial"/>
        </w:rPr>
      </w:pPr>
    </w:p>
    <w:p w:rsidR="00FB2352" w:rsidRPr="00992589" w:rsidRDefault="00FB2352" w:rsidP="00FB2352">
      <w:pPr>
        <w:spacing w:after="0" w:line="240" w:lineRule="auto"/>
        <w:contextualSpacing/>
        <w:jc w:val="both"/>
        <w:rPr>
          <w:rFonts w:cs="Arial"/>
        </w:rPr>
      </w:pPr>
      <w:r w:rsidRPr="00992589">
        <w:rPr>
          <w:rFonts w:cs="Arial"/>
        </w:rPr>
        <w:t>Estas consultas, desarrolladas en el marco del Convenio 1482 de 2016, suscrito entre el ICBF y la Corporación Somos Más, contaron con la participación de 723 personas de manera presencial y 4.280 de manera virtual. El total de participantes entre 2013 y 2016 asciende, por tanto, a 12.803 personas.</w:t>
      </w:r>
    </w:p>
    <w:p w:rsidR="00FB2352" w:rsidRPr="00992589" w:rsidRDefault="00FB2352" w:rsidP="00FB2352">
      <w:pPr>
        <w:spacing w:after="0" w:line="240" w:lineRule="auto"/>
        <w:jc w:val="both"/>
        <w:rPr>
          <w:rFonts w:eastAsia="Times New Roman" w:cs="Arial"/>
          <w:lang w:eastAsia="es-ES"/>
        </w:rPr>
      </w:pPr>
    </w:p>
    <w:p w:rsidR="00FB2352" w:rsidRDefault="00FB2352" w:rsidP="00FB2352">
      <w:pPr>
        <w:spacing w:after="0" w:line="240" w:lineRule="auto"/>
        <w:jc w:val="both"/>
        <w:rPr>
          <w:rFonts w:eastAsia="Times New Roman" w:cs="Arial"/>
          <w:lang w:eastAsia="es-ES"/>
        </w:rPr>
      </w:pPr>
      <w:r w:rsidRPr="00992589">
        <w:rPr>
          <w:rFonts w:eastAsia="Times New Roman" w:cs="Arial"/>
          <w:lang w:eastAsia="es-ES"/>
        </w:rPr>
        <w:lastRenderedPageBreak/>
        <w:t xml:space="preserve">Además de este proceso deliberativo, también se han llevado a cabo algunos procesos asociados como el acompañamiento en la armonización de los desarrollos de política pública para la prevención y erradicación del trabajo infantil y de la explotación sexual comercial de niños, niñas y adolescentes, con el proceso de construcción de la PNIA; intercambios técnicos sobre procesos de construcción de política pública de infancia y adolescencia con las alcaldías de Medellín y Bogotá, y con la Gobernación de Antioquia; y aportes en el diseño y realización del encuentro </w:t>
      </w:r>
      <w:r w:rsidRPr="00992589">
        <w:rPr>
          <w:rFonts w:eastAsia="Times New Roman" w:cs="Arial"/>
          <w:i/>
          <w:iCs/>
          <w:lang w:eastAsia="es-ES"/>
        </w:rPr>
        <w:t>Participación de la infancia y la adolescencia en políticas públicas. Intercambio de experiencias latinoamericanas</w:t>
      </w:r>
      <w:r w:rsidRPr="00992589">
        <w:rPr>
          <w:rFonts w:eastAsia="Times New Roman" w:cs="Arial"/>
          <w:lang w:eastAsia="es-ES"/>
        </w:rPr>
        <w:t>,  llevado a cabo en Pereira el 22 y 23 de junio de 2016.</w:t>
      </w:r>
    </w:p>
    <w:p w:rsidR="005044B5" w:rsidRDefault="005044B5" w:rsidP="0052546C">
      <w:pPr>
        <w:outlineLvl w:val="1"/>
        <w:rPr>
          <w:b/>
          <w:lang w:eastAsia="es-ES"/>
        </w:rPr>
      </w:pPr>
    </w:p>
    <w:p w:rsidR="005851C3" w:rsidRPr="0052546C" w:rsidRDefault="009C25F2" w:rsidP="0052546C">
      <w:pPr>
        <w:outlineLvl w:val="1"/>
        <w:rPr>
          <w:b/>
          <w:lang w:eastAsia="es-ES"/>
        </w:rPr>
      </w:pPr>
      <w:bookmarkStart w:id="60" w:name="_Toc473581411"/>
      <w:r>
        <w:rPr>
          <w:b/>
          <w:lang w:eastAsia="es-ES"/>
        </w:rPr>
        <w:t>3</w:t>
      </w:r>
      <w:r w:rsidR="0052546C">
        <w:rPr>
          <w:b/>
          <w:lang w:eastAsia="es-ES"/>
        </w:rPr>
        <w:t xml:space="preserve">.2.3 </w:t>
      </w:r>
      <w:r w:rsidR="005851C3" w:rsidRPr="0052546C">
        <w:rPr>
          <w:b/>
          <w:lang w:eastAsia="es-ES"/>
        </w:rPr>
        <w:t>L</w:t>
      </w:r>
      <w:r w:rsidR="0052546C" w:rsidRPr="0052546C">
        <w:rPr>
          <w:b/>
          <w:lang w:eastAsia="es-ES"/>
        </w:rPr>
        <w:t>ogros</w:t>
      </w:r>
      <w:r w:rsidR="005851C3" w:rsidRPr="0052546C">
        <w:rPr>
          <w:b/>
          <w:lang w:eastAsia="es-ES"/>
        </w:rPr>
        <w:t xml:space="preserve"> 2016</w:t>
      </w:r>
      <w:bookmarkEnd w:id="60"/>
      <w:r w:rsidR="005851C3" w:rsidRPr="0052546C">
        <w:rPr>
          <w:b/>
          <w:lang w:eastAsia="es-ES"/>
        </w:rPr>
        <w:t xml:space="preserve"> </w:t>
      </w:r>
    </w:p>
    <w:p w:rsidR="002D2615" w:rsidRDefault="002D2615" w:rsidP="00FB2352">
      <w:pPr>
        <w:spacing w:after="0" w:line="240" w:lineRule="auto"/>
        <w:jc w:val="both"/>
        <w:rPr>
          <w:rFonts w:eastAsia="Times New Roman" w:cs="Arial"/>
          <w:lang w:eastAsia="es-ES"/>
        </w:rPr>
      </w:pPr>
    </w:p>
    <w:p w:rsidR="00FB2352" w:rsidRPr="00992589" w:rsidRDefault="00FB2352" w:rsidP="00FB2352">
      <w:pPr>
        <w:spacing w:after="0" w:line="240" w:lineRule="auto"/>
        <w:jc w:val="both"/>
        <w:rPr>
          <w:rFonts w:eastAsia="Times New Roman" w:cs="Arial"/>
          <w:lang w:eastAsia="es-ES"/>
        </w:rPr>
      </w:pPr>
      <w:r w:rsidRPr="00992589">
        <w:rPr>
          <w:rFonts w:eastAsia="Times New Roman" w:cs="Arial"/>
          <w:lang w:eastAsia="es-ES"/>
        </w:rPr>
        <w:t xml:space="preserve">A continuación, se enuncian los logros más importantes de la Dirección de Niñez y Adolescencia en 2016: </w:t>
      </w:r>
    </w:p>
    <w:p w:rsidR="00FB2352" w:rsidRPr="00992589" w:rsidRDefault="00FB2352" w:rsidP="00FB2352">
      <w:pPr>
        <w:spacing w:after="0" w:line="240" w:lineRule="auto"/>
        <w:rPr>
          <w:rFonts w:eastAsia="Times New Roman" w:cs="Arial"/>
          <w:lang w:eastAsia="es-ES"/>
        </w:rPr>
      </w:pPr>
    </w:p>
    <w:p w:rsidR="00FB2352" w:rsidRDefault="00FB2352" w:rsidP="005044B5">
      <w:pPr>
        <w:numPr>
          <w:ilvl w:val="0"/>
          <w:numId w:val="258"/>
        </w:numPr>
        <w:spacing w:after="0" w:line="240" w:lineRule="auto"/>
        <w:jc w:val="both"/>
        <w:rPr>
          <w:rFonts w:cs="Arial"/>
          <w:lang w:eastAsia="es-ES"/>
        </w:rPr>
      </w:pPr>
      <w:r w:rsidRPr="00992589">
        <w:rPr>
          <w:rFonts w:cs="Arial"/>
          <w:lang w:eastAsia="es-ES"/>
        </w:rPr>
        <w:t>Las acciones articuladas con el sector Salud y otras instituciones del Estado Colombiano, alrededor de la promoción de Derechos Sexuales y Derechos Reproductivos y  la educación sexual  como acciones determinantes para prevenir el embarazo en la adolescencia, han arrojado resultados importantes tal y como  lo evidencia la última Encuesta Nacional de Salud (2015), al mostrar que el porcentaje de adolescentes que ya son madres o embarazadas disminuyó en 2,1 puntos con respecto a la medición de 2010 que reportó 19,5%.</w:t>
      </w:r>
    </w:p>
    <w:p w:rsidR="00E454EA" w:rsidRPr="00992589" w:rsidRDefault="00E454EA" w:rsidP="00E454EA">
      <w:pPr>
        <w:spacing w:after="0" w:line="240" w:lineRule="auto"/>
        <w:ind w:left="284"/>
        <w:jc w:val="both"/>
        <w:rPr>
          <w:rFonts w:cs="Arial"/>
          <w:lang w:eastAsia="es-ES"/>
        </w:rPr>
      </w:pPr>
    </w:p>
    <w:p w:rsidR="00FB2352" w:rsidRDefault="00FB2352" w:rsidP="005044B5">
      <w:pPr>
        <w:numPr>
          <w:ilvl w:val="0"/>
          <w:numId w:val="258"/>
        </w:numPr>
        <w:spacing w:after="0" w:line="240" w:lineRule="auto"/>
        <w:jc w:val="both"/>
        <w:rPr>
          <w:rFonts w:cs="Arial"/>
          <w:lang w:eastAsia="es-ES"/>
        </w:rPr>
      </w:pPr>
      <w:r w:rsidRPr="00992589">
        <w:rPr>
          <w:rFonts w:cs="Arial"/>
          <w:lang w:eastAsia="es-ES"/>
        </w:rPr>
        <w:t>Formación presencial a 1.100 agentes con una duración de 20 horas en derechos sexuales y reproductivos con énfasis en prevención de derechos sexuales y reproductivos, a quienes se dotó y capacitó con las herramientas didácticas y metodológicas para formar formadores en cada una de las regionales de ICBF.</w:t>
      </w:r>
    </w:p>
    <w:p w:rsidR="00E454EA" w:rsidRPr="00992589" w:rsidRDefault="00E454EA" w:rsidP="00E454EA">
      <w:pPr>
        <w:spacing w:after="0" w:line="240" w:lineRule="auto"/>
        <w:jc w:val="both"/>
        <w:rPr>
          <w:rFonts w:cs="Arial"/>
          <w:lang w:eastAsia="es-ES"/>
        </w:rPr>
      </w:pPr>
    </w:p>
    <w:p w:rsidR="00FB2352" w:rsidRDefault="00FB2352" w:rsidP="005044B5">
      <w:pPr>
        <w:numPr>
          <w:ilvl w:val="0"/>
          <w:numId w:val="258"/>
        </w:numPr>
        <w:spacing w:after="0" w:line="240" w:lineRule="auto"/>
        <w:jc w:val="both"/>
        <w:rPr>
          <w:rFonts w:cs="Arial"/>
          <w:lang w:eastAsia="es-ES"/>
        </w:rPr>
      </w:pPr>
      <w:r w:rsidRPr="00992589">
        <w:rPr>
          <w:rFonts w:cs="Arial"/>
          <w:lang w:eastAsia="es-ES"/>
        </w:rPr>
        <w:t>Fortalecimiento de 115 espacios intersectoriales para implementar la Estrategia de Prevención del Embarazo en la Adolescencia por medio de procesos de asistencia técnica para mejorar la oferta institucional en los territorios en torno a la promoción y garantía de los derechos sexuales y reproductivos.</w:t>
      </w:r>
    </w:p>
    <w:p w:rsidR="00E454EA" w:rsidRPr="00992589" w:rsidRDefault="00E454EA" w:rsidP="00E454EA">
      <w:pPr>
        <w:spacing w:after="0" w:line="240" w:lineRule="auto"/>
        <w:jc w:val="both"/>
        <w:rPr>
          <w:rFonts w:cs="Arial"/>
          <w:lang w:eastAsia="es-ES"/>
        </w:rPr>
      </w:pPr>
    </w:p>
    <w:p w:rsidR="00FB2352" w:rsidRDefault="00FB2352" w:rsidP="005044B5">
      <w:pPr>
        <w:numPr>
          <w:ilvl w:val="0"/>
          <w:numId w:val="258"/>
        </w:numPr>
        <w:spacing w:after="0" w:line="240" w:lineRule="auto"/>
        <w:jc w:val="both"/>
        <w:rPr>
          <w:rFonts w:cs="Arial"/>
          <w:lang w:eastAsia="es-ES"/>
        </w:rPr>
      </w:pPr>
      <w:r w:rsidRPr="00992589">
        <w:rPr>
          <w:rFonts w:cs="Arial"/>
          <w:lang w:eastAsia="es-ES"/>
        </w:rPr>
        <w:t>Desarrollo de la Semana Andina de Prevención del Embarazo en la Adolescencia, lo que se convirtió en una oportunidad para visibilizar la situación, las condiciones, necesidades y posibilidades que los adolescentes, comunidades e instituciones viven respecto al embarazo en la adolescencia y realización del IV Foro Nacional de Prevención del Embarazo en la Adolescencia, cuyo objetivo fue generar un espacio de análisis y reflexión en torno a las visiones de la sexualidad desde diferentes posiciones y socializar estrategias Nacionales e internacionales que promueven la prevención del embarazo en la adolescencia.</w:t>
      </w:r>
    </w:p>
    <w:p w:rsidR="00E454EA" w:rsidRPr="00992589" w:rsidRDefault="00E454EA" w:rsidP="00E454EA">
      <w:pPr>
        <w:spacing w:after="0" w:line="240" w:lineRule="auto"/>
        <w:jc w:val="both"/>
        <w:rPr>
          <w:rFonts w:cs="Arial"/>
          <w:lang w:eastAsia="es-ES"/>
        </w:rPr>
      </w:pPr>
    </w:p>
    <w:p w:rsidR="00FB2352" w:rsidRDefault="00FB2352" w:rsidP="005044B5">
      <w:pPr>
        <w:numPr>
          <w:ilvl w:val="0"/>
          <w:numId w:val="258"/>
        </w:numPr>
        <w:spacing w:after="0" w:line="240" w:lineRule="auto"/>
        <w:jc w:val="both"/>
        <w:rPr>
          <w:rFonts w:cs="Arial"/>
          <w:lang w:eastAsia="es-ES"/>
        </w:rPr>
      </w:pPr>
      <w:r w:rsidRPr="00992589">
        <w:rPr>
          <w:rFonts w:cs="Arial"/>
          <w:lang w:eastAsia="es-ES"/>
        </w:rPr>
        <w:t>Inclusión de acciones para la prevención del embarazo en la adolescencia y la promoción de los derechos sexuales y reproductivos en los Planes de Desarrollo Territorial 2016-2019 de 106 municipios y 15 departamentos.</w:t>
      </w:r>
    </w:p>
    <w:p w:rsidR="003D6F87" w:rsidRDefault="00FB2352" w:rsidP="005044B5">
      <w:pPr>
        <w:numPr>
          <w:ilvl w:val="0"/>
          <w:numId w:val="258"/>
        </w:numPr>
        <w:spacing w:after="0" w:line="240" w:lineRule="auto"/>
        <w:jc w:val="both"/>
        <w:rPr>
          <w:rFonts w:cs="Arial"/>
          <w:lang w:eastAsia="es-ES"/>
        </w:rPr>
      </w:pPr>
      <w:r w:rsidRPr="00992589">
        <w:rPr>
          <w:rFonts w:cs="Arial"/>
          <w:lang w:eastAsia="es-ES"/>
        </w:rPr>
        <w:lastRenderedPageBreak/>
        <w:t>Por primera vez en Colombia se adelanta un proceso técnico y político, con el liderazgo del ICBF, como</w:t>
      </w:r>
      <w:r w:rsidRPr="00992589">
        <w:rPr>
          <w:rFonts w:cs="Arial"/>
        </w:rPr>
        <w:t xml:space="preserve"> articulador y rector del Sistema Nacional de Bienestar Familiar, con el fin de formular la Política Nacional para la Infancia y la Adolescencia (PNIA), la cual define las apuestas del país de cómo lograr la protección y el desarrollo integrales de más de 10 millones doscientos cincuenta mil colombianos entre 6 y 18 años en la próxima década.</w:t>
      </w:r>
    </w:p>
    <w:p w:rsidR="00E454EA" w:rsidRDefault="00E454EA" w:rsidP="00E454EA">
      <w:pPr>
        <w:spacing w:after="0" w:line="240" w:lineRule="auto"/>
        <w:jc w:val="both"/>
        <w:rPr>
          <w:rFonts w:cs="Arial"/>
          <w:lang w:eastAsia="es-ES"/>
        </w:rPr>
      </w:pPr>
    </w:p>
    <w:p w:rsidR="00185C85" w:rsidRDefault="00FB2352" w:rsidP="005044B5">
      <w:pPr>
        <w:numPr>
          <w:ilvl w:val="0"/>
          <w:numId w:val="258"/>
        </w:numPr>
        <w:spacing w:after="0" w:line="240" w:lineRule="auto"/>
        <w:jc w:val="both"/>
        <w:rPr>
          <w:rFonts w:cs="Arial"/>
          <w:lang w:eastAsia="es-ES"/>
        </w:rPr>
      </w:pPr>
      <w:r w:rsidRPr="003D6F87">
        <w:rPr>
          <w:rFonts w:cs="Arial"/>
        </w:rPr>
        <w:t>En razón del mandato misional de la Dirección de Niñez y Adolescencia, ésta ha liderado técnicamente el proceso dentro del ICBF en coordinación con la Dirección de Familias y Comunidades, y en articulación con la Dirección del Sistema Nacional de Bienestar Familiar. Dicha labor ha permitido contar con un documento base para la discusión y formulación de la PNIA, alrededor del cual se ha llevado a cabo en 2016 un proceso deliberativo amplio que no sólo ha contado con la participación de delegados de agentes e instancias nacionales del SNBF, sino directamente de niños, niñas, adolescentes, padres, madres y cuidadores seleccionados en desarrollo de un enfoque diferencial. Esto, en complemento de los avances logrados en la fase de generación de insumos adelantada entre 2013 y 2015.</w:t>
      </w:r>
    </w:p>
    <w:p w:rsidR="00E454EA" w:rsidRDefault="00E454EA" w:rsidP="00E454EA">
      <w:pPr>
        <w:spacing w:after="0" w:line="240" w:lineRule="auto"/>
        <w:jc w:val="both"/>
        <w:rPr>
          <w:rFonts w:cs="Arial"/>
          <w:lang w:eastAsia="es-ES"/>
        </w:rPr>
      </w:pPr>
    </w:p>
    <w:p w:rsidR="00FB2352" w:rsidRDefault="00FB2352" w:rsidP="005044B5">
      <w:pPr>
        <w:numPr>
          <w:ilvl w:val="0"/>
          <w:numId w:val="258"/>
        </w:numPr>
        <w:spacing w:after="0" w:line="240" w:lineRule="auto"/>
        <w:jc w:val="both"/>
        <w:rPr>
          <w:rFonts w:cs="Arial"/>
          <w:lang w:eastAsia="es-ES"/>
        </w:rPr>
      </w:pPr>
      <w:r w:rsidRPr="00185C85">
        <w:rPr>
          <w:rFonts w:cs="Arial"/>
        </w:rPr>
        <w:t>La consolidación de los aportes resultantes del proceso deliberativo está orientada a ajustar técnicamente el documento, como un paso previo a la presentación para su adopción en el Consejo Nacional de Política Social.</w:t>
      </w:r>
    </w:p>
    <w:p w:rsidR="00E454EA" w:rsidRPr="00185C85" w:rsidRDefault="00E454EA" w:rsidP="00E454EA">
      <w:pPr>
        <w:spacing w:after="0" w:line="240" w:lineRule="auto"/>
        <w:jc w:val="both"/>
        <w:rPr>
          <w:rFonts w:cs="Arial"/>
          <w:lang w:eastAsia="es-ES"/>
        </w:rPr>
      </w:pPr>
    </w:p>
    <w:p w:rsidR="00FB2352" w:rsidRDefault="00FB2352" w:rsidP="005044B5">
      <w:pPr>
        <w:pStyle w:val="Prrafodelista"/>
        <w:numPr>
          <w:ilvl w:val="0"/>
          <w:numId w:val="258"/>
        </w:numPr>
        <w:spacing w:after="0" w:line="240" w:lineRule="auto"/>
        <w:contextualSpacing/>
        <w:jc w:val="both"/>
        <w:rPr>
          <w:rFonts w:cs="Arial"/>
        </w:rPr>
      </w:pPr>
      <w:r w:rsidRPr="00992589">
        <w:rPr>
          <w:rFonts w:cs="Arial"/>
        </w:rPr>
        <w:t>Diseño la Estrategia de Acciones Masivas de Alto Impacto Social (AMAS), con la cual ha promovido los derechos de más de 27.000 niños, niñas y adolescentes en situación de riesgo, a través de actividades culturales, artísticas y deportivas, como mecanismos asertivos y transformadores.</w:t>
      </w:r>
    </w:p>
    <w:p w:rsidR="00E454EA" w:rsidRPr="00E454EA" w:rsidRDefault="00E454EA" w:rsidP="00E454EA">
      <w:pPr>
        <w:spacing w:after="0" w:line="240" w:lineRule="auto"/>
        <w:contextualSpacing/>
        <w:jc w:val="both"/>
        <w:rPr>
          <w:rFonts w:cs="Arial"/>
        </w:rPr>
      </w:pPr>
    </w:p>
    <w:p w:rsidR="00FB2352" w:rsidRDefault="00FB2352" w:rsidP="005044B5">
      <w:pPr>
        <w:pStyle w:val="Prrafodelista"/>
        <w:numPr>
          <w:ilvl w:val="0"/>
          <w:numId w:val="258"/>
        </w:numPr>
        <w:spacing w:after="0" w:line="240" w:lineRule="auto"/>
        <w:contextualSpacing/>
        <w:jc w:val="both"/>
        <w:rPr>
          <w:rFonts w:cs="Arial"/>
        </w:rPr>
      </w:pPr>
      <w:r w:rsidRPr="00992589">
        <w:rPr>
          <w:rFonts w:cs="Arial"/>
        </w:rPr>
        <w:t>Elaboración del documento técnico para el abordaje de la prevención en el marco de la política de infancia y adolescencia.</w:t>
      </w:r>
    </w:p>
    <w:p w:rsidR="00E454EA" w:rsidRPr="00E454EA" w:rsidRDefault="00E454EA" w:rsidP="00E454EA">
      <w:pPr>
        <w:spacing w:after="0" w:line="240" w:lineRule="auto"/>
        <w:contextualSpacing/>
        <w:jc w:val="both"/>
        <w:rPr>
          <w:rFonts w:cs="Arial"/>
        </w:rPr>
      </w:pPr>
    </w:p>
    <w:p w:rsidR="00FB2352" w:rsidRDefault="00FB2352" w:rsidP="005044B5">
      <w:pPr>
        <w:pStyle w:val="Prrafodelista"/>
        <w:numPr>
          <w:ilvl w:val="0"/>
          <w:numId w:val="258"/>
        </w:numPr>
        <w:spacing w:after="0" w:line="240" w:lineRule="auto"/>
        <w:contextualSpacing/>
        <w:jc w:val="both"/>
        <w:rPr>
          <w:rFonts w:cs="Arial"/>
        </w:rPr>
      </w:pPr>
      <w:r w:rsidRPr="00992589">
        <w:rPr>
          <w:rFonts w:cs="Arial"/>
        </w:rPr>
        <w:t>Elaboración trece (13) documentos técnicos temáticos que pretenden explicar diferentes problemáticas a las que están expuestos los niños, niñas y adolescentes en Colombia  y brindar recomendaciones para  prevenir la vulneración de sus derechos.</w:t>
      </w:r>
    </w:p>
    <w:p w:rsidR="00E454EA" w:rsidRPr="00E454EA" w:rsidRDefault="00E454EA" w:rsidP="00E454EA">
      <w:pPr>
        <w:spacing w:after="0" w:line="240" w:lineRule="auto"/>
        <w:contextualSpacing/>
        <w:jc w:val="both"/>
        <w:rPr>
          <w:rFonts w:cs="Arial"/>
        </w:rPr>
      </w:pPr>
    </w:p>
    <w:p w:rsidR="00FB2352" w:rsidRDefault="00FB2352" w:rsidP="005044B5">
      <w:pPr>
        <w:pStyle w:val="Prrafodelista"/>
        <w:numPr>
          <w:ilvl w:val="0"/>
          <w:numId w:val="258"/>
        </w:numPr>
        <w:spacing w:after="0" w:line="240" w:lineRule="auto"/>
        <w:contextualSpacing/>
        <w:jc w:val="both"/>
        <w:rPr>
          <w:rFonts w:cs="Arial"/>
        </w:rPr>
      </w:pPr>
      <w:r w:rsidRPr="00992589">
        <w:rPr>
          <w:rFonts w:cs="Arial"/>
        </w:rPr>
        <w:t>Formalización de la conformación del Consejo Asesor y Consultivo Nacional de Niños, Niñas y Adolescentes del ICBF mediante Acto Administrativo – Resolución.</w:t>
      </w:r>
    </w:p>
    <w:p w:rsidR="00E454EA" w:rsidRPr="00E454EA" w:rsidRDefault="00E454EA" w:rsidP="00E454EA">
      <w:pPr>
        <w:spacing w:after="0" w:line="240" w:lineRule="auto"/>
        <w:contextualSpacing/>
        <w:jc w:val="both"/>
        <w:rPr>
          <w:rFonts w:cs="Arial"/>
        </w:rPr>
      </w:pPr>
    </w:p>
    <w:p w:rsidR="00FB2352" w:rsidRDefault="00FB2352" w:rsidP="005044B5">
      <w:pPr>
        <w:pStyle w:val="Prrafodelista"/>
        <w:numPr>
          <w:ilvl w:val="0"/>
          <w:numId w:val="258"/>
        </w:numPr>
        <w:spacing w:after="0" w:line="240" w:lineRule="auto"/>
        <w:contextualSpacing/>
        <w:jc w:val="both"/>
        <w:rPr>
          <w:rFonts w:cs="Arial"/>
        </w:rPr>
      </w:pPr>
      <w:r w:rsidRPr="00992589">
        <w:rPr>
          <w:rFonts w:cs="Arial"/>
        </w:rPr>
        <w:t>Realización del Encuentro Internacional de Participación de niños, niñas y adolescentes en Políticas Públicas, al cual asistieron niños, niñas y adolescentes de México, Ecuador, Perú, El Salvador, Uruguay y Colombia. Éste, se llevó a cabo en Pereira (Risaralda) y como resultado del mismo se construyó el documento para potenciar la participación de niños, niñas y adolescentes en las políticas públicas en América.</w:t>
      </w:r>
    </w:p>
    <w:p w:rsidR="0052546C" w:rsidRPr="0052546C" w:rsidRDefault="0052546C" w:rsidP="0052546C">
      <w:pPr>
        <w:pStyle w:val="Prrafodelista"/>
        <w:rPr>
          <w:rFonts w:cs="Arial"/>
        </w:rPr>
      </w:pPr>
    </w:p>
    <w:p w:rsidR="00CD54BF" w:rsidRPr="0052546C" w:rsidRDefault="0052546C" w:rsidP="0052546C">
      <w:pPr>
        <w:outlineLvl w:val="1"/>
        <w:rPr>
          <w:b/>
          <w:lang w:eastAsia="es-ES"/>
        </w:rPr>
      </w:pPr>
      <w:bookmarkStart w:id="61" w:name="_Toc473581412"/>
      <w:r>
        <w:rPr>
          <w:b/>
          <w:lang w:eastAsia="es-ES"/>
        </w:rPr>
        <w:t xml:space="preserve">3.2.4 </w:t>
      </w:r>
      <w:r w:rsidR="00CD54BF" w:rsidRPr="0052546C">
        <w:rPr>
          <w:b/>
          <w:lang w:eastAsia="es-ES"/>
        </w:rPr>
        <w:t>R</w:t>
      </w:r>
      <w:r w:rsidRPr="0052546C">
        <w:rPr>
          <w:b/>
          <w:lang w:eastAsia="es-ES"/>
        </w:rPr>
        <w:t xml:space="preserve">etos </w:t>
      </w:r>
      <w:r w:rsidR="00CD54BF" w:rsidRPr="0052546C">
        <w:rPr>
          <w:b/>
          <w:lang w:eastAsia="es-ES"/>
        </w:rPr>
        <w:t>2017</w:t>
      </w:r>
      <w:bookmarkEnd w:id="61"/>
      <w:r w:rsidR="00CD54BF" w:rsidRPr="0052546C">
        <w:rPr>
          <w:b/>
          <w:lang w:eastAsia="es-ES"/>
        </w:rPr>
        <w:t xml:space="preserve"> </w:t>
      </w:r>
    </w:p>
    <w:p w:rsidR="00FB2352" w:rsidRPr="00992589" w:rsidRDefault="00FB2352" w:rsidP="00FB2352">
      <w:pPr>
        <w:spacing w:after="0" w:line="240" w:lineRule="auto"/>
        <w:contextualSpacing/>
        <w:rPr>
          <w:rFonts w:eastAsia="Times New Roman" w:cs="Arial"/>
          <w:lang w:eastAsia="es-ES"/>
        </w:rPr>
      </w:pPr>
      <w:r w:rsidRPr="00992589">
        <w:rPr>
          <w:rFonts w:eastAsia="Times New Roman" w:cs="Arial"/>
          <w:lang w:eastAsia="es-ES"/>
        </w:rPr>
        <w:t xml:space="preserve">Los retos de la Dirección de Niñez y Adolescencia para la vigencia 2017 son: </w:t>
      </w:r>
    </w:p>
    <w:p w:rsidR="0020180F" w:rsidRDefault="0020180F" w:rsidP="00470DCA">
      <w:pPr>
        <w:numPr>
          <w:ilvl w:val="0"/>
          <w:numId w:val="218"/>
        </w:numPr>
        <w:spacing w:after="0" w:line="240" w:lineRule="auto"/>
        <w:jc w:val="both"/>
        <w:rPr>
          <w:rFonts w:cs="Arial"/>
        </w:rPr>
      </w:pPr>
      <w:r w:rsidRPr="0020180F">
        <w:rPr>
          <w:rFonts w:cs="Arial"/>
        </w:rPr>
        <w:lastRenderedPageBreak/>
        <w:t>Hacer transversal en todo el ICBF la Estrategia de Prevención de Embarazo en la Adolescencia, con la articulación misional. La meta de este reto consiste en formar madres, padres, cuidadores, docentes, niños, niñas y adolescentes en Derechos Sexuales y Reproductivos en los 32 departamentos.</w:t>
      </w:r>
    </w:p>
    <w:p w:rsidR="00120C74" w:rsidRPr="0020180F" w:rsidRDefault="00120C74" w:rsidP="00120C74">
      <w:pPr>
        <w:spacing w:after="0" w:line="240" w:lineRule="auto"/>
        <w:ind w:left="360"/>
        <w:jc w:val="both"/>
        <w:rPr>
          <w:rFonts w:cs="Arial"/>
        </w:rPr>
      </w:pPr>
    </w:p>
    <w:p w:rsidR="0020180F" w:rsidRDefault="0020180F" w:rsidP="00470DCA">
      <w:pPr>
        <w:numPr>
          <w:ilvl w:val="0"/>
          <w:numId w:val="218"/>
        </w:numPr>
        <w:spacing w:after="0" w:line="240" w:lineRule="auto"/>
        <w:jc w:val="both"/>
        <w:rPr>
          <w:rFonts w:cs="Arial"/>
        </w:rPr>
      </w:pPr>
      <w:r w:rsidRPr="0020180F">
        <w:rPr>
          <w:rFonts w:cs="Arial"/>
        </w:rPr>
        <w:t>Documento validado y aprobado de la Política Pública para la Infancia y la Adolescencia, para su apropiación e implementación en las 33 regiones del país.</w:t>
      </w:r>
    </w:p>
    <w:p w:rsidR="00120C74" w:rsidRPr="0020180F" w:rsidRDefault="00120C74" w:rsidP="00120C74">
      <w:pPr>
        <w:spacing w:after="0" w:line="240" w:lineRule="auto"/>
        <w:jc w:val="both"/>
        <w:rPr>
          <w:rFonts w:cs="Arial"/>
        </w:rPr>
      </w:pPr>
    </w:p>
    <w:p w:rsidR="0020180F" w:rsidRPr="0020180F" w:rsidRDefault="0020180F" w:rsidP="00470DCA">
      <w:pPr>
        <w:numPr>
          <w:ilvl w:val="0"/>
          <w:numId w:val="218"/>
        </w:numPr>
        <w:spacing w:after="0" w:line="240" w:lineRule="auto"/>
        <w:jc w:val="both"/>
        <w:rPr>
          <w:rFonts w:cs="Arial"/>
        </w:rPr>
      </w:pPr>
      <w:r w:rsidRPr="0020180F">
        <w:rPr>
          <w:rFonts w:cs="Arial"/>
        </w:rPr>
        <w:t xml:space="preserve">Fortalecimiento técnico del Programa Generaciones con Bienestar, lo que implica el ajuste del lineamiento técnico del programa con énfasis en emprendimiento y proyecto de vida; así como la formulación de un nuevo Banco de Oferentes para operación 2018. </w:t>
      </w:r>
    </w:p>
    <w:p w:rsidR="00FB2352" w:rsidRPr="00A32437" w:rsidRDefault="00FB2352" w:rsidP="00FB2352">
      <w:pPr>
        <w:spacing w:after="0" w:line="240" w:lineRule="auto"/>
        <w:rPr>
          <w:rFonts w:cs="Arial"/>
          <w:sz w:val="18"/>
        </w:rPr>
      </w:pPr>
    </w:p>
    <w:p w:rsidR="00086073" w:rsidRPr="00DB4109" w:rsidRDefault="00086073" w:rsidP="007342CF">
      <w:pPr>
        <w:pStyle w:val="Ttulo1"/>
        <w:keepLines/>
        <w:pageBreakBefore/>
        <w:numPr>
          <w:ilvl w:val="1"/>
          <w:numId w:val="242"/>
        </w:numPr>
        <w:rPr>
          <w:rFonts w:cs="Arial"/>
          <w:b w:val="0"/>
          <w:szCs w:val="22"/>
        </w:rPr>
      </w:pPr>
      <w:bookmarkStart w:id="62" w:name="_Toc473581413"/>
      <w:r w:rsidRPr="00DB4109">
        <w:rPr>
          <w:rFonts w:cs="Arial"/>
          <w:szCs w:val="22"/>
        </w:rPr>
        <w:lastRenderedPageBreak/>
        <w:t>ATENCIÓN A LAS FAMILIAS Y COMUNIDADES</w:t>
      </w:r>
      <w:bookmarkEnd w:id="62"/>
    </w:p>
    <w:p w:rsidR="00165C6B" w:rsidRPr="00D23FA4" w:rsidRDefault="00165C6B" w:rsidP="00165C6B">
      <w:pPr>
        <w:spacing w:after="0" w:line="240" w:lineRule="auto"/>
        <w:rPr>
          <w:rFonts w:cs="Arial"/>
        </w:rPr>
      </w:pPr>
    </w:p>
    <w:p w:rsidR="00165C6B" w:rsidRPr="00D20970" w:rsidRDefault="00165C6B" w:rsidP="007342CF">
      <w:pPr>
        <w:pStyle w:val="Prrafodelista"/>
        <w:keepNext/>
        <w:keepLines/>
        <w:numPr>
          <w:ilvl w:val="2"/>
          <w:numId w:val="242"/>
        </w:numPr>
        <w:spacing w:after="0" w:line="240" w:lineRule="auto"/>
        <w:outlineLvl w:val="1"/>
        <w:rPr>
          <w:rFonts w:eastAsiaTheme="majorEastAsia" w:cs="Arial"/>
          <w:b/>
        </w:rPr>
      </w:pPr>
      <w:bookmarkStart w:id="63" w:name="_Toc473581414"/>
      <w:r w:rsidRPr="00D20970">
        <w:rPr>
          <w:rFonts w:eastAsia="Times New Roman" w:cs="Arial"/>
          <w:b/>
          <w:bCs/>
          <w:kern w:val="32"/>
        </w:rPr>
        <w:t>Marco de Política Pública de Familia y Comunidades</w:t>
      </w:r>
      <w:bookmarkEnd w:id="63"/>
    </w:p>
    <w:p w:rsidR="00165C6B" w:rsidRPr="003920C5" w:rsidRDefault="00165C6B" w:rsidP="00165C6B"/>
    <w:p w:rsidR="00086073" w:rsidRPr="00DB4109" w:rsidRDefault="00086073" w:rsidP="00086073">
      <w:pPr>
        <w:spacing w:after="0" w:line="240" w:lineRule="auto"/>
        <w:jc w:val="both"/>
        <w:rPr>
          <w:rFonts w:cs="Arial"/>
        </w:rPr>
      </w:pPr>
      <w:r w:rsidRPr="00DB4109">
        <w:rPr>
          <w:rFonts w:cs="Arial"/>
        </w:rPr>
        <w:t xml:space="preserve">La convención de los derechos del niño de Naciones Unidas afirma que la familia es el ámbito de desarrollo de niños, niñas y adolescentes (1989), por su parte, el país entiende que la familia es el núcleo fundamental de la sociedad y así lo consigna en el artículo 42 de la constitución política nacional y la ley de infancia y adolescencia (1098 de 2006) subraya la corresponsabilidad de la familia en la atención, cuidado y protección de los derechos de la niñez. En concordancia, se promulga la Ley 1361 de 2009, de protección integral de la familia cuyo objeto es fortalecer y garantizar el desarrollo integral de la familia, como núcleo fundamental de la sociedad. Así mismo, en la Política Pública Nacional de Apoyo y Fortalecimiento a la Familia se concibe esta como “… </w:t>
      </w:r>
      <w:r w:rsidRPr="00DB4109">
        <w:rPr>
          <w:rFonts w:cs="Arial"/>
          <w:i/>
        </w:rPr>
        <w:t>una estructura social que se constituye a partir de un proceso que genera vínculos de consanguinidad o afinidad entre sus miembros. Por lo tanto, si bien la familia puede surgir como un fenómeno natural producto de la decisión libre de dos personas, lo cierto es que son las manifestaciones de solidaridad, fraternidad, apoyo, cariño y amor, lo que la estructuran y le brindan cohesión a la institución</w:t>
      </w:r>
      <w:r w:rsidRPr="00DB4109">
        <w:rPr>
          <w:rFonts w:cs="Arial"/>
        </w:rPr>
        <w:t>”. Sentencia del 11 de julio de 2013 del Consejo de Estado.</w:t>
      </w:r>
      <w:r w:rsidRPr="00DB4109">
        <w:rPr>
          <w:rFonts w:cs="Arial"/>
          <w:vertAlign w:val="superscript"/>
        </w:rPr>
        <w:footnoteReference w:id="10"/>
      </w:r>
      <w:r w:rsidRPr="00DB4109">
        <w:rPr>
          <w:rFonts w:cs="Arial"/>
          <w:vertAlign w:val="superscript"/>
        </w:rPr>
        <w:t>.</w:t>
      </w:r>
    </w:p>
    <w:p w:rsidR="00086073" w:rsidRPr="00DB4109" w:rsidRDefault="00086073" w:rsidP="00086073">
      <w:pPr>
        <w:spacing w:after="0" w:line="240" w:lineRule="auto"/>
        <w:jc w:val="both"/>
        <w:rPr>
          <w:rFonts w:cs="Arial"/>
        </w:rPr>
      </w:pPr>
    </w:p>
    <w:p w:rsidR="00086073" w:rsidRPr="00DB4109" w:rsidRDefault="00086073" w:rsidP="00086073">
      <w:pPr>
        <w:widowControl w:val="0"/>
        <w:autoSpaceDE w:val="0"/>
        <w:autoSpaceDN w:val="0"/>
        <w:adjustRightInd w:val="0"/>
        <w:spacing w:after="0" w:line="240" w:lineRule="auto"/>
        <w:jc w:val="both"/>
        <w:rPr>
          <w:rFonts w:cs="Arial"/>
        </w:rPr>
      </w:pPr>
      <w:r w:rsidRPr="00DB4109">
        <w:rPr>
          <w:rFonts w:cs="Arial"/>
        </w:rPr>
        <w:t>De acuerdo con lo planteado en los Lineamientos Técnicos para la Inclusión y Atención a familias (2007), “El verdadero alcance y acierto de una política pública hacia las familias está en apoyarlas y acompañarlas en el desempeño de sus funciones vitales.  La política tiene un doble propósito: el específico de los asuntos familiares y el de asegurar que toda la política social contribuya con la supervivencia de las familias. En la medida en que se cumpla con los anteriores propósitos se estarán no solo fortaleciendo las capacidades internas de las familias para un adecuado cumplimiento de sus funciones sino además, previniendo la aparición y el incremento de los problemas sociales”.</w:t>
      </w:r>
    </w:p>
    <w:p w:rsidR="00086073" w:rsidRPr="00DB4109" w:rsidRDefault="00086073" w:rsidP="00086073">
      <w:pPr>
        <w:pStyle w:val="Default"/>
        <w:jc w:val="both"/>
        <w:rPr>
          <w:rFonts w:ascii="Arial" w:hAnsi="Arial" w:cs="Arial"/>
          <w:color w:val="auto"/>
          <w:lang w:val="es-ES"/>
        </w:rPr>
      </w:pPr>
    </w:p>
    <w:p w:rsidR="00086073" w:rsidRPr="00DB4109" w:rsidRDefault="00086073" w:rsidP="00086073">
      <w:pPr>
        <w:pStyle w:val="Default"/>
        <w:jc w:val="both"/>
        <w:rPr>
          <w:rFonts w:ascii="Arial" w:eastAsiaTheme="minorEastAsia" w:hAnsi="Arial" w:cs="Arial"/>
          <w:color w:val="auto"/>
          <w:lang w:val="es-ES_tradnl" w:eastAsia="es-ES"/>
        </w:rPr>
      </w:pPr>
      <w:r w:rsidRPr="00DB4109">
        <w:rPr>
          <w:rFonts w:ascii="Arial" w:eastAsiaTheme="minorEastAsia" w:hAnsi="Arial" w:cs="Arial"/>
          <w:color w:val="auto"/>
          <w:lang w:val="es-ES_tradnl" w:eastAsia="es-ES"/>
        </w:rPr>
        <w:t>De cara a esta situación, se devela la necesidad de identificar de acuerdo con las competencias de las instituciones su papel frente al fortalecimiento familiar, de modo que a través de programas y proyectos dirigidos a las familias, incidan en el bienestar, en la calidad de relaciones que se tejen en su interior, en la convivencia armónica y a su vez en propiciar las condiciones que mejoren la calidad de vida de las familias.</w:t>
      </w:r>
    </w:p>
    <w:p w:rsidR="00086073" w:rsidRPr="00DB4109" w:rsidRDefault="00086073" w:rsidP="00086073">
      <w:pPr>
        <w:pStyle w:val="Default"/>
        <w:jc w:val="both"/>
        <w:rPr>
          <w:rFonts w:ascii="Arial" w:hAnsi="Arial" w:cs="Arial"/>
          <w:color w:val="auto"/>
          <w:lang w:val="es-ES"/>
        </w:rPr>
      </w:pPr>
    </w:p>
    <w:p w:rsidR="00086073" w:rsidRPr="00DB4109" w:rsidRDefault="00086073" w:rsidP="00086073">
      <w:pPr>
        <w:widowControl w:val="0"/>
        <w:autoSpaceDE w:val="0"/>
        <w:autoSpaceDN w:val="0"/>
        <w:adjustRightInd w:val="0"/>
        <w:spacing w:after="0" w:line="240" w:lineRule="auto"/>
        <w:jc w:val="both"/>
        <w:rPr>
          <w:rFonts w:cs="Arial"/>
        </w:rPr>
      </w:pPr>
      <w:r w:rsidRPr="00DB4109">
        <w:rPr>
          <w:rFonts w:cs="Arial"/>
        </w:rPr>
        <w:t>La principal recomendación que hace la CEPAL para hacer efectivas las políticas de familias es contar con un diagnóstico que responda a los cambios, y a las nuevas prácticas familiares en América Latina. Así mismo, plantea que las políticas de familia deben orientarse a superar las paradojas de la familia relacionadas con la conciliación de los tiempos del cuidado, del mercado laboral con los de la familia. Estas políticas deben tender al establecimiento de las relaciones democráticas, conciliando derechos y obligaciones entre sus miembros, independientemente del tipo de familia que esté constituida.</w:t>
      </w:r>
    </w:p>
    <w:p w:rsidR="00086073" w:rsidRPr="00DB4109" w:rsidRDefault="00086073" w:rsidP="00086073">
      <w:pPr>
        <w:widowControl w:val="0"/>
        <w:autoSpaceDE w:val="0"/>
        <w:autoSpaceDN w:val="0"/>
        <w:adjustRightInd w:val="0"/>
        <w:spacing w:after="0" w:line="240" w:lineRule="auto"/>
        <w:jc w:val="both"/>
        <w:rPr>
          <w:rFonts w:cs="Arial"/>
        </w:rPr>
      </w:pPr>
    </w:p>
    <w:p w:rsidR="00086073" w:rsidRPr="00DB4109" w:rsidRDefault="00086073" w:rsidP="00086073">
      <w:pPr>
        <w:spacing w:after="0" w:line="240" w:lineRule="auto"/>
        <w:jc w:val="both"/>
        <w:rPr>
          <w:rFonts w:cs="Arial"/>
        </w:rPr>
      </w:pPr>
      <w:r w:rsidRPr="00DB4109">
        <w:rPr>
          <w:rFonts w:cs="Arial"/>
        </w:rPr>
        <w:lastRenderedPageBreak/>
        <w:t>En ese contexto, la Dirección de Familias y Comunidades estudia la información sobre la situación de las familias en el país, participa en la formulación, aplicación y seguimiento de estrategias, planes y programas para el fortalecimiento y apoyo a las familias y las comunidades con el concurso de la población a la que se dirigen las mismas, coordinando las acciones con el Sistema Nacional de Bienestar Familiar.</w:t>
      </w:r>
    </w:p>
    <w:p w:rsidR="00086073" w:rsidRPr="00DB4109" w:rsidRDefault="00086073" w:rsidP="00086073">
      <w:pPr>
        <w:spacing w:after="0" w:line="240" w:lineRule="auto"/>
        <w:jc w:val="both"/>
        <w:rPr>
          <w:rFonts w:cs="Arial"/>
        </w:rPr>
      </w:pPr>
    </w:p>
    <w:p w:rsidR="00086073" w:rsidRDefault="00086073" w:rsidP="00086073">
      <w:pPr>
        <w:widowControl w:val="0"/>
        <w:autoSpaceDE w:val="0"/>
        <w:autoSpaceDN w:val="0"/>
        <w:adjustRightInd w:val="0"/>
        <w:spacing w:after="0" w:line="240" w:lineRule="auto"/>
        <w:jc w:val="both"/>
        <w:rPr>
          <w:rFonts w:cs="Arial"/>
        </w:rPr>
      </w:pPr>
      <w:r w:rsidRPr="00DB4109">
        <w:rPr>
          <w:rFonts w:cs="Arial"/>
        </w:rPr>
        <w:t>En ese marco, se presenta a continuación, un recuento de las acciones adelantadas por la Dirección de Familias y Comunidades, primero frente al desarrollo de las políticas priorizadas y luego en relación con las mo</w:t>
      </w:r>
      <w:r w:rsidR="00201618">
        <w:rPr>
          <w:rFonts w:cs="Arial"/>
        </w:rPr>
        <w:t>dalidades que tiene a su cargo.</w:t>
      </w:r>
    </w:p>
    <w:p w:rsidR="00201618" w:rsidRPr="00DB4109" w:rsidRDefault="00201618" w:rsidP="00086073">
      <w:pPr>
        <w:widowControl w:val="0"/>
        <w:autoSpaceDE w:val="0"/>
        <w:autoSpaceDN w:val="0"/>
        <w:adjustRightInd w:val="0"/>
        <w:spacing w:after="0" w:line="240" w:lineRule="auto"/>
        <w:jc w:val="both"/>
        <w:rPr>
          <w:rFonts w:cs="Arial"/>
        </w:rPr>
      </w:pPr>
    </w:p>
    <w:p w:rsidR="00165C6B" w:rsidRPr="00D23FA4" w:rsidRDefault="00165C6B" w:rsidP="00165C6B">
      <w:pPr>
        <w:spacing w:after="0" w:line="240" w:lineRule="auto"/>
        <w:rPr>
          <w:rFonts w:cs="Arial"/>
        </w:rPr>
      </w:pPr>
    </w:p>
    <w:p w:rsidR="00165C6B" w:rsidRPr="00B66888" w:rsidRDefault="00165C6B" w:rsidP="007342CF">
      <w:pPr>
        <w:pStyle w:val="Prrafodelista"/>
        <w:keepNext/>
        <w:keepLines/>
        <w:numPr>
          <w:ilvl w:val="2"/>
          <w:numId w:val="242"/>
        </w:numPr>
        <w:spacing w:after="0" w:line="240" w:lineRule="auto"/>
        <w:outlineLvl w:val="1"/>
        <w:rPr>
          <w:rFonts w:eastAsiaTheme="majorEastAsia" w:cs="Arial"/>
          <w:b/>
        </w:rPr>
      </w:pPr>
      <w:bookmarkStart w:id="64" w:name="_Toc473581415"/>
      <w:r w:rsidRPr="00B66888">
        <w:rPr>
          <w:rFonts w:eastAsia="Times New Roman" w:cs="Arial"/>
          <w:b/>
          <w:bCs/>
          <w:kern w:val="32"/>
        </w:rPr>
        <w:t>Acciones adelantadas frente a políticas priorizadas</w:t>
      </w:r>
      <w:bookmarkEnd w:id="64"/>
    </w:p>
    <w:p w:rsidR="00165C6B" w:rsidRPr="003920C5" w:rsidRDefault="00165C6B" w:rsidP="00165C6B"/>
    <w:p w:rsidR="00086073" w:rsidRDefault="00086073" w:rsidP="00D712DC">
      <w:pPr>
        <w:pStyle w:val="Prrafodelista"/>
        <w:widowControl w:val="0"/>
        <w:numPr>
          <w:ilvl w:val="0"/>
          <w:numId w:val="5"/>
        </w:numPr>
        <w:autoSpaceDE w:val="0"/>
        <w:autoSpaceDN w:val="0"/>
        <w:adjustRightInd w:val="0"/>
        <w:spacing w:after="0" w:line="240" w:lineRule="auto"/>
        <w:contextualSpacing/>
        <w:jc w:val="both"/>
        <w:rPr>
          <w:rFonts w:cs="Arial"/>
        </w:rPr>
      </w:pPr>
      <w:r w:rsidRPr="00DB4109">
        <w:rPr>
          <w:rFonts w:cs="Arial"/>
          <w:b/>
        </w:rPr>
        <w:t>Política Pública Nacional de Apoyo y Fortalecimiento a las Familias:</w:t>
      </w:r>
    </w:p>
    <w:p w:rsidR="00120C74" w:rsidRPr="00DB4109" w:rsidRDefault="00120C74" w:rsidP="00120C74">
      <w:pPr>
        <w:pStyle w:val="Prrafodelista"/>
        <w:widowControl w:val="0"/>
        <w:autoSpaceDE w:val="0"/>
        <w:autoSpaceDN w:val="0"/>
        <w:adjustRightInd w:val="0"/>
        <w:spacing w:after="0" w:line="240" w:lineRule="auto"/>
        <w:ind w:left="360"/>
        <w:contextualSpacing/>
        <w:jc w:val="both"/>
        <w:rPr>
          <w:rFonts w:cs="Arial"/>
        </w:rPr>
      </w:pPr>
    </w:p>
    <w:p w:rsidR="00086073" w:rsidRDefault="00086073" w:rsidP="00B66888">
      <w:pPr>
        <w:pStyle w:val="Prrafodelista"/>
        <w:widowControl w:val="0"/>
        <w:numPr>
          <w:ilvl w:val="1"/>
          <w:numId w:val="5"/>
        </w:numPr>
        <w:autoSpaceDE w:val="0"/>
        <w:autoSpaceDN w:val="0"/>
        <w:adjustRightInd w:val="0"/>
        <w:spacing w:after="0" w:line="240" w:lineRule="auto"/>
        <w:ind w:left="720"/>
        <w:contextualSpacing/>
        <w:jc w:val="both"/>
        <w:rPr>
          <w:rFonts w:cs="Arial"/>
        </w:rPr>
      </w:pPr>
      <w:r w:rsidRPr="00DB4109">
        <w:rPr>
          <w:rFonts w:cs="Arial"/>
        </w:rPr>
        <w:t>Participar en la construcción de estrategias de implementación e incorporación en los territorios</w:t>
      </w:r>
      <w:r w:rsidRPr="00DB4109" w:rsidDel="00617CC2">
        <w:rPr>
          <w:rFonts w:cs="Arial"/>
        </w:rPr>
        <w:t xml:space="preserve"> </w:t>
      </w:r>
      <w:r w:rsidRPr="00DB4109">
        <w:rPr>
          <w:rFonts w:cs="Arial"/>
        </w:rPr>
        <w:t>de las Políticas de Promoción Social; 5 foros regionales de socialización lideradas por el Ministerio de Salud y Protección Social.</w:t>
      </w:r>
    </w:p>
    <w:p w:rsidR="00120C74" w:rsidRPr="00DB4109" w:rsidRDefault="00120C74" w:rsidP="00B66888">
      <w:pPr>
        <w:pStyle w:val="Prrafodelista"/>
        <w:widowControl w:val="0"/>
        <w:autoSpaceDE w:val="0"/>
        <w:autoSpaceDN w:val="0"/>
        <w:adjustRightInd w:val="0"/>
        <w:spacing w:after="0" w:line="240" w:lineRule="auto"/>
        <w:ind w:left="720"/>
        <w:contextualSpacing/>
        <w:jc w:val="both"/>
        <w:rPr>
          <w:rFonts w:cs="Arial"/>
        </w:rPr>
      </w:pPr>
    </w:p>
    <w:p w:rsidR="00086073" w:rsidRPr="00DB4109" w:rsidRDefault="00086073" w:rsidP="00B66888">
      <w:pPr>
        <w:pStyle w:val="Prrafodelista"/>
        <w:widowControl w:val="0"/>
        <w:numPr>
          <w:ilvl w:val="1"/>
          <w:numId w:val="5"/>
        </w:numPr>
        <w:autoSpaceDE w:val="0"/>
        <w:autoSpaceDN w:val="0"/>
        <w:adjustRightInd w:val="0"/>
        <w:spacing w:after="0" w:line="240" w:lineRule="auto"/>
        <w:ind w:left="720"/>
        <w:contextualSpacing/>
        <w:jc w:val="both"/>
        <w:rPr>
          <w:rFonts w:cs="Arial"/>
        </w:rPr>
      </w:pPr>
      <w:r w:rsidRPr="00DB4109">
        <w:rPr>
          <w:rFonts w:cs="Arial"/>
        </w:rPr>
        <w:t xml:space="preserve">Presentar el documento de Política ante el Comité Ejecutivo del SNBF (aprobado por unanimidad). Elaboración del documento de Política y del documento resumen de la misma. </w:t>
      </w:r>
    </w:p>
    <w:p w:rsidR="00086073" w:rsidRPr="00DB4109" w:rsidRDefault="00086073" w:rsidP="00B66888">
      <w:pPr>
        <w:widowControl w:val="0"/>
        <w:autoSpaceDE w:val="0"/>
        <w:autoSpaceDN w:val="0"/>
        <w:adjustRightInd w:val="0"/>
        <w:spacing w:after="0" w:line="240" w:lineRule="auto"/>
        <w:contextualSpacing/>
        <w:jc w:val="both"/>
        <w:rPr>
          <w:rFonts w:cs="Arial"/>
        </w:rPr>
      </w:pPr>
    </w:p>
    <w:p w:rsidR="00086073" w:rsidRDefault="00086073" w:rsidP="00D712DC">
      <w:pPr>
        <w:pStyle w:val="Prrafodelista"/>
        <w:numPr>
          <w:ilvl w:val="0"/>
          <w:numId w:val="5"/>
        </w:numPr>
        <w:spacing w:after="0" w:line="240" w:lineRule="auto"/>
        <w:ind w:left="357" w:hanging="357"/>
        <w:contextualSpacing/>
        <w:jc w:val="both"/>
        <w:rPr>
          <w:rFonts w:cs="Arial"/>
        </w:rPr>
      </w:pPr>
      <w:r w:rsidRPr="00DB4109">
        <w:rPr>
          <w:rFonts w:cs="Arial"/>
          <w:b/>
        </w:rPr>
        <w:t>Política de Reconciliación y Postconflicto:</w:t>
      </w:r>
    </w:p>
    <w:p w:rsidR="00120C74" w:rsidRPr="00DB4109" w:rsidRDefault="00120C74" w:rsidP="00120C74">
      <w:pPr>
        <w:pStyle w:val="Prrafodelista"/>
        <w:spacing w:after="0" w:line="240" w:lineRule="auto"/>
        <w:ind w:left="357"/>
        <w:contextualSpacing/>
        <w:jc w:val="both"/>
        <w:rPr>
          <w:rFonts w:cs="Arial"/>
        </w:rPr>
      </w:pPr>
    </w:p>
    <w:p w:rsidR="00086073" w:rsidRDefault="00086073" w:rsidP="00B66888">
      <w:pPr>
        <w:pStyle w:val="Prrafodelista"/>
        <w:numPr>
          <w:ilvl w:val="1"/>
          <w:numId w:val="5"/>
        </w:numPr>
        <w:spacing w:after="0" w:line="240" w:lineRule="auto"/>
        <w:ind w:left="717"/>
        <w:contextualSpacing/>
        <w:jc w:val="both"/>
        <w:rPr>
          <w:rFonts w:cs="Arial"/>
        </w:rPr>
      </w:pPr>
      <w:r w:rsidRPr="00DB4109">
        <w:rPr>
          <w:rFonts w:cs="Arial"/>
        </w:rPr>
        <w:t>Construir una propuesta para la Construcción de Paz y Convivencia en la Vida Familiar y Comunitaria con la República del Salvador, cuyo objetivo consistió en delinear un posible proceso de asistencia técnica entre Colombia y El Salvador, en torno a la contribución del sector social en la construcción de paz en el marco del postconflicto (invitación extendida por la Oficina de Cooperación y Convenios del ICBF).</w:t>
      </w:r>
    </w:p>
    <w:p w:rsidR="00120C74" w:rsidRPr="00DB4109" w:rsidRDefault="00120C74" w:rsidP="00B66888">
      <w:pPr>
        <w:pStyle w:val="Prrafodelista"/>
        <w:spacing w:after="0" w:line="240" w:lineRule="auto"/>
        <w:ind w:left="717"/>
        <w:contextualSpacing/>
        <w:jc w:val="both"/>
        <w:rPr>
          <w:rFonts w:cs="Arial"/>
        </w:rPr>
      </w:pPr>
    </w:p>
    <w:p w:rsidR="00086073" w:rsidRPr="00DB4109" w:rsidRDefault="00086073" w:rsidP="00B66888">
      <w:pPr>
        <w:pStyle w:val="Prrafodelista"/>
        <w:numPr>
          <w:ilvl w:val="1"/>
          <w:numId w:val="5"/>
        </w:numPr>
        <w:spacing w:after="0" w:line="240" w:lineRule="auto"/>
        <w:ind w:left="717"/>
        <w:contextualSpacing/>
        <w:jc w:val="both"/>
        <w:rPr>
          <w:rFonts w:cs="Arial"/>
        </w:rPr>
      </w:pPr>
      <w:r w:rsidRPr="00DB4109">
        <w:rPr>
          <w:rFonts w:cs="Arial"/>
        </w:rPr>
        <w:t>Construir conjuntamente (con la Subdirección General, las Direcciones de Niñez y Adolescencia, Protección, Oficina de Planeación del ICBF, Universidad de la Salle, Save de Children, Aldeas SOS Colombia y Fundación Bambi) un proyecto de intervención articulado con el apoyo del Ministerio del Posconflicto con el objetivo de “contribuir a la construcción territorial de una paz estable y duradera, mediante la promoción de las niñas, niños, adolescentes, jóvenes, familias y comunidades como actores del desarrollo y sujetos de la protección integral.”</w:t>
      </w:r>
    </w:p>
    <w:p w:rsidR="00086073" w:rsidRPr="00DB4109" w:rsidRDefault="00086073" w:rsidP="00086073">
      <w:pPr>
        <w:spacing w:after="0" w:line="240" w:lineRule="auto"/>
        <w:contextualSpacing/>
        <w:jc w:val="both"/>
        <w:rPr>
          <w:rFonts w:cs="Arial"/>
        </w:rPr>
      </w:pPr>
    </w:p>
    <w:p w:rsidR="00086073" w:rsidRPr="00120C74" w:rsidRDefault="00086073" w:rsidP="00D712DC">
      <w:pPr>
        <w:pStyle w:val="Prrafodelista"/>
        <w:numPr>
          <w:ilvl w:val="0"/>
          <w:numId w:val="5"/>
        </w:numPr>
        <w:spacing w:after="0" w:line="240" w:lineRule="auto"/>
        <w:contextualSpacing/>
        <w:jc w:val="both"/>
        <w:rPr>
          <w:rFonts w:cs="Arial"/>
          <w:lang w:val="es-CO" w:eastAsia="es-CO"/>
        </w:rPr>
      </w:pPr>
      <w:r w:rsidRPr="00DB4109">
        <w:rPr>
          <w:rFonts w:cs="Arial"/>
          <w:b/>
        </w:rPr>
        <w:t>Po</w:t>
      </w:r>
      <w:r w:rsidR="00120C74">
        <w:rPr>
          <w:rFonts w:cs="Arial"/>
          <w:b/>
        </w:rPr>
        <w:t>lítica Pública de Discapacidad:</w:t>
      </w:r>
    </w:p>
    <w:p w:rsidR="00120C74" w:rsidRPr="00DB4109" w:rsidRDefault="00120C74" w:rsidP="00120C74">
      <w:pPr>
        <w:pStyle w:val="Prrafodelista"/>
        <w:spacing w:after="0" w:line="240" w:lineRule="auto"/>
        <w:ind w:left="360"/>
        <w:contextualSpacing/>
        <w:jc w:val="both"/>
        <w:rPr>
          <w:rFonts w:cs="Arial"/>
          <w:lang w:val="es-CO" w:eastAsia="es-CO"/>
        </w:rPr>
      </w:pPr>
    </w:p>
    <w:p w:rsidR="00086073" w:rsidRPr="00120C74" w:rsidRDefault="00086073" w:rsidP="00B66888">
      <w:pPr>
        <w:pStyle w:val="Prrafodelista"/>
        <w:numPr>
          <w:ilvl w:val="1"/>
          <w:numId w:val="5"/>
        </w:numPr>
        <w:spacing w:after="0" w:line="240" w:lineRule="auto"/>
        <w:ind w:left="720"/>
        <w:contextualSpacing/>
        <w:jc w:val="both"/>
        <w:rPr>
          <w:rFonts w:cs="Arial"/>
          <w:lang w:val="es-CO" w:eastAsia="es-CO"/>
        </w:rPr>
      </w:pPr>
      <w:r w:rsidRPr="00DB4109">
        <w:rPr>
          <w:rFonts w:eastAsia="Times New Roman" w:cs="Arial"/>
        </w:rPr>
        <w:t xml:space="preserve">Participar en la construcción del plan de acción de la Mesa de Enfoque Diferencial en el componente de Discapacidad del ICBF. </w:t>
      </w:r>
    </w:p>
    <w:p w:rsidR="00120C74" w:rsidRPr="00DB4109" w:rsidRDefault="00120C74" w:rsidP="00B66888">
      <w:pPr>
        <w:pStyle w:val="Prrafodelista"/>
        <w:spacing w:after="0" w:line="240" w:lineRule="auto"/>
        <w:ind w:left="720"/>
        <w:contextualSpacing/>
        <w:jc w:val="both"/>
        <w:rPr>
          <w:rFonts w:cs="Arial"/>
          <w:lang w:val="es-CO" w:eastAsia="es-CO"/>
        </w:rPr>
      </w:pPr>
    </w:p>
    <w:p w:rsidR="00086073" w:rsidRPr="00120C74" w:rsidRDefault="00086073" w:rsidP="00B66888">
      <w:pPr>
        <w:pStyle w:val="Prrafodelista"/>
        <w:numPr>
          <w:ilvl w:val="1"/>
          <w:numId w:val="5"/>
        </w:numPr>
        <w:spacing w:after="0" w:line="240" w:lineRule="auto"/>
        <w:ind w:left="720"/>
        <w:contextualSpacing/>
        <w:jc w:val="both"/>
        <w:rPr>
          <w:rFonts w:cs="Arial"/>
          <w:lang w:val="es-CO" w:eastAsia="es-CO"/>
        </w:rPr>
      </w:pPr>
      <w:r w:rsidRPr="00DB4109">
        <w:rPr>
          <w:rFonts w:eastAsia="Times New Roman" w:cs="Arial"/>
        </w:rPr>
        <w:lastRenderedPageBreak/>
        <w:t xml:space="preserve">En </w:t>
      </w:r>
      <w:r w:rsidRPr="00DB4109">
        <w:rPr>
          <w:rFonts w:cs="Arial"/>
        </w:rPr>
        <w:t>articulación con el SNBF se aunaron esfuerzos con el Ministerio de Educación para, en coordinación con otras instituciones, diseñar un “…</w:t>
      </w:r>
      <w:r w:rsidRPr="00DB4109">
        <w:rPr>
          <w:rFonts w:cs="Arial"/>
          <w:i/>
        </w:rPr>
        <w:t>programa intersectorial de desarrollo y asistencia para las familias de los niños, niñas, adolescentes y jóvenes con discapacidad”</w:t>
      </w:r>
      <w:r w:rsidRPr="00DB4109">
        <w:rPr>
          <w:rFonts w:cs="Arial"/>
        </w:rPr>
        <w:t xml:space="preserve"> (en el marco del Convenio No. 1057 de 2014 entre el SENA e ICBF).</w:t>
      </w:r>
    </w:p>
    <w:p w:rsidR="00120C74" w:rsidRPr="00120C74" w:rsidRDefault="00120C74" w:rsidP="00B66888">
      <w:pPr>
        <w:spacing w:after="0" w:line="240" w:lineRule="auto"/>
        <w:contextualSpacing/>
        <w:jc w:val="both"/>
        <w:rPr>
          <w:rFonts w:cs="Arial"/>
          <w:lang w:val="es-CO" w:eastAsia="es-CO"/>
        </w:rPr>
      </w:pPr>
    </w:p>
    <w:p w:rsidR="00086073" w:rsidRPr="00DB4109" w:rsidRDefault="00086073" w:rsidP="00B66888">
      <w:pPr>
        <w:pStyle w:val="Prrafodelista"/>
        <w:numPr>
          <w:ilvl w:val="1"/>
          <w:numId w:val="5"/>
        </w:numPr>
        <w:spacing w:after="0" w:line="240" w:lineRule="auto"/>
        <w:ind w:left="720"/>
        <w:contextualSpacing/>
        <w:jc w:val="both"/>
        <w:rPr>
          <w:rFonts w:cs="Arial"/>
          <w:lang w:val="es-CO" w:eastAsia="es-CO"/>
        </w:rPr>
      </w:pPr>
      <w:r w:rsidRPr="00DB4109">
        <w:rPr>
          <w:rFonts w:cs="Arial"/>
        </w:rPr>
        <w:t xml:space="preserve">Participar en la Comisión intersectorial de la Ley 1413 de 2010, creada mediante el Decreto 2490 de noviembre del 2013 para definir la forma de inclusión de la información sobre trabajo de hogar no remunerado en el Sistema de Cuentas Nacionales del DANE, con el fin de medir su contribución al desarrollo económico y social del país y como herramienta en la definición e implementación de políticas públicas.    </w:t>
      </w:r>
    </w:p>
    <w:p w:rsidR="00086073" w:rsidRPr="00DB4109" w:rsidRDefault="00086073" w:rsidP="00086073">
      <w:pPr>
        <w:spacing w:after="0" w:line="240" w:lineRule="auto"/>
        <w:contextualSpacing/>
        <w:jc w:val="both"/>
        <w:rPr>
          <w:rFonts w:cs="Arial"/>
          <w:lang w:val="es-CO" w:eastAsia="es-CO"/>
        </w:rPr>
      </w:pPr>
    </w:p>
    <w:p w:rsidR="00120C74" w:rsidRDefault="00086073" w:rsidP="00D712DC">
      <w:pPr>
        <w:pStyle w:val="Prrafodelista"/>
        <w:numPr>
          <w:ilvl w:val="0"/>
          <w:numId w:val="5"/>
        </w:numPr>
        <w:spacing w:after="0" w:line="240" w:lineRule="auto"/>
        <w:ind w:left="357" w:hanging="357"/>
        <w:contextualSpacing/>
        <w:jc w:val="both"/>
        <w:rPr>
          <w:rFonts w:cs="Arial"/>
        </w:rPr>
      </w:pPr>
      <w:r w:rsidRPr="00DB4109">
        <w:rPr>
          <w:rFonts w:cs="Arial"/>
          <w:b/>
        </w:rPr>
        <w:t>Gestión de política Rrom:</w:t>
      </w:r>
      <w:r w:rsidRPr="00DB4109">
        <w:rPr>
          <w:rFonts w:cs="Arial"/>
        </w:rPr>
        <w:t xml:space="preserve"> </w:t>
      </w:r>
    </w:p>
    <w:p w:rsidR="00120C74" w:rsidRDefault="00120C74" w:rsidP="00120C74">
      <w:pPr>
        <w:pStyle w:val="Prrafodelista"/>
        <w:spacing w:after="0" w:line="240" w:lineRule="auto"/>
        <w:ind w:left="357"/>
        <w:contextualSpacing/>
        <w:jc w:val="both"/>
        <w:rPr>
          <w:rFonts w:cs="Arial"/>
        </w:rPr>
      </w:pPr>
    </w:p>
    <w:p w:rsidR="00086073" w:rsidRDefault="00120C74" w:rsidP="00120C74">
      <w:pPr>
        <w:pStyle w:val="Prrafodelista"/>
        <w:spacing w:after="0" w:line="240" w:lineRule="auto"/>
        <w:ind w:left="357"/>
        <w:contextualSpacing/>
        <w:jc w:val="both"/>
        <w:rPr>
          <w:rFonts w:cs="Arial"/>
        </w:rPr>
      </w:pPr>
      <w:r>
        <w:rPr>
          <w:rFonts w:cs="Arial"/>
        </w:rPr>
        <w:t>L</w:t>
      </w:r>
      <w:r w:rsidR="00086073" w:rsidRPr="00DB4109">
        <w:rPr>
          <w:rFonts w:cs="Arial"/>
        </w:rPr>
        <w:t>a gestión de esta política se ha establecido en cuatro aspectos:</w:t>
      </w:r>
    </w:p>
    <w:p w:rsidR="00120C74" w:rsidRPr="00DB4109" w:rsidRDefault="00120C74" w:rsidP="00120C74">
      <w:pPr>
        <w:pStyle w:val="Prrafodelista"/>
        <w:spacing w:after="0" w:line="240" w:lineRule="auto"/>
        <w:ind w:left="357"/>
        <w:contextualSpacing/>
        <w:jc w:val="both"/>
        <w:rPr>
          <w:rFonts w:cs="Arial"/>
        </w:rPr>
      </w:pPr>
    </w:p>
    <w:p w:rsidR="00086073" w:rsidRDefault="00086073" w:rsidP="00B66888">
      <w:pPr>
        <w:pStyle w:val="Prrafodelista"/>
        <w:numPr>
          <w:ilvl w:val="1"/>
          <w:numId w:val="5"/>
        </w:numPr>
        <w:spacing w:after="0" w:line="240" w:lineRule="auto"/>
        <w:ind w:left="717"/>
        <w:contextualSpacing/>
        <w:jc w:val="both"/>
        <w:rPr>
          <w:rFonts w:cs="Arial"/>
        </w:rPr>
      </w:pPr>
      <w:r w:rsidRPr="00DB4109">
        <w:rPr>
          <w:rFonts w:cs="Arial"/>
        </w:rPr>
        <w:t>Concertar con el Pueblo Rrom el cumplimiento del compromiso No 43 del Plan Nacional de Desarrollo que establece “Dar continuidad al programa de Territorios Étnicos con Bienestar” para la atención de las familias Rrom, a partir de la Mesa de Concertación del 31 de marzo de 2016 entre delegados de las Kumpañy de Bogotá y la Dirección de Familias y Comunidades.</w:t>
      </w:r>
    </w:p>
    <w:p w:rsidR="00120C74" w:rsidRPr="00DB4109" w:rsidRDefault="00120C74" w:rsidP="00B66888">
      <w:pPr>
        <w:pStyle w:val="Prrafodelista"/>
        <w:spacing w:after="0" w:line="240" w:lineRule="auto"/>
        <w:ind w:left="717"/>
        <w:contextualSpacing/>
        <w:jc w:val="both"/>
        <w:rPr>
          <w:rFonts w:cs="Arial"/>
        </w:rPr>
      </w:pPr>
    </w:p>
    <w:p w:rsidR="00086073" w:rsidRDefault="00086073" w:rsidP="00B66888">
      <w:pPr>
        <w:pStyle w:val="Prrafodelista"/>
        <w:numPr>
          <w:ilvl w:val="1"/>
          <w:numId w:val="5"/>
        </w:numPr>
        <w:spacing w:after="0" w:line="240" w:lineRule="auto"/>
        <w:ind w:left="717"/>
        <w:contextualSpacing/>
        <w:jc w:val="both"/>
        <w:rPr>
          <w:rFonts w:cs="Arial"/>
        </w:rPr>
      </w:pPr>
      <w:r w:rsidRPr="00DB4109">
        <w:rPr>
          <w:rFonts w:cs="Arial"/>
        </w:rPr>
        <w:t>Participar en el proceso de diálogo con entidades del Estado para la construcción de un protocolo de c</w:t>
      </w:r>
      <w:r w:rsidR="00120C74">
        <w:rPr>
          <w:rFonts w:cs="Arial"/>
        </w:rPr>
        <w:t>oncertación con el Pueblo Rrom.</w:t>
      </w:r>
    </w:p>
    <w:p w:rsidR="00120C74" w:rsidRPr="00120C74" w:rsidRDefault="00120C74" w:rsidP="00B66888">
      <w:pPr>
        <w:spacing w:after="0" w:line="240" w:lineRule="auto"/>
        <w:contextualSpacing/>
        <w:jc w:val="both"/>
        <w:rPr>
          <w:rFonts w:cs="Arial"/>
        </w:rPr>
      </w:pPr>
    </w:p>
    <w:p w:rsidR="00086073" w:rsidRDefault="00086073" w:rsidP="00B66888">
      <w:pPr>
        <w:pStyle w:val="Prrafodelista"/>
        <w:numPr>
          <w:ilvl w:val="1"/>
          <w:numId w:val="5"/>
        </w:numPr>
        <w:spacing w:after="0" w:line="240" w:lineRule="auto"/>
        <w:ind w:left="717"/>
        <w:contextualSpacing/>
        <w:jc w:val="both"/>
        <w:rPr>
          <w:rFonts w:cs="Arial"/>
        </w:rPr>
      </w:pPr>
      <w:r w:rsidRPr="00DB4109">
        <w:rPr>
          <w:rFonts w:cs="Arial"/>
        </w:rPr>
        <w:t>Promover la construcción y discusión interna para la implementación de la oferta a las Familias Rrom a través de la modalidad Territorios Étnicos con Bienestar.</w:t>
      </w:r>
    </w:p>
    <w:p w:rsidR="00120C74" w:rsidRPr="00120C74" w:rsidRDefault="00120C74" w:rsidP="00B66888">
      <w:pPr>
        <w:spacing w:after="0" w:line="240" w:lineRule="auto"/>
        <w:contextualSpacing/>
        <w:jc w:val="both"/>
        <w:rPr>
          <w:rFonts w:cs="Arial"/>
        </w:rPr>
      </w:pPr>
    </w:p>
    <w:p w:rsidR="00086073" w:rsidRPr="00DB4109" w:rsidRDefault="00086073" w:rsidP="00B66888">
      <w:pPr>
        <w:pStyle w:val="Prrafodelista"/>
        <w:numPr>
          <w:ilvl w:val="1"/>
          <w:numId w:val="5"/>
        </w:numPr>
        <w:spacing w:after="0" w:line="240" w:lineRule="auto"/>
        <w:ind w:left="717"/>
        <w:contextualSpacing/>
        <w:jc w:val="both"/>
        <w:rPr>
          <w:rFonts w:cs="Arial"/>
        </w:rPr>
      </w:pPr>
      <w:r w:rsidRPr="00DB4109">
        <w:rPr>
          <w:rFonts w:cs="Arial"/>
        </w:rPr>
        <w:t xml:space="preserve">Construir análisis y comprensiones derivadas de la revisión de fuentes documentales sobre Familia Rrom en Colombia y del Censo Rrom elaborado por el Ministerio del Interior.  </w:t>
      </w:r>
    </w:p>
    <w:p w:rsidR="00086073" w:rsidRPr="00DB4109" w:rsidRDefault="00086073" w:rsidP="00086073">
      <w:pPr>
        <w:spacing w:after="0" w:line="240" w:lineRule="auto"/>
        <w:ind w:left="720"/>
        <w:jc w:val="both"/>
        <w:rPr>
          <w:rFonts w:cs="Arial"/>
        </w:rPr>
      </w:pPr>
    </w:p>
    <w:p w:rsidR="00086073" w:rsidRDefault="00086073" w:rsidP="00D712DC">
      <w:pPr>
        <w:pStyle w:val="Prrafodelista"/>
        <w:numPr>
          <w:ilvl w:val="0"/>
          <w:numId w:val="5"/>
        </w:numPr>
        <w:spacing w:after="0" w:line="240" w:lineRule="auto"/>
        <w:ind w:left="357" w:hanging="357"/>
        <w:contextualSpacing/>
        <w:jc w:val="both"/>
        <w:rPr>
          <w:rFonts w:cs="Arial"/>
        </w:rPr>
      </w:pPr>
      <w:r w:rsidRPr="00DB4109">
        <w:rPr>
          <w:rFonts w:cs="Arial"/>
          <w:b/>
        </w:rPr>
        <w:t>Política Pública Afrocolombiana, Negra, Palenquera y Raizal:</w:t>
      </w:r>
    </w:p>
    <w:p w:rsidR="007D54C7" w:rsidRPr="00DB4109" w:rsidRDefault="007D54C7" w:rsidP="007D54C7">
      <w:pPr>
        <w:pStyle w:val="Prrafodelista"/>
        <w:spacing w:after="0" w:line="240" w:lineRule="auto"/>
        <w:ind w:left="357"/>
        <w:contextualSpacing/>
        <w:jc w:val="both"/>
        <w:rPr>
          <w:rFonts w:cs="Arial"/>
        </w:rPr>
      </w:pPr>
    </w:p>
    <w:p w:rsidR="00086073" w:rsidRDefault="00086073" w:rsidP="00B66888">
      <w:pPr>
        <w:pStyle w:val="Prrafodelista"/>
        <w:numPr>
          <w:ilvl w:val="1"/>
          <w:numId w:val="5"/>
        </w:numPr>
        <w:spacing w:after="0" w:line="240" w:lineRule="auto"/>
        <w:ind w:left="717"/>
        <w:contextualSpacing/>
        <w:jc w:val="both"/>
        <w:rPr>
          <w:rFonts w:cs="Arial"/>
        </w:rPr>
      </w:pPr>
      <w:r w:rsidRPr="00DB4109">
        <w:rPr>
          <w:rFonts w:cs="Arial"/>
        </w:rPr>
        <w:t>Realizar la relatoría y sistematización de las discusiones planteadas en la Mesa de seguimiento a la implementación de la política pública de niñez y adolescencia Afro, Negra, Raizal y Palenquera, con el objetivo de revisar, discutir y analizar los objetivos, alcances y funciones de este escenario, de modo que sea una instancia de desarrollo técnico que responda a los retos identificados.</w:t>
      </w:r>
    </w:p>
    <w:p w:rsidR="007D54C7" w:rsidRPr="00DB4109" w:rsidRDefault="007D54C7" w:rsidP="00B66888">
      <w:pPr>
        <w:pStyle w:val="Prrafodelista"/>
        <w:spacing w:after="0" w:line="240" w:lineRule="auto"/>
        <w:ind w:left="717"/>
        <w:contextualSpacing/>
        <w:jc w:val="both"/>
        <w:rPr>
          <w:rFonts w:cs="Arial"/>
        </w:rPr>
      </w:pPr>
    </w:p>
    <w:p w:rsidR="00086073" w:rsidRPr="00DB4109" w:rsidRDefault="00086073" w:rsidP="00B66888">
      <w:pPr>
        <w:pStyle w:val="Prrafodelista"/>
        <w:numPr>
          <w:ilvl w:val="1"/>
          <w:numId w:val="5"/>
        </w:numPr>
        <w:spacing w:after="0" w:line="240" w:lineRule="auto"/>
        <w:ind w:left="717"/>
        <w:contextualSpacing/>
        <w:jc w:val="both"/>
        <w:rPr>
          <w:rFonts w:cs="Arial"/>
        </w:rPr>
      </w:pPr>
      <w:r w:rsidRPr="00DB4109">
        <w:rPr>
          <w:rFonts w:cs="Arial"/>
        </w:rPr>
        <w:t>Participar en la reunión preparatoria para el encuentro de las entidades que hacen parte del SNARIV y aliados estratégicos que movilizan la implementación de los Decretos Ley Étnicos, denominado SNARIV ÉTNICO, que tuvo como objetivo lograr acciones dirigidas a articular e implementar la política pública y garantizar el goce efectivo de derechos de las víctimas bajo esta normativa.</w:t>
      </w:r>
    </w:p>
    <w:p w:rsidR="00086073" w:rsidRPr="00DB4109" w:rsidRDefault="00086073" w:rsidP="00086073">
      <w:pPr>
        <w:pStyle w:val="Prrafodelista"/>
        <w:spacing w:after="0" w:line="240" w:lineRule="auto"/>
        <w:ind w:left="1080"/>
        <w:jc w:val="both"/>
        <w:rPr>
          <w:rFonts w:cs="Arial"/>
        </w:rPr>
      </w:pPr>
    </w:p>
    <w:p w:rsidR="00086073" w:rsidRPr="007D54C7" w:rsidRDefault="00086073" w:rsidP="00D712DC">
      <w:pPr>
        <w:pStyle w:val="Prrafodelista"/>
        <w:numPr>
          <w:ilvl w:val="0"/>
          <w:numId w:val="5"/>
        </w:numPr>
        <w:spacing w:after="0" w:line="240" w:lineRule="auto"/>
        <w:contextualSpacing/>
        <w:jc w:val="both"/>
        <w:rPr>
          <w:rFonts w:cs="Arial"/>
          <w:lang w:val="es-CO" w:eastAsia="es-CO"/>
        </w:rPr>
      </w:pPr>
      <w:r w:rsidRPr="00DB4109">
        <w:rPr>
          <w:rFonts w:cs="Arial"/>
          <w:b/>
        </w:rPr>
        <w:t>Gestión de Política Pública para la Convivencia Escolar:</w:t>
      </w:r>
    </w:p>
    <w:p w:rsidR="007D54C7" w:rsidRPr="00DB4109" w:rsidRDefault="007D54C7" w:rsidP="007D54C7">
      <w:pPr>
        <w:pStyle w:val="Prrafodelista"/>
        <w:spacing w:after="0" w:line="240" w:lineRule="auto"/>
        <w:ind w:left="360"/>
        <w:contextualSpacing/>
        <w:jc w:val="both"/>
        <w:rPr>
          <w:rFonts w:cs="Arial"/>
          <w:lang w:val="es-CO" w:eastAsia="es-CO"/>
        </w:rPr>
      </w:pPr>
    </w:p>
    <w:p w:rsidR="00086073" w:rsidRPr="007D54C7" w:rsidRDefault="00086073" w:rsidP="00B66888">
      <w:pPr>
        <w:pStyle w:val="Prrafodelista"/>
        <w:numPr>
          <w:ilvl w:val="1"/>
          <w:numId w:val="5"/>
        </w:numPr>
        <w:spacing w:after="0" w:line="240" w:lineRule="auto"/>
        <w:ind w:left="720"/>
        <w:contextualSpacing/>
        <w:jc w:val="both"/>
        <w:rPr>
          <w:rFonts w:cs="Arial"/>
          <w:lang w:val="es-CO" w:eastAsia="es-CO"/>
        </w:rPr>
      </w:pPr>
      <w:r w:rsidRPr="00DB4109">
        <w:rPr>
          <w:rFonts w:cs="Arial"/>
        </w:rPr>
        <w:lastRenderedPageBreak/>
        <w:t>Aportar insumos para el diseño de un plan de acción interinstitucional con el objetivo de priorizar los temas a ser trabajados, brindar lineamientos para la creación e implementación de la ruta de atención integral con sus componentes (promoción, prevención, atención, seguimiento), teniendo en cuenta las competenc</w:t>
      </w:r>
      <w:r w:rsidR="007D54C7">
        <w:rPr>
          <w:rFonts w:cs="Arial"/>
        </w:rPr>
        <w:t>ias de los miembros del Comité.</w:t>
      </w:r>
    </w:p>
    <w:p w:rsidR="007D54C7" w:rsidRPr="00DB4109" w:rsidRDefault="007D54C7" w:rsidP="00B66888">
      <w:pPr>
        <w:pStyle w:val="Prrafodelista"/>
        <w:spacing w:after="0" w:line="240" w:lineRule="auto"/>
        <w:ind w:left="720"/>
        <w:contextualSpacing/>
        <w:jc w:val="both"/>
        <w:rPr>
          <w:rFonts w:cs="Arial"/>
          <w:lang w:val="es-CO" w:eastAsia="es-CO"/>
        </w:rPr>
      </w:pPr>
    </w:p>
    <w:p w:rsidR="00086073" w:rsidRPr="00DB4109" w:rsidRDefault="00086073" w:rsidP="00B66888">
      <w:pPr>
        <w:pStyle w:val="Prrafodelista"/>
        <w:numPr>
          <w:ilvl w:val="1"/>
          <w:numId w:val="5"/>
        </w:numPr>
        <w:spacing w:after="0" w:line="240" w:lineRule="auto"/>
        <w:ind w:left="720"/>
        <w:contextualSpacing/>
        <w:jc w:val="both"/>
        <w:rPr>
          <w:rFonts w:cs="Arial"/>
          <w:lang w:val="es-CO" w:eastAsia="es-CO"/>
        </w:rPr>
      </w:pPr>
      <w:r w:rsidRPr="00DB4109">
        <w:rPr>
          <w:rFonts w:cs="Arial"/>
        </w:rPr>
        <w:t>Aportar técnica y conceptualmente a los documentos: Ruta Integral para la Convivencia Escolar, Violencias en la Escuela, y diseño y ejecución de la Estrategia Construyendo Juntos Entonces Protectores.</w:t>
      </w:r>
    </w:p>
    <w:p w:rsidR="00086073" w:rsidRPr="00DB4109" w:rsidRDefault="00086073" w:rsidP="00086073">
      <w:pPr>
        <w:pStyle w:val="Prrafodelista"/>
        <w:spacing w:after="0" w:line="240" w:lineRule="auto"/>
        <w:ind w:left="1080"/>
        <w:jc w:val="both"/>
        <w:rPr>
          <w:rFonts w:cs="Arial"/>
          <w:lang w:val="es-CO" w:eastAsia="es-CO"/>
        </w:rPr>
      </w:pPr>
    </w:p>
    <w:p w:rsidR="00086073" w:rsidRDefault="00086073" w:rsidP="00D712DC">
      <w:pPr>
        <w:pStyle w:val="Prrafodelista"/>
        <w:numPr>
          <w:ilvl w:val="0"/>
          <w:numId w:val="5"/>
        </w:numPr>
        <w:spacing w:after="0" w:line="240" w:lineRule="auto"/>
        <w:contextualSpacing/>
        <w:jc w:val="both"/>
        <w:rPr>
          <w:rFonts w:cs="Arial"/>
        </w:rPr>
      </w:pPr>
      <w:r w:rsidRPr="00DB4109">
        <w:rPr>
          <w:rFonts w:cs="Arial"/>
          <w:b/>
        </w:rPr>
        <w:t>Política Pública en temas de Ruralidad:</w:t>
      </w:r>
    </w:p>
    <w:p w:rsidR="00682648" w:rsidRPr="00DB4109" w:rsidRDefault="00682648" w:rsidP="00682648">
      <w:pPr>
        <w:pStyle w:val="Prrafodelista"/>
        <w:spacing w:after="0" w:line="240" w:lineRule="auto"/>
        <w:ind w:left="360"/>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rPr>
        <w:t>Generar aportes para la construcción de indicadores frente a la ruralidad desde la Conferencia Regional sobre Población y Desarrollo de la CEPAL.</w:t>
      </w:r>
    </w:p>
    <w:p w:rsidR="00682648" w:rsidRPr="00DB4109" w:rsidRDefault="00682648" w:rsidP="00B66888">
      <w:pPr>
        <w:pStyle w:val="Prrafodelista"/>
        <w:spacing w:after="0" w:line="240" w:lineRule="auto"/>
        <w:ind w:left="720"/>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rPr>
        <w:t>Participar en la mesa de diálogo con un representante del programa de Educación Inicial de la ruralidad del Ministerio de Educación</w:t>
      </w:r>
      <w:r w:rsidR="00682648">
        <w:rPr>
          <w:rFonts w:cs="Arial"/>
        </w:rPr>
        <w:t>.</w:t>
      </w:r>
    </w:p>
    <w:p w:rsidR="00682648" w:rsidRPr="00682648" w:rsidRDefault="00682648" w:rsidP="00B66888">
      <w:pPr>
        <w:spacing w:after="0" w:line="240" w:lineRule="auto"/>
        <w:contextualSpacing/>
        <w:jc w:val="both"/>
        <w:rPr>
          <w:rFonts w:cs="Arial"/>
        </w:rPr>
      </w:pPr>
    </w:p>
    <w:p w:rsidR="00086073" w:rsidRPr="00DB4109" w:rsidRDefault="00086073" w:rsidP="00B66888">
      <w:pPr>
        <w:pStyle w:val="Prrafodelista"/>
        <w:numPr>
          <w:ilvl w:val="1"/>
          <w:numId w:val="5"/>
        </w:numPr>
        <w:spacing w:after="0" w:line="240" w:lineRule="auto"/>
        <w:ind w:left="720"/>
        <w:contextualSpacing/>
        <w:jc w:val="both"/>
        <w:rPr>
          <w:rFonts w:cs="Arial"/>
        </w:rPr>
      </w:pPr>
      <w:r w:rsidRPr="00DB4109">
        <w:rPr>
          <w:rFonts w:cs="Arial"/>
        </w:rPr>
        <w:t xml:space="preserve">Asistir a dos encuentros de la Mesa de Ruralidad con el propósito de construir una ruta integral de atención para el proyecto "Promoción de la Protección Integral en NNA en la ruralidad dispersa" de Trust. </w:t>
      </w:r>
    </w:p>
    <w:p w:rsidR="00086073" w:rsidRDefault="00086073" w:rsidP="00086073">
      <w:pPr>
        <w:pStyle w:val="Prrafodelista"/>
        <w:spacing w:after="0" w:line="240" w:lineRule="auto"/>
        <w:ind w:left="1080"/>
        <w:jc w:val="both"/>
        <w:rPr>
          <w:rFonts w:cs="Arial"/>
        </w:rPr>
      </w:pPr>
    </w:p>
    <w:p w:rsidR="00086073" w:rsidRDefault="00086073" w:rsidP="00D712DC">
      <w:pPr>
        <w:pStyle w:val="Prrafodelista"/>
        <w:numPr>
          <w:ilvl w:val="0"/>
          <w:numId w:val="5"/>
        </w:numPr>
        <w:spacing w:after="0" w:line="240" w:lineRule="auto"/>
        <w:contextualSpacing/>
        <w:jc w:val="both"/>
        <w:rPr>
          <w:rFonts w:cs="Arial"/>
        </w:rPr>
      </w:pPr>
      <w:r w:rsidRPr="00DB4109">
        <w:rPr>
          <w:rFonts w:cs="Arial"/>
          <w:b/>
        </w:rPr>
        <w:t>Política Colombiana de Envejecimiento Humano y Vejez:</w:t>
      </w:r>
    </w:p>
    <w:p w:rsidR="00682648" w:rsidRPr="00DB4109" w:rsidRDefault="00682648" w:rsidP="00682648">
      <w:pPr>
        <w:pStyle w:val="Prrafodelista"/>
        <w:spacing w:after="0" w:line="240" w:lineRule="auto"/>
        <w:ind w:left="360"/>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lang w:eastAsia="es-CO"/>
        </w:rPr>
        <w:t xml:space="preserve">Participar en la sesión No. 46 del </w:t>
      </w:r>
      <w:r w:rsidRPr="00DB4109">
        <w:rPr>
          <w:rFonts w:cs="Arial"/>
        </w:rPr>
        <w:t xml:space="preserve">Encuentro Nación Territorio sobre Envejecimiento Humano y Vejez, en el cual el Ministerio de Salud realizó la presentación de los resultados preliminares de la Encuesta SABE “Salud, Bienestar y Envejecimiento” y se abordaron “los procesos educativos a lo largo </w:t>
      </w:r>
      <w:r w:rsidR="00682648">
        <w:rPr>
          <w:rFonts w:cs="Arial"/>
        </w:rPr>
        <w:t>de la vida y durante la vejez”.</w:t>
      </w:r>
    </w:p>
    <w:p w:rsidR="00682648" w:rsidRPr="00DB4109" w:rsidRDefault="00682648" w:rsidP="00B66888">
      <w:pPr>
        <w:pStyle w:val="Prrafodelista"/>
        <w:spacing w:after="0" w:line="240" w:lineRule="auto"/>
        <w:ind w:left="720"/>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rPr>
        <w:t>Asistir a la Mesa Nacional de Envejecimiento Humano y Vejez.</w:t>
      </w:r>
    </w:p>
    <w:p w:rsidR="00682648" w:rsidRPr="00682648" w:rsidRDefault="00682648" w:rsidP="00B66888">
      <w:pPr>
        <w:spacing w:after="0" w:line="240" w:lineRule="auto"/>
        <w:contextualSpacing/>
        <w:jc w:val="both"/>
        <w:rPr>
          <w:rFonts w:cs="Arial"/>
        </w:rPr>
      </w:pPr>
    </w:p>
    <w:p w:rsidR="00086073" w:rsidRPr="00DB4109" w:rsidRDefault="00086073" w:rsidP="00B66888">
      <w:pPr>
        <w:pStyle w:val="Prrafodelista"/>
        <w:numPr>
          <w:ilvl w:val="1"/>
          <w:numId w:val="5"/>
        </w:numPr>
        <w:spacing w:after="0" w:line="240" w:lineRule="auto"/>
        <w:ind w:left="720"/>
        <w:contextualSpacing/>
        <w:jc w:val="both"/>
        <w:rPr>
          <w:rFonts w:cs="Arial"/>
        </w:rPr>
      </w:pPr>
      <w:r w:rsidRPr="00DB4109">
        <w:rPr>
          <w:rFonts w:cs="Arial"/>
        </w:rPr>
        <w:t xml:space="preserve">Solicitar (mediante memorando No. I-2016-091864-0101)  a la Dirección del Sistema Nacional de Bienestar Familiar, que en el marco de las competencias lidere el pronunciamiento oficial en lo que concierne a la Política, así como también se adelanten acciones a nivel intersectorial para la revisión de las responsabilidades que se vienen concertando en el documento de Política. En este marco, el Ministerio de Salud y Protección Social programó el desarrollo de los Encuentros Territoriales para la socialización de la Política y la formulación del Plan de Acción </w:t>
      </w:r>
      <w:r w:rsidRPr="00DB4109">
        <w:rPr>
          <w:rFonts w:cs="Arial"/>
          <w:lang w:val="es-MX"/>
        </w:rPr>
        <w:t xml:space="preserve">en las ciudades de Montería, Bucaramanga, Pereira, Popayán y Bogotá, con el fin de promover </w:t>
      </w:r>
      <w:r w:rsidRPr="00DB4109">
        <w:rPr>
          <w:rFonts w:cs="Arial"/>
        </w:rPr>
        <w:t>la implementación en los territorios.</w:t>
      </w:r>
    </w:p>
    <w:p w:rsidR="00086073" w:rsidRPr="00DB4109" w:rsidRDefault="00086073" w:rsidP="00086073">
      <w:pPr>
        <w:pStyle w:val="Prrafodelista"/>
        <w:spacing w:after="0" w:line="240" w:lineRule="auto"/>
        <w:ind w:left="1080"/>
        <w:jc w:val="both"/>
        <w:rPr>
          <w:rFonts w:cs="Arial"/>
        </w:rPr>
      </w:pPr>
    </w:p>
    <w:p w:rsidR="00086073" w:rsidRDefault="00086073" w:rsidP="00D712DC">
      <w:pPr>
        <w:pStyle w:val="Prrafodelista"/>
        <w:widowControl w:val="0"/>
        <w:numPr>
          <w:ilvl w:val="0"/>
          <w:numId w:val="5"/>
        </w:numPr>
        <w:autoSpaceDE w:val="0"/>
        <w:autoSpaceDN w:val="0"/>
        <w:adjustRightInd w:val="0"/>
        <w:spacing w:after="0" w:line="240" w:lineRule="auto"/>
        <w:contextualSpacing/>
        <w:jc w:val="both"/>
        <w:rPr>
          <w:rFonts w:cs="Arial"/>
        </w:rPr>
      </w:pPr>
      <w:r w:rsidRPr="00DB4109">
        <w:rPr>
          <w:rFonts w:cs="Arial"/>
          <w:b/>
        </w:rPr>
        <w:t>Política de Equidad de Género:</w:t>
      </w:r>
    </w:p>
    <w:p w:rsidR="00682648" w:rsidRPr="00DB4109" w:rsidRDefault="00682648" w:rsidP="00682648">
      <w:pPr>
        <w:pStyle w:val="Prrafodelista"/>
        <w:widowControl w:val="0"/>
        <w:autoSpaceDE w:val="0"/>
        <w:autoSpaceDN w:val="0"/>
        <w:adjustRightInd w:val="0"/>
        <w:spacing w:after="0" w:line="240" w:lineRule="auto"/>
        <w:ind w:left="360"/>
        <w:contextualSpacing/>
        <w:jc w:val="both"/>
        <w:rPr>
          <w:rFonts w:cs="Arial"/>
        </w:rPr>
      </w:pPr>
    </w:p>
    <w:p w:rsidR="00086073" w:rsidRDefault="00086073" w:rsidP="00B66888">
      <w:pPr>
        <w:pStyle w:val="Prrafodelista"/>
        <w:widowControl w:val="0"/>
        <w:numPr>
          <w:ilvl w:val="1"/>
          <w:numId w:val="5"/>
        </w:numPr>
        <w:autoSpaceDE w:val="0"/>
        <w:autoSpaceDN w:val="0"/>
        <w:adjustRightInd w:val="0"/>
        <w:spacing w:after="0" w:line="240" w:lineRule="auto"/>
        <w:ind w:left="720"/>
        <w:contextualSpacing/>
        <w:jc w:val="both"/>
        <w:rPr>
          <w:rFonts w:cs="Arial"/>
        </w:rPr>
      </w:pPr>
      <w:r w:rsidRPr="00DB4109">
        <w:rPr>
          <w:rFonts w:cs="Arial"/>
        </w:rPr>
        <w:t>Construir, en el marco de la mesa de género del ICBF, el plan de acción para atender los lineamientos de género del sector de la prosperidad social</w:t>
      </w:r>
      <w:r w:rsidR="00682648">
        <w:rPr>
          <w:rFonts w:cs="Arial"/>
        </w:rPr>
        <w:t>.</w:t>
      </w:r>
    </w:p>
    <w:p w:rsidR="00682648" w:rsidRPr="00DB4109" w:rsidRDefault="00682648" w:rsidP="00B66888">
      <w:pPr>
        <w:pStyle w:val="Prrafodelista"/>
        <w:widowControl w:val="0"/>
        <w:autoSpaceDE w:val="0"/>
        <w:autoSpaceDN w:val="0"/>
        <w:adjustRightInd w:val="0"/>
        <w:spacing w:after="0" w:line="240" w:lineRule="auto"/>
        <w:ind w:left="720"/>
        <w:contextualSpacing/>
        <w:jc w:val="both"/>
        <w:rPr>
          <w:rFonts w:cs="Arial"/>
        </w:rPr>
      </w:pPr>
    </w:p>
    <w:p w:rsidR="00086073" w:rsidRDefault="00086073" w:rsidP="00B66888">
      <w:pPr>
        <w:pStyle w:val="Prrafodelista"/>
        <w:widowControl w:val="0"/>
        <w:numPr>
          <w:ilvl w:val="1"/>
          <w:numId w:val="5"/>
        </w:numPr>
        <w:autoSpaceDE w:val="0"/>
        <w:autoSpaceDN w:val="0"/>
        <w:adjustRightInd w:val="0"/>
        <w:spacing w:after="0" w:line="240" w:lineRule="auto"/>
        <w:ind w:left="720"/>
        <w:contextualSpacing/>
        <w:jc w:val="both"/>
        <w:rPr>
          <w:rFonts w:cs="Arial"/>
        </w:rPr>
      </w:pPr>
      <w:r w:rsidRPr="00DB4109">
        <w:rPr>
          <w:rFonts w:cs="Arial"/>
        </w:rPr>
        <w:lastRenderedPageBreak/>
        <w:t>Construir con el concurso de las  diferentes Direcciones del ICBF y la Subdirección General, el plan de acción para implementar el Modelo de Enfoque Diferencial de Derechos. Los compromisos en el marco del plan de acción para desarrollar los lineamientos de género del sector de la inclusión social, se fundamentaron en la socialización de las herramientas pedagógicas desarrolladas para la promoción de masculinidades no violentas y de iden</w:t>
      </w:r>
      <w:r w:rsidR="00682648">
        <w:rPr>
          <w:rFonts w:cs="Arial"/>
        </w:rPr>
        <w:t>tidades de género no violentas.</w:t>
      </w:r>
    </w:p>
    <w:p w:rsidR="00682648" w:rsidRPr="00682648" w:rsidRDefault="00682648" w:rsidP="00B66888">
      <w:pPr>
        <w:widowControl w:val="0"/>
        <w:autoSpaceDE w:val="0"/>
        <w:autoSpaceDN w:val="0"/>
        <w:adjustRightInd w:val="0"/>
        <w:spacing w:after="0" w:line="240" w:lineRule="auto"/>
        <w:contextualSpacing/>
        <w:jc w:val="both"/>
        <w:rPr>
          <w:rFonts w:cs="Arial"/>
        </w:rPr>
      </w:pPr>
    </w:p>
    <w:p w:rsidR="00086073" w:rsidRPr="00DB4109" w:rsidRDefault="00086073" w:rsidP="00B66888">
      <w:pPr>
        <w:pStyle w:val="Prrafodelista"/>
        <w:widowControl w:val="0"/>
        <w:numPr>
          <w:ilvl w:val="1"/>
          <w:numId w:val="5"/>
        </w:numPr>
        <w:autoSpaceDE w:val="0"/>
        <w:autoSpaceDN w:val="0"/>
        <w:adjustRightInd w:val="0"/>
        <w:spacing w:after="0" w:line="240" w:lineRule="auto"/>
        <w:ind w:left="720"/>
        <w:contextualSpacing/>
        <w:jc w:val="both"/>
        <w:rPr>
          <w:rFonts w:cs="Arial"/>
        </w:rPr>
      </w:pPr>
      <w:r w:rsidRPr="00DB4109">
        <w:rPr>
          <w:rFonts w:cs="Arial"/>
        </w:rPr>
        <w:t>Desarrollar sensibilizaciones con la mesa de seguridad alimentaria de la CISAN y con el comité técnico de la CISAN, el Ministerio de Salud y el Ejército Nacional.</w:t>
      </w:r>
    </w:p>
    <w:p w:rsidR="00086073" w:rsidRPr="00DB4109" w:rsidRDefault="00086073" w:rsidP="00086073">
      <w:pPr>
        <w:pStyle w:val="Prrafodelista"/>
        <w:widowControl w:val="0"/>
        <w:autoSpaceDE w:val="0"/>
        <w:autoSpaceDN w:val="0"/>
        <w:adjustRightInd w:val="0"/>
        <w:spacing w:after="0" w:line="240" w:lineRule="auto"/>
        <w:ind w:left="1080"/>
        <w:jc w:val="both"/>
        <w:rPr>
          <w:rFonts w:cs="Arial"/>
        </w:rPr>
      </w:pPr>
    </w:p>
    <w:p w:rsidR="00086073" w:rsidRDefault="00086073" w:rsidP="00D712DC">
      <w:pPr>
        <w:pStyle w:val="Prrafodelista"/>
        <w:numPr>
          <w:ilvl w:val="0"/>
          <w:numId w:val="5"/>
        </w:numPr>
        <w:spacing w:after="0" w:line="240" w:lineRule="auto"/>
        <w:contextualSpacing/>
        <w:jc w:val="both"/>
        <w:rPr>
          <w:rFonts w:cs="Arial"/>
        </w:rPr>
      </w:pPr>
      <w:r w:rsidRPr="00DB4109">
        <w:rPr>
          <w:rFonts w:cs="Arial"/>
          <w:b/>
        </w:rPr>
        <w:t>Política Nacional de Infancia y Adolescencia:</w:t>
      </w:r>
    </w:p>
    <w:p w:rsidR="00682648" w:rsidRPr="00DB4109" w:rsidRDefault="00682648" w:rsidP="00682648">
      <w:pPr>
        <w:pStyle w:val="Prrafodelista"/>
        <w:spacing w:after="0" w:line="240" w:lineRule="auto"/>
        <w:ind w:left="360"/>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rPr>
        <w:t>Acompañar el proceso de ejecución del Convenio de Asociación 1482 de 2016, suscrito con la Corporación Somos Más con el objeto de: “</w:t>
      </w:r>
      <w:r w:rsidRPr="00DB4109">
        <w:rPr>
          <w:rFonts w:cs="Arial"/>
          <w:i/>
        </w:rPr>
        <w:t>Aunar esfuerzos administrativos, técnicos y financieros con el fin de desarrollar espacios de participación y deliberación pública que aporten a la formulación de la Política Nacional para la Infancia y la Adolescencia, con los agentes e instancias nacionales del Sistema Nacional de Bienestar Familiar y la comunidad en general, que aporten a la formulación de la Política Nacional para la Infancia y la Adolescencia</w:t>
      </w:r>
      <w:r w:rsidRPr="00DB4109">
        <w:rPr>
          <w:rFonts w:cs="Arial"/>
        </w:rPr>
        <w:t>”.</w:t>
      </w:r>
    </w:p>
    <w:p w:rsidR="00682648" w:rsidRPr="00DB4109" w:rsidRDefault="00682648" w:rsidP="00B66888">
      <w:pPr>
        <w:pStyle w:val="Prrafodelista"/>
        <w:spacing w:after="0" w:line="240" w:lineRule="auto"/>
        <w:ind w:left="720"/>
        <w:contextualSpacing/>
        <w:jc w:val="both"/>
        <w:rPr>
          <w:rFonts w:cs="Arial"/>
        </w:rPr>
      </w:pPr>
    </w:p>
    <w:p w:rsidR="00086073" w:rsidRPr="00682648" w:rsidRDefault="00086073" w:rsidP="00B66888">
      <w:pPr>
        <w:pStyle w:val="Prrafodelista"/>
        <w:numPr>
          <w:ilvl w:val="1"/>
          <w:numId w:val="5"/>
        </w:numPr>
        <w:spacing w:after="0" w:line="240" w:lineRule="auto"/>
        <w:ind w:left="720"/>
        <w:contextualSpacing/>
        <w:jc w:val="both"/>
        <w:rPr>
          <w:rFonts w:cs="Arial"/>
        </w:rPr>
      </w:pPr>
      <w:r w:rsidRPr="00DB4109">
        <w:rPr>
          <w:rFonts w:cs="Arial"/>
        </w:rPr>
        <w:t xml:space="preserve">Apoyar técnicamente el ejercicio del Diálogo Social – Consulta con Enfoque Diferencial, con niños, niñas, adolescentes y familias, en el marco de la construcción de la Política Pública Nacional de Infancia y Adolescencia - PNIA, en los municipios de </w:t>
      </w:r>
      <w:r w:rsidRPr="00DB4109">
        <w:rPr>
          <w:rFonts w:cs="Arial"/>
          <w:bCs/>
        </w:rPr>
        <w:t>Medellín, Bucaramanga, Tumaco, San Andrés, San Basilio de Palenque.</w:t>
      </w:r>
    </w:p>
    <w:p w:rsidR="00682648" w:rsidRPr="00682648" w:rsidRDefault="00682648" w:rsidP="00B66888">
      <w:pPr>
        <w:spacing w:after="0" w:line="240" w:lineRule="auto"/>
        <w:contextualSpacing/>
        <w:jc w:val="both"/>
        <w:rPr>
          <w:rFonts w:cs="Arial"/>
        </w:rPr>
      </w:pPr>
    </w:p>
    <w:p w:rsidR="00086073" w:rsidRDefault="00086073" w:rsidP="00B66888">
      <w:pPr>
        <w:pStyle w:val="Prrafodelista"/>
        <w:numPr>
          <w:ilvl w:val="1"/>
          <w:numId w:val="5"/>
        </w:numPr>
        <w:spacing w:after="0" w:line="240" w:lineRule="auto"/>
        <w:ind w:left="720"/>
        <w:contextualSpacing/>
        <w:jc w:val="both"/>
        <w:rPr>
          <w:rFonts w:cs="Arial"/>
        </w:rPr>
      </w:pPr>
      <w:r w:rsidRPr="00DB4109">
        <w:rPr>
          <w:rFonts w:cs="Arial"/>
        </w:rPr>
        <w:t xml:space="preserve">Realizar capacitaciones con la jefatura de acción integral y la jefatura de familias del Ejército Nacional, así como con el personal de la Policía de Infancia y Adolescencia de las distintas zonas del país. </w:t>
      </w:r>
    </w:p>
    <w:p w:rsidR="00201618" w:rsidRPr="00201618" w:rsidRDefault="00201618" w:rsidP="00201618">
      <w:pPr>
        <w:spacing w:after="0" w:line="240" w:lineRule="auto"/>
        <w:contextualSpacing/>
        <w:jc w:val="both"/>
        <w:rPr>
          <w:rFonts w:cs="Arial"/>
        </w:rPr>
      </w:pPr>
    </w:p>
    <w:p w:rsidR="00086073" w:rsidRDefault="00086073" w:rsidP="00086073">
      <w:pPr>
        <w:spacing w:after="0" w:line="240" w:lineRule="auto"/>
        <w:jc w:val="both"/>
        <w:rPr>
          <w:rFonts w:cs="Arial"/>
        </w:rPr>
      </w:pPr>
    </w:p>
    <w:p w:rsidR="00165C6B" w:rsidRPr="00B66888" w:rsidRDefault="00165C6B" w:rsidP="007342CF">
      <w:pPr>
        <w:pStyle w:val="Prrafodelista"/>
        <w:keepNext/>
        <w:keepLines/>
        <w:numPr>
          <w:ilvl w:val="2"/>
          <w:numId w:val="242"/>
        </w:numPr>
        <w:spacing w:after="0" w:line="240" w:lineRule="auto"/>
        <w:outlineLvl w:val="1"/>
        <w:rPr>
          <w:rFonts w:eastAsiaTheme="majorEastAsia" w:cs="Arial"/>
          <w:b/>
        </w:rPr>
      </w:pPr>
      <w:bookmarkStart w:id="65" w:name="_Toc473581416"/>
      <w:r w:rsidRPr="00B66888">
        <w:rPr>
          <w:rFonts w:eastAsia="Times New Roman" w:cs="Arial"/>
          <w:b/>
          <w:bCs/>
          <w:kern w:val="32"/>
        </w:rPr>
        <w:t>Atención a Familias y Comunidades Atención a Familias y Comunidades</w:t>
      </w:r>
      <w:bookmarkEnd w:id="65"/>
    </w:p>
    <w:p w:rsidR="00646D3D" w:rsidRDefault="00646D3D" w:rsidP="006D5E33">
      <w:pPr>
        <w:ind w:left="708" w:firstLine="708"/>
        <w:rPr>
          <w:rFonts w:eastAsiaTheme="majorEastAsia"/>
          <w:b/>
        </w:rPr>
      </w:pPr>
      <w:bookmarkStart w:id="66" w:name="_Toc472519252"/>
      <w:bookmarkStart w:id="67" w:name="_Toc441847033"/>
    </w:p>
    <w:p w:rsidR="00B50275" w:rsidRPr="00185C85" w:rsidRDefault="00B50275" w:rsidP="006D5E33">
      <w:pPr>
        <w:ind w:left="708" w:firstLine="708"/>
        <w:rPr>
          <w:rFonts w:eastAsiaTheme="majorEastAsia"/>
          <w:b/>
        </w:rPr>
      </w:pPr>
      <w:r w:rsidRPr="00185C85">
        <w:rPr>
          <w:rFonts w:eastAsiaTheme="majorEastAsia"/>
          <w:b/>
        </w:rPr>
        <w:t>Familias con Bienestar</w:t>
      </w:r>
      <w:bookmarkEnd w:id="66"/>
    </w:p>
    <w:p w:rsidR="00B50275" w:rsidRPr="00B50275" w:rsidRDefault="00B50275" w:rsidP="00B50275">
      <w:pPr>
        <w:spacing w:after="0" w:line="240" w:lineRule="auto"/>
        <w:jc w:val="both"/>
        <w:rPr>
          <w:rFonts w:cs="Arial"/>
          <w:bCs/>
        </w:rPr>
      </w:pPr>
      <w:r w:rsidRPr="00B50275">
        <w:rPr>
          <w:rFonts w:cs="Arial"/>
          <w:bCs/>
        </w:rPr>
        <w:t xml:space="preserve">La modalidad </w:t>
      </w:r>
      <w:r w:rsidRPr="00B50275">
        <w:rPr>
          <w:rFonts w:cs="Arial"/>
          <w:bCs/>
          <w:i/>
        </w:rPr>
        <w:t>Familias con Bienestar</w:t>
      </w:r>
      <w:r w:rsidRPr="00B50275">
        <w:rPr>
          <w:rFonts w:cs="Arial"/>
          <w:bCs/>
        </w:rPr>
        <w:t xml:space="preserve"> comprende una intervención psicosocial fundamentada en una comprensión sistémica, constructivista y compleja, que conjuga elementos del orden personal (comportamientos, emociones, competencias, posturas éticas), aspectos de la dinámica familiar (pautas, roles, límites, comunicación) y factores socioculturales (contexto, historia, cultura), para proponer nuevas comprensiones y promover nuevas formas de relacionamiento que contribuyan al desarrollo y bienestar individual, familiar y comunitario.</w:t>
      </w:r>
    </w:p>
    <w:p w:rsidR="00B50275" w:rsidRPr="00B50275" w:rsidRDefault="00B50275" w:rsidP="00B50275">
      <w:pPr>
        <w:spacing w:after="0" w:line="240" w:lineRule="auto"/>
        <w:jc w:val="both"/>
        <w:rPr>
          <w:rFonts w:cs="Arial"/>
          <w:bCs/>
        </w:rPr>
      </w:pPr>
    </w:p>
    <w:p w:rsidR="00B50275" w:rsidRDefault="00B50275" w:rsidP="00B50275">
      <w:pPr>
        <w:spacing w:after="0" w:line="240" w:lineRule="auto"/>
        <w:rPr>
          <w:rFonts w:cs="Arial"/>
        </w:rPr>
      </w:pPr>
      <w:r w:rsidRPr="00B50275">
        <w:rPr>
          <w:rFonts w:cs="Arial"/>
        </w:rPr>
        <w:t>La modalidad va dirigida a:</w:t>
      </w:r>
    </w:p>
    <w:p w:rsidR="000226D0" w:rsidRPr="00B50275" w:rsidRDefault="000226D0" w:rsidP="00B50275">
      <w:pPr>
        <w:spacing w:after="0" w:line="240" w:lineRule="auto"/>
        <w:rPr>
          <w:rFonts w:cs="Arial"/>
        </w:rPr>
      </w:pPr>
    </w:p>
    <w:p w:rsidR="00B50275" w:rsidRDefault="00B50275" w:rsidP="00D712DC">
      <w:pPr>
        <w:numPr>
          <w:ilvl w:val="0"/>
          <w:numId w:val="4"/>
        </w:numPr>
        <w:spacing w:after="0" w:line="240" w:lineRule="auto"/>
        <w:jc w:val="both"/>
        <w:rPr>
          <w:rFonts w:cs="Arial"/>
        </w:rPr>
      </w:pPr>
      <w:r w:rsidRPr="00B50275">
        <w:rPr>
          <w:rFonts w:cs="Arial"/>
        </w:rPr>
        <w:t xml:space="preserve">Familias en situación de vulnerabilidad económica y social con afectación en su dinámica relacional, identificadas a través de los diagnósticos territoriales del ICBF, el SISBEN u otros </w:t>
      </w:r>
      <w:r w:rsidRPr="00B50275">
        <w:rPr>
          <w:rFonts w:cs="Arial"/>
        </w:rPr>
        <w:lastRenderedPageBreak/>
        <w:t>sistemas de información municipal destinados para tal fin. Se atendieron prioritariamente familias con niños, niñas y adolescentes que presenten inasistencia, deserción o violencia escolar, embarazo adolescente y/o explotación laboral.</w:t>
      </w:r>
    </w:p>
    <w:p w:rsidR="001617A4" w:rsidRPr="00B50275" w:rsidRDefault="001617A4" w:rsidP="001617A4">
      <w:pPr>
        <w:spacing w:after="0" w:line="240" w:lineRule="auto"/>
        <w:ind w:left="360"/>
        <w:jc w:val="both"/>
        <w:rPr>
          <w:rFonts w:cs="Arial"/>
        </w:rPr>
      </w:pPr>
    </w:p>
    <w:p w:rsidR="00B50275" w:rsidRDefault="00B50275" w:rsidP="00D712DC">
      <w:pPr>
        <w:numPr>
          <w:ilvl w:val="0"/>
          <w:numId w:val="4"/>
        </w:numPr>
        <w:spacing w:after="0" w:line="240" w:lineRule="auto"/>
        <w:jc w:val="both"/>
        <w:rPr>
          <w:rFonts w:cs="Arial"/>
        </w:rPr>
      </w:pPr>
      <w:r w:rsidRPr="00B50275">
        <w:rPr>
          <w:rFonts w:cs="Arial"/>
        </w:rPr>
        <w:t>Familias con niños, niñas y adolescentes que han pasado por un proceso administrativo de restablecimiento de derechos – PARD y han sido reintegrados a sus hogares.</w:t>
      </w:r>
    </w:p>
    <w:p w:rsidR="000226D0" w:rsidRPr="00B50275" w:rsidRDefault="000226D0" w:rsidP="000226D0">
      <w:pPr>
        <w:spacing w:after="0" w:line="240" w:lineRule="auto"/>
        <w:ind w:left="360"/>
        <w:jc w:val="both"/>
        <w:rPr>
          <w:rFonts w:cs="Arial"/>
        </w:rPr>
      </w:pPr>
    </w:p>
    <w:p w:rsidR="00B50275" w:rsidRDefault="00B50275" w:rsidP="00D712DC">
      <w:pPr>
        <w:numPr>
          <w:ilvl w:val="0"/>
          <w:numId w:val="4"/>
        </w:numPr>
        <w:spacing w:after="0" w:line="240" w:lineRule="auto"/>
        <w:jc w:val="both"/>
        <w:rPr>
          <w:rFonts w:cs="Arial"/>
        </w:rPr>
      </w:pPr>
      <w:r w:rsidRPr="00B50275">
        <w:rPr>
          <w:rFonts w:cs="Arial"/>
        </w:rPr>
        <w:t>Familias beneficiarias de los proyectos de Vivienda Gratuita que se encuentran registradas en la base de datos suministrada por el Ministerio de Vivienda.</w:t>
      </w:r>
    </w:p>
    <w:p w:rsidR="000226D0" w:rsidRPr="00B50275" w:rsidRDefault="000226D0" w:rsidP="000226D0">
      <w:pPr>
        <w:spacing w:after="0" w:line="240" w:lineRule="auto"/>
        <w:jc w:val="both"/>
        <w:rPr>
          <w:rFonts w:cs="Arial"/>
        </w:rPr>
      </w:pPr>
    </w:p>
    <w:p w:rsidR="00B50275" w:rsidRDefault="00B50275" w:rsidP="00D712DC">
      <w:pPr>
        <w:numPr>
          <w:ilvl w:val="0"/>
          <w:numId w:val="4"/>
        </w:numPr>
        <w:spacing w:after="0" w:line="240" w:lineRule="auto"/>
        <w:jc w:val="both"/>
        <w:rPr>
          <w:rFonts w:cs="Arial"/>
        </w:rPr>
      </w:pPr>
      <w:r w:rsidRPr="00B50275">
        <w:rPr>
          <w:rFonts w:cs="Arial"/>
        </w:rPr>
        <w:t>Familias pertenecientes a la oferta institucional a través de las diferentes modalidades o servicios de las Direcciones Misionales del ICBF.</w:t>
      </w:r>
    </w:p>
    <w:p w:rsidR="000226D0" w:rsidRPr="00B50275" w:rsidRDefault="000226D0" w:rsidP="000226D0">
      <w:pPr>
        <w:spacing w:after="0" w:line="240" w:lineRule="auto"/>
        <w:jc w:val="both"/>
        <w:rPr>
          <w:rFonts w:cs="Arial"/>
        </w:rPr>
      </w:pPr>
    </w:p>
    <w:p w:rsidR="00B50275" w:rsidRPr="00B50275" w:rsidRDefault="00B50275" w:rsidP="00D712DC">
      <w:pPr>
        <w:numPr>
          <w:ilvl w:val="0"/>
          <w:numId w:val="4"/>
        </w:numPr>
        <w:spacing w:after="0" w:line="240" w:lineRule="auto"/>
        <w:jc w:val="both"/>
        <w:rPr>
          <w:rFonts w:cs="Arial"/>
        </w:rPr>
      </w:pPr>
      <w:r w:rsidRPr="00B50275">
        <w:rPr>
          <w:rFonts w:cs="Arial"/>
        </w:rPr>
        <w:t>Familias víctimas, conforme a lo definido en la Ley 1448 del 2011, que se encuentran identificadas a través del Registro Único de Victimas (RUV) de la Unidad Administrativa Especial para la Atención y Reparación Integral a las Víctimas (UAEARIV); atendiendo prioritariamente a las familias con niños, niñas y adolescentes</w:t>
      </w:r>
      <w:r w:rsidR="000226D0">
        <w:rPr>
          <w:rFonts w:cs="Arial"/>
        </w:rPr>
        <w:t>.</w:t>
      </w:r>
    </w:p>
    <w:p w:rsidR="00B50275" w:rsidRPr="00B50275" w:rsidRDefault="00B50275" w:rsidP="00B50275">
      <w:pPr>
        <w:spacing w:after="0" w:line="240" w:lineRule="auto"/>
        <w:ind w:left="360"/>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La modalidad fue contratada en 32 Regionales ICBF y su estado de ejecución con corte a 31 de diciembre de 2016 es el siguiente: </w:t>
      </w:r>
    </w:p>
    <w:p w:rsidR="00B50275" w:rsidRPr="00B50275" w:rsidRDefault="00B50275" w:rsidP="00B50275">
      <w:pPr>
        <w:shd w:val="clear" w:color="auto" w:fill="FFFFFF"/>
        <w:spacing w:after="0" w:line="240" w:lineRule="auto"/>
        <w:jc w:val="both"/>
        <w:rPr>
          <w:rFonts w:eastAsia="Times New Roman" w:cs="Arial"/>
          <w:lang w:val="es-CO" w:eastAsia="es-CO"/>
        </w:rPr>
      </w:pPr>
      <w:r w:rsidRPr="00B50275">
        <w:rPr>
          <w:rFonts w:eastAsia="Times New Roman" w:cs="Arial"/>
          <w:lang w:val="es-CO" w:eastAsia="es-CO"/>
        </w:rPr>
        <w:t xml:space="preserve">          </w:t>
      </w:r>
    </w:p>
    <w:tbl>
      <w:tblPr>
        <w:tblW w:w="7967"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594"/>
        <w:gridCol w:w="2084"/>
        <w:gridCol w:w="1304"/>
        <w:gridCol w:w="1985"/>
      </w:tblGrid>
      <w:tr w:rsidR="00B50275" w:rsidRPr="003E3230" w:rsidTr="003E3230">
        <w:trPr>
          <w:trHeight w:val="274"/>
        </w:trPr>
        <w:tc>
          <w:tcPr>
            <w:tcW w:w="2594" w:type="dxa"/>
            <w:shd w:val="clear" w:color="auto" w:fill="76923C" w:themeFill="accent3" w:themeFillShade="BF"/>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b/>
                <w:bCs/>
                <w:color w:val="FFFFFF" w:themeColor="background1"/>
                <w:sz w:val="18"/>
                <w:szCs w:val="20"/>
              </w:rPr>
            </w:pPr>
            <w:r w:rsidRPr="003E3230">
              <w:rPr>
                <w:rFonts w:eastAsia="Times New Roman" w:cs="Arial"/>
                <w:b/>
                <w:bCs/>
                <w:color w:val="FFFFFF" w:themeColor="background1"/>
                <w:sz w:val="18"/>
                <w:szCs w:val="20"/>
              </w:rPr>
              <w:t>Ítem</w:t>
            </w:r>
          </w:p>
        </w:tc>
        <w:tc>
          <w:tcPr>
            <w:tcW w:w="2084" w:type="dxa"/>
            <w:shd w:val="clear" w:color="auto" w:fill="76923C" w:themeFill="accent3" w:themeFillShade="BF"/>
            <w:vAlign w:val="center"/>
          </w:tcPr>
          <w:p w:rsidR="00B50275" w:rsidRPr="003E3230" w:rsidRDefault="000226D0" w:rsidP="00B50275">
            <w:pPr>
              <w:framePr w:hSpace="141" w:wrap="around" w:vAnchor="text" w:hAnchor="page" w:x="2224" w:y="80"/>
              <w:spacing w:after="0" w:line="240" w:lineRule="auto"/>
              <w:suppressOverlap/>
              <w:jc w:val="center"/>
              <w:rPr>
                <w:rFonts w:eastAsia="Times New Roman" w:cs="Arial"/>
                <w:b/>
                <w:bCs/>
                <w:color w:val="FFFFFF" w:themeColor="background1"/>
                <w:sz w:val="18"/>
                <w:szCs w:val="20"/>
              </w:rPr>
            </w:pPr>
            <w:r w:rsidRPr="003E3230">
              <w:rPr>
                <w:rFonts w:eastAsia="Times New Roman" w:cs="Arial"/>
                <w:b/>
                <w:color w:val="FFFFFF" w:themeColor="background1"/>
                <w:sz w:val="18"/>
                <w:szCs w:val="20"/>
              </w:rPr>
              <w:t>Ejecución Corte D</w:t>
            </w:r>
            <w:r w:rsidR="00B50275" w:rsidRPr="003E3230">
              <w:rPr>
                <w:rFonts w:eastAsia="Times New Roman" w:cs="Arial"/>
                <w:b/>
                <w:color w:val="FFFFFF" w:themeColor="background1"/>
                <w:sz w:val="18"/>
                <w:szCs w:val="20"/>
              </w:rPr>
              <w:t>iciembre 2016</w:t>
            </w:r>
          </w:p>
        </w:tc>
        <w:tc>
          <w:tcPr>
            <w:tcW w:w="1304" w:type="dxa"/>
            <w:shd w:val="clear" w:color="auto" w:fill="76923C" w:themeFill="accent3" w:themeFillShade="BF"/>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b/>
                <w:bCs/>
                <w:color w:val="FFFFFF" w:themeColor="background1"/>
                <w:sz w:val="18"/>
                <w:szCs w:val="20"/>
              </w:rPr>
            </w:pPr>
            <w:r w:rsidRPr="003E3230">
              <w:rPr>
                <w:rFonts w:eastAsia="Times New Roman" w:cs="Arial"/>
                <w:b/>
                <w:color w:val="FFFFFF" w:themeColor="background1"/>
                <w:sz w:val="18"/>
                <w:szCs w:val="20"/>
              </w:rPr>
              <w:t>Meta 2016</w:t>
            </w:r>
          </w:p>
        </w:tc>
        <w:tc>
          <w:tcPr>
            <w:tcW w:w="1985" w:type="dxa"/>
            <w:shd w:val="clear" w:color="auto" w:fill="76923C" w:themeFill="accent3" w:themeFillShade="BF"/>
            <w:vAlign w:val="center"/>
          </w:tcPr>
          <w:p w:rsidR="00B50275" w:rsidRPr="003E3230" w:rsidRDefault="000226D0" w:rsidP="00B50275">
            <w:pPr>
              <w:framePr w:hSpace="141" w:wrap="around" w:vAnchor="text" w:hAnchor="page" w:x="2224" w:y="80"/>
              <w:spacing w:after="0" w:line="240" w:lineRule="auto"/>
              <w:suppressOverlap/>
              <w:jc w:val="center"/>
              <w:rPr>
                <w:rFonts w:eastAsia="Times New Roman" w:cs="Arial"/>
                <w:b/>
                <w:bCs/>
                <w:color w:val="FFFFFF" w:themeColor="background1"/>
                <w:sz w:val="18"/>
                <w:szCs w:val="20"/>
              </w:rPr>
            </w:pPr>
            <w:r w:rsidRPr="003E3230">
              <w:rPr>
                <w:rFonts w:eastAsia="Times New Roman" w:cs="Arial"/>
                <w:b/>
                <w:color w:val="FFFFFF" w:themeColor="background1"/>
                <w:sz w:val="18"/>
                <w:szCs w:val="20"/>
              </w:rPr>
              <w:t>% de C</w:t>
            </w:r>
            <w:r w:rsidR="00B50275" w:rsidRPr="003E3230">
              <w:rPr>
                <w:rFonts w:eastAsia="Times New Roman" w:cs="Arial"/>
                <w:b/>
                <w:color w:val="FFFFFF" w:themeColor="background1"/>
                <w:sz w:val="18"/>
                <w:szCs w:val="20"/>
              </w:rPr>
              <w:t>umplimiento</w:t>
            </w:r>
          </w:p>
        </w:tc>
      </w:tr>
      <w:tr w:rsidR="00B50275" w:rsidRPr="003E3230" w:rsidTr="003E3230">
        <w:trPr>
          <w:cantSplit/>
          <w:trHeight w:val="151"/>
        </w:trPr>
        <w:tc>
          <w:tcPr>
            <w:tcW w:w="259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b/>
                <w:bCs/>
                <w:sz w:val="18"/>
                <w:szCs w:val="20"/>
              </w:rPr>
            </w:pPr>
            <w:r w:rsidRPr="003E3230">
              <w:rPr>
                <w:rFonts w:eastAsia="Times New Roman" w:cs="Arial"/>
                <w:sz w:val="18"/>
                <w:szCs w:val="20"/>
              </w:rPr>
              <w:t>Cobertura</w:t>
            </w:r>
          </w:p>
        </w:tc>
        <w:tc>
          <w:tcPr>
            <w:tcW w:w="208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104.580</w:t>
            </w:r>
          </w:p>
        </w:tc>
        <w:tc>
          <w:tcPr>
            <w:tcW w:w="130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104.588</w:t>
            </w:r>
          </w:p>
        </w:tc>
        <w:tc>
          <w:tcPr>
            <w:tcW w:w="1985"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99.9%</w:t>
            </w:r>
          </w:p>
        </w:tc>
      </w:tr>
      <w:tr w:rsidR="00B50275" w:rsidRPr="003E3230" w:rsidTr="003E3230">
        <w:trPr>
          <w:cantSplit/>
          <w:trHeight w:val="70"/>
        </w:trPr>
        <w:tc>
          <w:tcPr>
            <w:tcW w:w="259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b/>
                <w:bCs/>
                <w:sz w:val="18"/>
                <w:szCs w:val="20"/>
              </w:rPr>
            </w:pPr>
            <w:r w:rsidRPr="003E3230">
              <w:rPr>
                <w:rFonts w:eastAsia="Times New Roman" w:cs="Arial"/>
                <w:sz w:val="18"/>
                <w:szCs w:val="20"/>
              </w:rPr>
              <w:t>Inversión (millones de $)</w:t>
            </w:r>
          </w:p>
        </w:tc>
        <w:tc>
          <w:tcPr>
            <w:tcW w:w="208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 xml:space="preserve">$ </w:t>
            </w:r>
            <w:r w:rsidRPr="003E3230">
              <w:rPr>
                <w:rFonts w:cs="Arial"/>
                <w:bCs/>
                <w:sz w:val="18"/>
                <w:szCs w:val="20"/>
                <w:lang w:eastAsia="es-CO"/>
              </w:rPr>
              <w:t>43.455</w:t>
            </w:r>
          </w:p>
        </w:tc>
        <w:tc>
          <w:tcPr>
            <w:tcW w:w="130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$ 43.561</w:t>
            </w:r>
          </w:p>
        </w:tc>
        <w:tc>
          <w:tcPr>
            <w:tcW w:w="1985"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lang w:val="es-CO" w:eastAsia="es-CO"/>
              </w:rPr>
            </w:pPr>
            <w:r w:rsidRPr="003E3230">
              <w:rPr>
                <w:rFonts w:eastAsia="Times New Roman" w:cs="Arial"/>
                <w:sz w:val="18"/>
                <w:szCs w:val="20"/>
                <w:lang w:val="es-CO" w:eastAsia="es-CO"/>
              </w:rPr>
              <w:t>99.8%</w:t>
            </w:r>
          </w:p>
        </w:tc>
      </w:tr>
      <w:tr w:rsidR="00B50275" w:rsidRPr="003E3230" w:rsidTr="003E3230">
        <w:trPr>
          <w:cantSplit/>
          <w:trHeight w:val="70"/>
        </w:trPr>
        <w:tc>
          <w:tcPr>
            <w:tcW w:w="259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b/>
                <w:bCs/>
                <w:sz w:val="18"/>
                <w:szCs w:val="20"/>
              </w:rPr>
            </w:pPr>
            <w:r w:rsidRPr="003E3230">
              <w:rPr>
                <w:rFonts w:eastAsia="Times New Roman" w:cs="Arial"/>
                <w:sz w:val="18"/>
                <w:szCs w:val="20"/>
              </w:rPr>
              <w:t>Meses de atención</w:t>
            </w:r>
          </w:p>
        </w:tc>
        <w:tc>
          <w:tcPr>
            <w:tcW w:w="208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8.5 meses</w:t>
            </w:r>
          </w:p>
        </w:tc>
        <w:tc>
          <w:tcPr>
            <w:tcW w:w="1304"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rPr>
            </w:pPr>
            <w:r w:rsidRPr="003E3230">
              <w:rPr>
                <w:rFonts w:eastAsia="Times New Roman" w:cs="Arial"/>
                <w:sz w:val="18"/>
                <w:szCs w:val="20"/>
              </w:rPr>
              <w:t>8.5 meses</w:t>
            </w:r>
          </w:p>
        </w:tc>
        <w:tc>
          <w:tcPr>
            <w:tcW w:w="1985" w:type="dxa"/>
            <w:vAlign w:val="center"/>
          </w:tcPr>
          <w:p w:rsidR="00B50275" w:rsidRPr="003E3230" w:rsidRDefault="00B50275" w:rsidP="00B50275">
            <w:pPr>
              <w:framePr w:hSpace="141" w:wrap="around" w:vAnchor="text" w:hAnchor="page" w:x="2224" w:y="80"/>
              <w:spacing w:after="0" w:line="240" w:lineRule="auto"/>
              <w:suppressOverlap/>
              <w:jc w:val="center"/>
              <w:rPr>
                <w:rFonts w:eastAsia="Times New Roman" w:cs="Arial"/>
                <w:sz w:val="18"/>
                <w:szCs w:val="20"/>
                <w:lang w:val="es-CO" w:eastAsia="es-CO"/>
              </w:rPr>
            </w:pPr>
            <w:r w:rsidRPr="003E3230">
              <w:rPr>
                <w:rFonts w:eastAsia="Times New Roman" w:cs="Arial"/>
                <w:sz w:val="18"/>
                <w:szCs w:val="20"/>
                <w:lang w:val="es-CO" w:eastAsia="es-CO"/>
              </w:rPr>
              <w:t>100%</w:t>
            </w:r>
          </w:p>
        </w:tc>
      </w:tr>
    </w:tbl>
    <w:p w:rsidR="00B50275" w:rsidRPr="00B50275" w:rsidRDefault="00B50275" w:rsidP="00B50275">
      <w:pPr>
        <w:spacing w:after="0" w:line="240" w:lineRule="auto"/>
        <w:ind w:left="360"/>
        <w:jc w:val="center"/>
        <w:rPr>
          <w:rFonts w:cs="Arial"/>
        </w:rPr>
      </w:pP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p>
    <w:p w:rsidR="00646D3D" w:rsidRDefault="00646D3D" w:rsidP="003E3230">
      <w:pPr>
        <w:spacing w:after="0" w:line="240" w:lineRule="auto"/>
        <w:rPr>
          <w:rFonts w:cs="Arial"/>
        </w:rPr>
      </w:pPr>
    </w:p>
    <w:p w:rsidR="00B50275" w:rsidRPr="00B50275" w:rsidRDefault="001617A4" w:rsidP="003E3230">
      <w:pPr>
        <w:spacing w:after="0" w:line="240" w:lineRule="auto"/>
        <w:rPr>
          <w:rFonts w:cs="Arial"/>
          <w:sz w:val="16"/>
          <w:szCs w:val="18"/>
        </w:rPr>
      </w:pPr>
      <w:r>
        <w:rPr>
          <w:rFonts w:cs="Arial"/>
          <w:b/>
          <w:sz w:val="16"/>
          <w:szCs w:val="18"/>
        </w:rPr>
        <w:t xml:space="preserve">           </w:t>
      </w:r>
      <w:r w:rsidR="00B50275" w:rsidRPr="003E3230">
        <w:rPr>
          <w:rFonts w:cs="Arial"/>
          <w:b/>
          <w:sz w:val="16"/>
          <w:szCs w:val="18"/>
        </w:rPr>
        <w:t>Fuente:</w:t>
      </w:r>
      <w:r w:rsidR="00B50275" w:rsidRPr="00B50275">
        <w:rPr>
          <w:rFonts w:cs="Arial"/>
          <w:sz w:val="16"/>
          <w:szCs w:val="18"/>
        </w:rPr>
        <w:t xml:space="preserve"> Metas Sociales SIM / SIIF Nación corte 31 de diciembre de 2016.</w:t>
      </w:r>
    </w:p>
    <w:p w:rsidR="00646D3D" w:rsidRPr="00D21160" w:rsidRDefault="001617A4" w:rsidP="00646D3D">
      <w:pPr>
        <w:rPr>
          <w:rFonts w:ascii="Calibri" w:hAnsi="Calibri"/>
          <w:i/>
          <w:iCs/>
          <w:sz w:val="16"/>
          <w:lang w:val="es-CO"/>
        </w:rPr>
      </w:pPr>
      <w:r>
        <w:rPr>
          <w:i/>
          <w:iCs/>
          <w:sz w:val="16"/>
        </w:rPr>
        <w:t xml:space="preserve">           </w:t>
      </w:r>
      <w:r w:rsidR="00646D3D" w:rsidRPr="00D21160">
        <w:rPr>
          <w:i/>
          <w:iCs/>
          <w:sz w:val="16"/>
        </w:rPr>
        <w:t>Nota: Información preliminar, sujeta a actualización del cierre oficial de metas sociales y financieras.</w:t>
      </w:r>
    </w:p>
    <w:p w:rsidR="00646D3D" w:rsidRPr="00D21160" w:rsidRDefault="00646D3D" w:rsidP="00646D3D">
      <w:pPr>
        <w:spacing w:after="0" w:line="240" w:lineRule="auto"/>
        <w:jc w:val="both"/>
        <w:rPr>
          <w:rFonts w:cs="Arial"/>
          <w:sz w:val="16"/>
          <w:lang w:val="es-CO" w:eastAsia="es-ES"/>
        </w:rPr>
      </w:pPr>
    </w:p>
    <w:p w:rsidR="00B50275" w:rsidRDefault="00B50275" w:rsidP="00B50275">
      <w:pPr>
        <w:spacing w:after="0" w:line="240" w:lineRule="auto"/>
        <w:jc w:val="both"/>
        <w:rPr>
          <w:rFonts w:cs="Arial"/>
        </w:rPr>
      </w:pPr>
      <w:r w:rsidRPr="00B50275">
        <w:rPr>
          <w:rFonts w:cs="Arial"/>
        </w:rPr>
        <w:t>Principales acciones realizadas:</w:t>
      </w:r>
    </w:p>
    <w:p w:rsidR="003E3230" w:rsidRPr="00B50275" w:rsidRDefault="003E3230" w:rsidP="00B50275">
      <w:pPr>
        <w:spacing w:after="0" w:line="240" w:lineRule="auto"/>
        <w:jc w:val="both"/>
        <w:rPr>
          <w:rFonts w:cs="Arial"/>
        </w:rPr>
      </w:pPr>
    </w:p>
    <w:p w:rsidR="003E3EB7" w:rsidRDefault="00B50275" w:rsidP="00D712DC">
      <w:pPr>
        <w:numPr>
          <w:ilvl w:val="0"/>
          <w:numId w:val="174"/>
        </w:numPr>
        <w:spacing w:after="0" w:line="240" w:lineRule="auto"/>
        <w:contextualSpacing/>
        <w:jc w:val="both"/>
        <w:rPr>
          <w:rFonts w:cs="Arial"/>
        </w:rPr>
      </w:pPr>
      <w:r w:rsidRPr="00B50275">
        <w:rPr>
          <w:rFonts w:cs="Arial"/>
        </w:rPr>
        <w:t>Ampliar y fortalecer las capacidades de las familias para comunicarse, resolver problemas y cuidarse mutuamente, mediante procesos educativos que tengan en cuenta los intereses de sus integrantes, y la posibilidad de aplicar los aprendizajes a la vida cotidiana.</w:t>
      </w:r>
    </w:p>
    <w:p w:rsidR="00B50275" w:rsidRPr="00B50275" w:rsidRDefault="00B50275" w:rsidP="003E3EB7">
      <w:pPr>
        <w:spacing w:after="0" w:line="240" w:lineRule="auto"/>
        <w:ind w:left="720"/>
        <w:contextualSpacing/>
        <w:jc w:val="both"/>
        <w:rPr>
          <w:rFonts w:cs="Arial"/>
        </w:rPr>
      </w:pPr>
      <w:r w:rsidRPr="00B50275">
        <w:rPr>
          <w:rFonts w:cs="Arial"/>
        </w:rPr>
        <w:t xml:space="preserve"> </w:t>
      </w:r>
    </w:p>
    <w:p w:rsidR="00B50275" w:rsidRDefault="00B50275" w:rsidP="00D712DC">
      <w:pPr>
        <w:numPr>
          <w:ilvl w:val="0"/>
          <w:numId w:val="174"/>
        </w:numPr>
        <w:spacing w:after="0" w:line="240" w:lineRule="auto"/>
        <w:contextualSpacing/>
        <w:jc w:val="both"/>
        <w:rPr>
          <w:rFonts w:cs="Arial"/>
        </w:rPr>
      </w:pPr>
      <w:r w:rsidRPr="00B50275">
        <w:rPr>
          <w:rFonts w:cs="Arial"/>
        </w:rPr>
        <w:t>Activar el uso de recursos familiares disponibles ante transiciones vitales, amenazas, retos, inquietudes o conflictos particulares, proponiendo comprensiones alternativas y facilitando la construcción de nuevas formas de relacionamiento consecuentes con los principios éticos de respeto, cuidado, sol</w:t>
      </w:r>
      <w:r w:rsidR="003E3EB7">
        <w:rPr>
          <w:rFonts w:cs="Arial"/>
        </w:rPr>
        <w:t>idaridad, equidad y democracia.</w:t>
      </w:r>
    </w:p>
    <w:p w:rsidR="003E3EB7" w:rsidRPr="00B50275" w:rsidRDefault="003E3EB7" w:rsidP="003E3EB7">
      <w:pPr>
        <w:spacing w:after="0" w:line="240" w:lineRule="auto"/>
        <w:contextualSpacing/>
        <w:jc w:val="both"/>
        <w:rPr>
          <w:rFonts w:cs="Arial"/>
        </w:rPr>
      </w:pPr>
    </w:p>
    <w:p w:rsidR="00B50275" w:rsidRDefault="00B50275" w:rsidP="00D712DC">
      <w:pPr>
        <w:numPr>
          <w:ilvl w:val="0"/>
          <w:numId w:val="174"/>
        </w:numPr>
        <w:spacing w:after="0" w:line="240" w:lineRule="auto"/>
        <w:contextualSpacing/>
        <w:jc w:val="both"/>
        <w:rPr>
          <w:rFonts w:cs="Arial"/>
        </w:rPr>
      </w:pPr>
      <w:r w:rsidRPr="00B50275">
        <w:rPr>
          <w:rFonts w:cs="Arial"/>
        </w:rPr>
        <w:t xml:space="preserve">Hacer prevención, detección temprana y mitigación de factores de riesgo en las familias asociados a violencias intrafamiliar y sexual, situaciones de inobservancia, amenaza y/o vulneración de derechos y situaciones de embarazo en la población </w:t>
      </w:r>
      <w:r w:rsidR="003E3EB7">
        <w:rPr>
          <w:rFonts w:cs="Arial"/>
        </w:rPr>
        <w:t>adolescente (Apoyo Terapéutico).</w:t>
      </w:r>
    </w:p>
    <w:p w:rsidR="003E3EB7" w:rsidRPr="00B50275" w:rsidRDefault="003E3EB7" w:rsidP="003E3EB7">
      <w:pPr>
        <w:spacing w:after="0" w:line="240" w:lineRule="auto"/>
        <w:contextualSpacing/>
        <w:jc w:val="both"/>
        <w:rPr>
          <w:rFonts w:cs="Arial"/>
        </w:rPr>
      </w:pPr>
    </w:p>
    <w:p w:rsidR="00B50275" w:rsidRPr="00B50275" w:rsidRDefault="00B50275" w:rsidP="00D712DC">
      <w:pPr>
        <w:numPr>
          <w:ilvl w:val="0"/>
          <w:numId w:val="174"/>
        </w:numPr>
        <w:spacing w:after="0" w:line="240" w:lineRule="auto"/>
        <w:contextualSpacing/>
        <w:jc w:val="both"/>
        <w:rPr>
          <w:rFonts w:cs="Arial"/>
        </w:rPr>
      </w:pPr>
      <w:r w:rsidRPr="00B50275">
        <w:rPr>
          <w:rFonts w:cs="Arial"/>
        </w:rPr>
        <w:lastRenderedPageBreak/>
        <w:t xml:space="preserve">Apoyar la activación y/o consolidación de redes de apoyo naturales (familia extensa/ amigos, vecindad y entorno comunitario) e institucionales (programas, servicios sociales y recursos) como mecanismo para enriquecer el mundo relacional de las familias y para fortalecer el tejido social. </w:t>
      </w:r>
    </w:p>
    <w:p w:rsidR="00B50275" w:rsidRPr="00B50275" w:rsidRDefault="00B50275" w:rsidP="006D5E33"/>
    <w:p w:rsidR="00B50275" w:rsidRPr="00185C85" w:rsidRDefault="00B50275" w:rsidP="006D5E33">
      <w:pPr>
        <w:ind w:firstLine="708"/>
        <w:rPr>
          <w:rFonts w:eastAsiaTheme="majorEastAsia"/>
          <w:b/>
        </w:rPr>
      </w:pPr>
      <w:bookmarkStart w:id="68" w:name="_Toc472519253"/>
      <w:bookmarkStart w:id="69" w:name="_Toc441847034"/>
      <w:r w:rsidRPr="00185C85">
        <w:rPr>
          <w:rFonts w:eastAsiaTheme="majorEastAsia"/>
          <w:b/>
        </w:rPr>
        <w:t>Otras Formas de Atención</w:t>
      </w:r>
      <w:bookmarkEnd w:id="68"/>
      <w:r w:rsidRPr="00185C85">
        <w:rPr>
          <w:rFonts w:eastAsiaTheme="majorEastAsia"/>
          <w:b/>
        </w:rPr>
        <w:t xml:space="preserve"> </w:t>
      </w:r>
      <w:bookmarkEnd w:id="69"/>
    </w:p>
    <w:p w:rsidR="00B50275" w:rsidRPr="00B50275" w:rsidRDefault="00B50275" w:rsidP="00B50275">
      <w:pPr>
        <w:spacing w:after="0" w:line="240" w:lineRule="auto"/>
        <w:jc w:val="both"/>
        <w:rPr>
          <w:rFonts w:cs="Arial"/>
        </w:rPr>
      </w:pPr>
      <w:r w:rsidRPr="00B50275">
        <w:rPr>
          <w:rFonts w:cs="Arial"/>
        </w:rPr>
        <w:t xml:space="preserve">Modalidad orientada al diseño e implementación de estrategias de atención familiar y comunitaria dirigidas al fortalecimiento de los vínculos de cuidado mutuo, la convivencia armónica y la promoción de ambientes protectores y seguros, a través de acciones y estrategias construidas de manera conjunta y concertada con las familias y sus comunidades, de manera diferencial y acorde con las características propias de sus territorios, rescatando las buenas prácticas desarrolladas localmente, que aporten insumos en el proceso para la gestión de conocimiento y la comprensión de las familias y comunidades desde distintas realidades. </w:t>
      </w: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r w:rsidRPr="00B50275">
        <w:rPr>
          <w:rFonts w:cs="Arial"/>
        </w:rPr>
        <w:t>La población a la cual va dirigida la modalidad son familias y comunidades en situación de vulnerabilidad psicosocial y/o afectadas por emergencias y desastres naturales o provocados por el hombre.</w:t>
      </w:r>
    </w:p>
    <w:p w:rsidR="00B50275" w:rsidRPr="00B50275" w:rsidRDefault="00B50275" w:rsidP="00B50275">
      <w:pPr>
        <w:spacing w:after="0" w:line="240" w:lineRule="auto"/>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Su estado con corte a 31 de diciembre de 2016 es el siguiente: </w:t>
      </w:r>
    </w:p>
    <w:p w:rsidR="00B50275" w:rsidRPr="00B50275" w:rsidRDefault="00B50275" w:rsidP="00B50275">
      <w:pPr>
        <w:spacing w:after="0" w:line="240" w:lineRule="auto"/>
        <w:jc w:val="both"/>
        <w:rPr>
          <w:rFonts w:cs="Arial"/>
        </w:rPr>
      </w:pPr>
    </w:p>
    <w:tbl>
      <w:tblPr>
        <w:tblW w:w="777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263"/>
        <w:gridCol w:w="1843"/>
        <w:gridCol w:w="1701"/>
        <w:gridCol w:w="1972"/>
      </w:tblGrid>
      <w:tr w:rsidR="00B50275" w:rsidRPr="003E3EB7" w:rsidTr="003E3EB7">
        <w:trPr>
          <w:trHeight w:val="464"/>
          <w:jc w:val="center"/>
        </w:trPr>
        <w:tc>
          <w:tcPr>
            <w:tcW w:w="2263" w:type="dxa"/>
            <w:shd w:val="clear" w:color="auto" w:fill="76923C" w:themeFill="accent3" w:themeFillShade="BF"/>
            <w:vAlign w:val="center"/>
          </w:tcPr>
          <w:p w:rsidR="00B50275" w:rsidRPr="003E3EB7" w:rsidRDefault="00B50275" w:rsidP="00B50275">
            <w:pPr>
              <w:spacing w:after="0" w:line="240" w:lineRule="auto"/>
              <w:jc w:val="center"/>
              <w:rPr>
                <w:rFonts w:eastAsia="Times New Roman" w:cs="Arial"/>
                <w:b/>
                <w:bCs/>
                <w:color w:val="FFFFFF" w:themeColor="background1"/>
                <w:sz w:val="18"/>
                <w:szCs w:val="20"/>
              </w:rPr>
            </w:pPr>
            <w:r w:rsidRPr="003E3EB7">
              <w:rPr>
                <w:rFonts w:eastAsia="Times New Roman" w:cs="Arial"/>
                <w:b/>
                <w:bCs/>
                <w:color w:val="FFFFFF" w:themeColor="background1"/>
                <w:sz w:val="18"/>
                <w:szCs w:val="20"/>
              </w:rPr>
              <w:t>ítem</w:t>
            </w:r>
          </w:p>
        </w:tc>
        <w:tc>
          <w:tcPr>
            <w:tcW w:w="1843" w:type="dxa"/>
            <w:shd w:val="clear" w:color="auto" w:fill="76923C" w:themeFill="accent3" w:themeFillShade="BF"/>
            <w:vAlign w:val="center"/>
          </w:tcPr>
          <w:p w:rsidR="00B50275" w:rsidRPr="003E3EB7" w:rsidRDefault="003E3EB7" w:rsidP="00B50275">
            <w:pPr>
              <w:spacing w:after="0" w:line="240" w:lineRule="auto"/>
              <w:jc w:val="center"/>
              <w:rPr>
                <w:rFonts w:eastAsia="Times New Roman" w:cs="Arial"/>
                <w:b/>
                <w:bCs/>
                <w:color w:val="FFFFFF" w:themeColor="background1"/>
                <w:sz w:val="18"/>
                <w:szCs w:val="20"/>
              </w:rPr>
            </w:pPr>
            <w:r w:rsidRPr="003E3EB7">
              <w:rPr>
                <w:rFonts w:eastAsia="Times New Roman" w:cs="Arial"/>
                <w:b/>
                <w:color w:val="FFFFFF" w:themeColor="background1"/>
                <w:sz w:val="18"/>
                <w:szCs w:val="20"/>
              </w:rPr>
              <w:t>Ejecución corte D</w:t>
            </w:r>
            <w:r w:rsidR="00B50275" w:rsidRPr="003E3EB7">
              <w:rPr>
                <w:rFonts w:eastAsia="Times New Roman" w:cs="Arial"/>
                <w:b/>
                <w:color w:val="FFFFFF" w:themeColor="background1"/>
                <w:sz w:val="18"/>
                <w:szCs w:val="20"/>
              </w:rPr>
              <w:t>iciembre 2016</w:t>
            </w:r>
          </w:p>
        </w:tc>
        <w:tc>
          <w:tcPr>
            <w:tcW w:w="1701" w:type="dxa"/>
            <w:shd w:val="clear" w:color="auto" w:fill="76923C" w:themeFill="accent3" w:themeFillShade="BF"/>
            <w:vAlign w:val="center"/>
          </w:tcPr>
          <w:p w:rsidR="00B50275" w:rsidRPr="003E3EB7" w:rsidRDefault="00B50275" w:rsidP="00B50275">
            <w:pPr>
              <w:spacing w:after="0" w:line="240" w:lineRule="auto"/>
              <w:jc w:val="center"/>
              <w:rPr>
                <w:rFonts w:eastAsia="Times New Roman" w:cs="Arial"/>
                <w:b/>
                <w:bCs/>
                <w:color w:val="FFFFFF" w:themeColor="background1"/>
                <w:sz w:val="18"/>
                <w:szCs w:val="20"/>
              </w:rPr>
            </w:pPr>
            <w:r w:rsidRPr="003E3EB7">
              <w:rPr>
                <w:rFonts w:eastAsia="Times New Roman" w:cs="Arial"/>
                <w:b/>
                <w:color w:val="FFFFFF" w:themeColor="background1"/>
                <w:sz w:val="18"/>
                <w:szCs w:val="20"/>
              </w:rPr>
              <w:t>Meta 2016</w:t>
            </w:r>
          </w:p>
        </w:tc>
        <w:tc>
          <w:tcPr>
            <w:tcW w:w="1972" w:type="dxa"/>
            <w:shd w:val="clear" w:color="auto" w:fill="76923C" w:themeFill="accent3" w:themeFillShade="BF"/>
            <w:vAlign w:val="center"/>
          </w:tcPr>
          <w:p w:rsidR="00B50275" w:rsidRPr="003E3EB7" w:rsidRDefault="003E3EB7" w:rsidP="00B50275">
            <w:pPr>
              <w:spacing w:after="0" w:line="240" w:lineRule="auto"/>
              <w:jc w:val="center"/>
              <w:rPr>
                <w:rFonts w:eastAsia="Times New Roman" w:cs="Arial"/>
                <w:b/>
                <w:bCs/>
                <w:color w:val="FFFFFF" w:themeColor="background1"/>
                <w:sz w:val="18"/>
                <w:szCs w:val="20"/>
              </w:rPr>
            </w:pPr>
            <w:r w:rsidRPr="003E3EB7">
              <w:rPr>
                <w:rFonts w:eastAsia="Times New Roman" w:cs="Arial"/>
                <w:b/>
                <w:color w:val="FFFFFF" w:themeColor="background1"/>
                <w:sz w:val="18"/>
                <w:szCs w:val="20"/>
              </w:rPr>
              <w:t>% de C</w:t>
            </w:r>
            <w:r w:rsidR="00B50275" w:rsidRPr="003E3EB7">
              <w:rPr>
                <w:rFonts w:eastAsia="Times New Roman" w:cs="Arial"/>
                <w:b/>
                <w:color w:val="FFFFFF" w:themeColor="background1"/>
                <w:sz w:val="18"/>
                <w:szCs w:val="20"/>
              </w:rPr>
              <w:t>umplimiento</w:t>
            </w:r>
          </w:p>
        </w:tc>
      </w:tr>
      <w:tr w:rsidR="00B50275" w:rsidRPr="003E3EB7" w:rsidTr="003E3EB7">
        <w:trPr>
          <w:trHeight w:val="133"/>
          <w:jc w:val="center"/>
        </w:trPr>
        <w:tc>
          <w:tcPr>
            <w:tcW w:w="2263" w:type="dxa"/>
          </w:tcPr>
          <w:p w:rsidR="00B50275" w:rsidRPr="003E3EB7" w:rsidRDefault="00B50275" w:rsidP="00B50275">
            <w:pPr>
              <w:spacing w:after="0" w:line="240" w:lineRule="auto"/>
              <w:jc w:val="both"/>
              <w:rPr>
                <w:rFonts w:eastAsia="Times New Roman" w:cs="Arial"/>
                <w:b/>
                <w:bCs/>
                <w:sz w:val="18"/>
                <w:szCs w:val="20"/>
              </w:rPr>
            </w:pPr>
            <w:r w:rsidRPr="003E3EB7">
              <w:rPr>
                <w:rFonts w:eastAsia="Times New Roman" w:cs="Arial"/>
                <w:sz w:val="18"/>
                <w:szCs w:val="20"/>
              </w:rPr>
              <w:t>Cobertura</w:t>
            </w:r>
          </w:p>
        </w:tc>
        <w:tc>
          <w:tcPr>
            <w:tcW w:w="1843" w:type="dxa"/>
            <w:vAlign w:val="center"/>
          </w:tcPr>
          <w:p w:rsidR="00B50275" w:rsidRPr="003E3EB7" w:rsidRDefault="00B50275" w:rsidP="00B50275">
            <w:pPr>
              <w:spacing w:after="0" w:line="240" w:lineRule="auto"/>
              <w:jc w:val="center"/>
              <w:rPr>
                <w:rFonts w:eastAsia="Times New Roman" w:cs="Arial"/>
                <w:sz w:val="18"/>
                <w:szCs w:val="20"/>
              </w:rPr>
            </w:pPr>
            <w:r w:rsidRPr="003E3EB7">
              <w:rPr>
                <w:rFonts w:eastAsia="Times New Roman" w:cs="Arial"/>
                <w:sz w:val="18"/>
                <w:szCs w:val="20"/>
              </w:rPr>
              <w:t>7.050</w:t>
            </w:r>
          </w:p>
        </w:tc>
        <w:tc>
          <w:tcPr>
            <w:tcW w:w="1701" w:type="dxa"/>
            <w:vAlign w:val="center"/>
          </w:tcPr>
          <w:p w:rsidR="00B50275" w:rsidRPr="003E3EB7" w:rsidRDefault="00B50275" w:rsidP="00B50275">
            <w:pPr>
              <w:spacing w:after="0" w:line="240" w:lineRule="auto"/>
              <w:jc w:val="center"/>
              <w:rPr>
                <w:rFonts w:eastAsia="Times New Roman" w:cs="Arial"/>
                <w:sz w:val="18"/>
                <w:szCs w:val="20"/>
              </w:rPr>
            </w:pPr>
            <w:r w:rsidRPr="003E3EB7">
              <w:rPr>
                <w:rFonts w:eastAsia="Times New Roman" w:cs="Arial"/>
                <w:sz w:val="18"/>
                <w:szCs w:val="20"/>
              </w:rPr>
              <w:t>7.050</w:t>
            </w:r>
          </w:p>
        </w:tc>
        <w:tc>
          <w:tcPr>
            <w:tcW w:w="1972" w:type="dxa"/>
            <w:vAlign w:val="center"/>
          </w:tcPr>
          <w:p w:rsidR="00B50275" w:rsidRPr="003E3EB7" w:rsidRDefault="00B50275" w:rsidP="00B50275">
            <w:pPr>
              <w:spacing w:after="0" w:line="240" w:lineRule="auto"/>
              <w:jc w:val="center"/>
              <w:rPr>
                <w:rFonts w:eastAsia="Times New Roman" w:cs="Arial"/>
                <w:sz w:val="18"/>
                <w:szCs w:val="20"/>
              </w:rPr>
            </w:pPr>
            <w:r w:rsidRPr="003E3EB7">
              <w:rPr>
                <w:rFonts w:eastAsia="Times New Roman" w:cs="Arial"/>
                <w:sz w:val="18"/>
                <w:szCs w:val="20"/>
              </w:rPr>
              <w:t>100%</w:t>
            </w:r>
          </w:p>
        </w:tc>
      </w:tr>
      <w:tr w:rsidR="00B50275" w:rsidRPr="003E3EB7" w:rsidTr="003E3EB7">
        <w:trPr>
          <w:trHeight w:val="223"/>
          <w:jc w:val="center"/>
        </w:trPr>
        <w:tc>
          <w:tcPr>
            <w:tcW w:w="2263" w:type="dxa"/>
          </w:tcPr>
          <w:p w:rsidR="00B50275" w:rsidRPr="003E3EB7" w:rsidRDefault="00B50275" w:rsidP="00B50275">
            <w:pPr>
              <w:spacing w:after="0" w:line="240" w:lineRule="auto"/>
              <w:jc w:val="both"/>
              <w:rPr>
                <w:rFonts w:eastAsia="Times New Roman" w:cs="Arial"/>
                <w:b/>
                <w:bCs/>
                <w:sz w:val="18"/>
                <w:szCs w:val="20"/>
              </w:rPr>
            </w:pPr>
            <w:r w:rsidRPr="003E3EB7">
              <w:rPr>
                <w:rFonts w:eastAsia="Times New Roman" w:cs="Arial"/>
                <w:sz w:val="18"/>
                <w:szCs w:val="20"/>
              </w:rPr>
              <w:t>Inversión (millones de $)</w:t>
            </w:r>
          </w:p>
        </w:tc>
        <w:tc>
          <w:tcPr>
            <w:tcW w:w="1843" w:type="dxa"/>
            <w:vAlign w:val="center"/>
          </w:tcPr>
          <w:p w:rsidR="00B50275" w:rsidRPr="003E3EB7" w:rsidRDefault="00B50275" w:rsidP="00B50275">
            <w:pPr>
              <w:spacing w:after="0" w:line="240" w:lineRule="auto"/>
              <w:jc w:val="center"/>
              <w:rPr>
                <w:rFonts w:eastAsia="Times New Roman" w:cs="Arial"/>
                <w:sz w:val="18"/>
                <w:szCs w:val="20"/>
              </w:rPr>
            </w:pPr>
            <w:r w:rsidRPr="003E3EB7">
              <w:rPr>
                <w:rFonts w:eastAsia="Times New Roman" w:cs="Arial"/>
                <w:sz w:val="18"/>
                <w:szCs w:val="20"/>
              </w:rPr>
              <w:t>$ 3.550</w:t>
            </w:r>
          </w:p>
        </w:tc>
        <w:tc>
          <w:tcPr>
            <w:tcW w:w="1701" w:type="dxa"/>
            <w:vAlign w:val="center"/>
          </w:tcPr>
          <w:p w:rsidR="00B50275" w:rsidRPr="003E3EB7" w:rsidRDefault="00B50275" w:rsidP="00B50275">
            <w:pPr>
              <w:spacing w:after="0" w:line="240" w:lineRule="auto"/>
              <w:jc w:val="center"/>
              <w:rPr>
                <w:rFonts w:eastAsia="Times New Roman" w:cs="Arial"/>
                <w:sz w:val="18"/>
                <w:szCs w:val="20"/>
              </w:rPr>
            </w:pPr>
            <w:r w:rsidRPr="003E3EB7">
              <w:rPr>
                <w:rFonts w:eastAsia="Times New Roman" w:cs="Arial"/>
                <w:sz w:val="18"/>
                <w:szCs w:val="20"/>
              </w:rPr>
              <w:t>$ 5.050</w:t>
            </w:r>
          </w:p>
        </w:tc>
        <w:tc>
          <w:tcPr>
            <w:tcW w:w="1972" w:type="dxa"/>
            <w:vAlign w:val="center"/>
          </w:tcPr>
          <w:p w:rsidR="00B50275" w:rsidRPr="003E3EB7" w:rsidRDefault="00B50275" w:rsidP="00B50275">
            <w:pPr>
              <w:spacing w:after="0" w:line="240" w:lineRule="auto"/>
              <w:jc w:val="center"/>
              <w:rPr>
                <w:rFonts w:eastAsia="Times New Roman" w:cs="Arial"/>
                <w:sz w:val="18"/>
                <w:szCs w:val="20"/>
                <w:lang w:val="es-CO" w:eastAsia="es-CO"/>
              </w:rPr>
            </w:pPr>
            <w:r w:rsidRPr="003E3EB7">
              <w:rPr>
                <w:rFonts w:eastAsia="Times New Roman" w:cs="Arial"/>
                <w:sz w:val="18"/>
                <w:szCs w:val="20"/>
                <w:lang w:val="es-CO" w:eastAsia="es-CO"/>
              </w:rPr>
              <w:t>70%</w:t>
            </w:r>
          </w:p>
        </w:tc>
      </w:tr>
    </w:tbl>
    <w:p w:rsidR="00B50275" w:rsidRPr="00B50275" w:rsidRDefault="00B50275" w:rsidP="00B50275">
      <w:pPr>
        <w:spacing w:after="0" w:line="240" w:lineRule="auto"/>
        <w:ind w:left="567" w:firstLine="141"/>
        <w:jc w:val="both"/>
        <w:rPr>
          <w:rFonts w:cs="Arial"/>
          <w:sz w:val="16"/>
        </w:rPr>
      </w:pPr>
      <w:r w:rsidRPr="00B50275">
        <w:rPr>
          <w:rFonts w:cs="Arial"/>
          <w:sz w:val="16"/>
        </w:rPr>
        <w:t xml:space="preserve">  </w:t>
      </w:r>
      <w:r w:rsidRPr="003E3EB7">
        <w:rPr>
          <w:rFonts w:cs="Arial"/>
          <w:b/>
          <w:sz w:val="16"/>
        </w:rPr>
        <w:t>Fuente:</w:t>
      </w:r>
      <w:r w:rsidRPr="00B50275">
        <w:rPr>
          <w:rFonts w:cs="Arial"/>
          <w:sz w:val="16"/>
        </w:rPr>
        <w:t xml:space="preserve"> Metas Sociales SIM / SIIF Nación corte 31 de diciembre de 2016. </w:t>
      </w:r>
    </w:p>
    <w:p w:rsidR="00B95837" w:rsidRPr="00D21160" w:rsidRDefault="00B95837" w:rsidP="00B95837">
      <w:pPr>
        <w:rPr>
          <w:rFonts w:ascii="Calibri" w:hAnsi="Calibri"/>
          <w:i/>
          <w:iCs/>
          <w:sz w:val="16"/>
          <w:lang w:val="es-CO"/>
        </w:rPr>
      </w:pPr>
      <w:r>
        <w:rPr>
          <w:rFonts w:cs="Arial"/>
        </w:rPr>
        <w:t xml:space="preserve">             </w:t>
      </w:r>
      <w:r w:rsidRPr="00D21160">
        <w:rPr>
          <w:i/>
          <w:iCs/>
          <w:sz w:val="16"/>
        </w:rPr>
        <w:t>Nota: Información preliminar, sujeta a actualización del cierre oficial de metas sociales y financieras.</w:t>
      </w:r>
    </w:p>
    <w:p w:rsidR="00B50275" w:rsidRDefault="00B50275" w:rsidP="00B50275">
      <w:pPr>
        <w:spacing w:after="0" w:line="240" w:lineRule="auto"/>
        <w:ind w:left="360"/>
        <w:jc w:val="both"/>
        <w:rPr>
          <w:rFonts w:cs="Arial"/>
        </w:rPr>
      </w:pPr>
      <w:r w:rsidRPr="00B50275">
        <w:rPr>
          <w:rFonts w:cs="Arial"/>
        </w:rPr>
        <w:t>Principales acciones realizadas:</w:t>
      </w:r>
    </w:p>
    <w:p w:rsidR="003E3EB7" w:rsidRPr="00B50275" w:rsidRDefault="003E3EB7" w:rsidP="00B50275">
      <w:pPr>
        <w:spacing w:after="0" w:line="240" w:lineRule="auto"/>
        <w:ind w:left="360"/>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Implementar formas diferenciadas de atención familiar y comunitaria que favorezcan la convivencia armónica, el fortalecimiento de las capacidades individuales y colectivas, la participación social e interacción con el territorio.</w:t>
      </w:r>
    </w:p>
    <w:p w:rsidR="003E3EB7" w:rsidRPr="00B50275" w:rsidRDefault="003E3EB7" w:rsidP="003E3EB7">
      <w:pPr>
        <w:spacing w:after="0" w:line="240" w:lineRule="auto"/>
        <w:ind w:left="360"/>
        <w:contextualSpacing/>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Acompañar a familias y comunidades mediante la implementación de acciones masivas de alto impacto social, de estrategias pedagógicas y sociales que les permitan a las familias poner en marcha sus recursos propios para afrontar las situaciones derivadas de las profundas transformaciones de su cotidianidad y de las dinámicas propias de sus territorios.</w:t>
      </w:r>
    </w:p>
    <w:p w:rsidR="003E3EB7" w:rsidRPr="00B50275" w:rsidRDefault="003E3EB7" w:rsidP="003E3EB7">
      <w:pPr>
        <w:spacing w:after="0" w:line="240" w:lineRule="auto"/>
        <w:contextualSpacing/>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 xml:space="preserve">Promover la organización, participación activa y el establecimiento de redes comunitarias de apoyo y solidaridad, formadas entre otras, para liderar escenarios de gestión local e interinstitucional en donde las voces de sus miembros sean tenidas en cuenta en los diferentes </w:t>
      </w:r>
      <w:r w:rsidR="003E3EB7">
        <w:rPr>
          <w:rFonts w:cs="Arial"/>
        </w:rPr>
        <w:t>espacios de toma de decisiones.</w:t>
      </w:r>
    </w:p>
    <w:p w:rsidR="003E3EB7" w:rsidRPr="00B50275" w:rsidRDefault="003E3EB7" w:rsidP="003E3EB7">
      <w:pPr>
        <w:spacing w:after="0" w:line="240" w:lineRule="auto"/>
        <w:contextualSpacing/>
        <w:jc w:val="both"/>
        <w:rPr>
          <w:rFonts w:cs="Arial"/>
        </w:rPr>
      </w:pPr>
    </w:p>
    <w:p w:rsidR="00B50275" w:rsidRPr="00B50275" w:rsidRDefault="00B50275" w:rsidP="00D712DC">
      <w:pPr>
        <w:numPr>
          <w:ilvl w:val="0"/>
          <w:numId w:val="93"/>
        </w:numPr>
        <w:spacing w:after="0" w:line="240" w:lineRule="auto"/>
        <w:contextualSpacing/>
        <w:jc w:val="both"/>
        <w:rPr>
          <w:rFonts w:cs="Arial"/>
        </w:rPr>
      </w:pPr>
      <w:r w:rsidRPr="00B50275">
        <w:rPr>
          <w:rFonts w:cs="Arial"/>
        </w:rPr>
        <w:lastRenderedPageBreak/>
        <w:t xml:space="preserve">Articular las entidades que integran el SNBF, en torno a procesos de reconocimiento de la familia como protagonista en el diseño de políticas de desarrollo orientadas al fortalecimiento familiar y comunitario. </w:t>
      </w:r>
    </w:p>
    <w:p w:rsidR="00B50275" w:rsidRPr="00B50275" w:rsidRDefault="00B50275" w:rsidP="00B50275">
      <w:pPr>
        <w:spacing w:after="0" w:line="240" w:lineRule="auto"/>
        <w:jc w:val="both"/>
        <w:rPr>
          <w:rFonts w:cs="Arial"/>
        </w:rPr>
      </w:pPr>
    </w:p>
    <w:p w:rsidR="00B50275" w:rsidRDefault="00B50275" w:rsidP="00B50275">
      <w:pPr>
        <w:autoSpaceDE w:val="0"/>
        <w:autoSpaceDN w:val="0"/>
        <w:adjustRightInd w:val="0"/>
        <w:spacing w:after="0" w:line="240" w:lineRule="auto"/>
        <w:jc w:val="both"/>
        <w:rPr>
          <w:rFonts w:cs="Arial"/>
        </w:rPr>
      </w:pPr>
      <w:r w:rsidRPr="00B50275">
        <w:rPr>
          <w:rFonts w:cs="Arial"/>
        </w:rPr>
        <w:t>A través de la modalidad, las famili</w:t>
      </w:r>
      <w:r w:rsidR="003E3EB7">
        <w:rPr>
          <w:rFonts w:cs="Arial"/>
        </w:rPr>
        <w:t>as reconocen la importancia de:</w:t>
      </w:r>
    </w:p>
    <w:p w:rsidR="003E3EB7" w:rsidRPr="00B50275" w:rsidRDefault="003E3EB7" w:rsidP="00B50275">
      <w:pPr>
        <w:autoSpaceDE w:val="0"/>
        <w:autoSpaceDN w:val="0"/>
        <w:adjustRightInd w:val="0"/>
        <w:spacing w:after="0" w:line="240" w:lineRule="auto"/>
        <w:jc w:val="both"/>
        <w:rPr>
          <w:rFonts w:cs="Arial"/>
        </w:rPr>
      </w:pPr>
    </w:p>
    <w:p w:rsidR="00B50275" w:rsidRDefault="00B50275" w:rsidP="00D712DC">
      <w:pPr>
        <w:numPr>
          <w:ilvl w:val="0"/>
          <w:numId w:val="94"/>
        </w:numPr>
        <w:spacing w:after="0" w:line="240" w:lineRule="auto"/>
        <w:contextualSpacing/>
        <w:jc w:val="both"/>
        <w:rPr>
          <w:rFonts w:cs="Arial"/>
        </w:rPr>
      </w:pPr>
      <w:r w:rsidRPr="00B50275">
        <w:rPr>
          <w:rFonts w:cs="Arial"/>
        </w:rPr>
        <w:t>Padres, madres y cuidadores con mayores capacidades para fortalecer vínculos con sus hijos e hijas.</w:t>
      </w:r>
    </w:p>
    <w:p w:rsidR="000D6E44" w:rsidRPr="00B50275" w:rsidRDefault="000D6E44" w:rsidP="000D6E44">
      <w:pPr>
        <w:spacing w:after="0" w:line="240" w:lineRule="auto"/>
        <w:ind w:left="360"/>
        <w:contextualSpacing/>
        <w:jc w:val="both"/>
        <w:rPr>
          <w:rFonts w:cs="Arial"/>
        </w:rPr>
      </w:pPr>
    </w:p>
    <w:p w:rsidR="00B50275" w:rsidRDefault="00B50275" w:rsidP="00D712DC">
      <w:pPr>
        <w:numPr>
          <w:ilvl w:val="0"/>
          <w:numId w:val="94"/>
        </w:numPr>
        <w:spacing w:after="0" w:line="240" w:lineRule="auto"/>
        <w:jc w:val="both"/>
        <w:rPr>
          <w:rFonts w:cs="Arial"/>
        </w:rPr>
      </w:pPr>
      <w:r w:rsidRPr="00B50275">
        <w:rPr>
          <w:rFonts w:cs="Arial"/>
        </w:rPr>
        <w:t>Niños, niñas y adolescentes con conocimiento frente a sus derechos y  a la importancia del cuidado de la salud sexual y reproductiva.</w:t>
      </w:r>
    </w:p>
    <w:p w:rsidR="003E3EB7" w:rsidRPr="00B50275" w:rsidRDefault="003E3EB7" w:rsidP="003E3EB7">
      <w:pPr>
        <w:spacing w:after="0" w:line="240" w:lineRule="auto"/>
        <w:ind w:left="360"/>
        <w:jc w:val="both"/>
        <w:rPr>
          <w:rFonts w:cs="Arial"/>
        </w:rPr>
      </w:pPr>
    </w:p>
    <w:p w:rsidR="00B50275" w:rsidRPr="00B50275" w:rsidRDefault="00B50275" w:rsidP="00D712DC">
      <w:pPr>
        <w:numPr>
          <w:ilvl w:val="0"/>
          <w:numId w:val="94"/>
        </w:numPr>
        <w:spacing w:after="0" w:line="240" w:lineRule="auto"/>
        <w:jc w:val="both"/>
        <w:rPr>
          <w:rFonts w:cs="Arial"/>
        </w:rPr>
      </w:pPr>
      <w:r w:rsidRPr="00B50275">
        <w:rPr>
          <w:rFonts w:cs="Arial"/>
        </w:rPr>
        <w:t xml:space="preserve">Aplicación de la evaluación de resultados </w:t>
      </w:r>
      <w:r w:rsidRPr="00B50275">
        <w:rPr>
          <w:rFonts w:cs="Arial"/>
          <w:i/>
        </w:rPr>
        <w:t>(articular con los logros que remita la Dirección de Niñez y Adolescencia, frente a la estrategia de entornos protectores)</w:t>
      </w:r>
      <w:r w:rsidRPr="00B50275">
        <w:rPr>
          <w:rFonts w:cs="Arial"/>
        </w:rPr>
        <w:t xml:space="preserve">. </w:t>
      </w:r>
    </w:p>
    <w:p w:rsidR="00B95837" w:rsidRDefault="00B95837" w:rsidP="006D5E33">
      <w:pPr>
        <w:ind w:firstLine="708"/>
        <w:rPr>
          <w:rFonts w:eastAsiaTheme="majorEastAsia"/>
          <w:b/>
        </w:rPr>
      </w:pPr>
      <w:bookmarkStart w:id="70" w:name="_Toc472519254"/>
      <w:bookmarkStart w:id="71" w:name="_Toc441847035"/>
    </w:p>
    <w:p w:rsidR="00B50275" w:rsidRPr="00185C85" w:rsidRDefault="00B50275" w:rsidP="006D5E33">
      <w:pPr>
        <w:ind w:firstLine="708"/>
        <w:rPr>
          <w:rFonts w:eastAsiaTheme="majorEastAsia"/>
          <w:b/>
        </w:rPr>
      </w:pPr>
      <w:r w:rsidRPr="00185C85">
        <w:rPr>
          <w:rFonts w:eastAsiaTheme="majorEastAsia"/>
          <w:b/>
        </w:rPr>
        <w:t>Unidades de Apoyo y Fortalecimiento a Familias – UNAFA</w:t>
      </w:r>
      <w:bookmarkEnd w:id="70"/>
    </w:p>
    <w:p w:rsidR="00B50275" w:rsidRPr="00B50275" w:rsidRDefault="00B50275" w:rsidP="00B50275">
      <w:pPr>
        <w:spacing w:after="0" w:line="240" w:lineRule="auto"/>
        <w:jc w:val="both"/>
        <w:rPr>
          <w:rFonts w:cs="Arial"/>
        </w:rPr>
      </w:pPr>
      <w:r w:rsidRPr="00B50275">
        <w:rPr>
          <w:rFonts w:cs="Arial"/>
        </w:rPr>
        <w:t>Tiene como objetivo brindar atención y formación integral a las familias de niños, niñas y adolescentes con discapacidad, vinculados a la modalidad de Hogar Gestor que implementa la Dirección de Protección, y generar procesos de transformación social que promuevan el goce efectivo de los derechos, reconociendo su diversidad.</w:t>
      </w:r>
    </w:p>
    <w:p w:rsidR="00B50275" w:rsidRPr="00B50275" w:rsidRDefault="00B50275" w:rsidP="00B50275">
      <w:pPr>
        <w:spacing w:after="0" w:line="240" w:lineRule="auto"/>
        <w:contextualSpacing/>
        <w:jc w:val="both"/>
        <w:rPr>
          <w:rFonts w:cs="Arial"/>
        </w:rPr>
      </w:pPr>
    </w:p>
    <w:p w:rsidR="00B50275" w:rsidRPr="00B50275" w:rsidRDefault="00B50275" w:rsidP="00B50275">
      <w:pPr>
        <w:spacing w:after="0" w:line="240" w:lineRule="auto"/>
        <w:contextualSpacing/>
        <w:jc w:val="both"/>
        <w:rPr>
          <w:rFonts w:cs="Arial"/>
        </w:rPr>
      </w:pPr>
      <w:r w:rsidRPr="00B50275">
        <w:rPr>
          <w:rFonts w:cs="Arial"/>
        </w:rPr>
        <w:t>La modalidad va dirigida a la atención, orientación y fortalecimiento de las familias con niños, niñas y adolescentes con discapacidad con medida de restablecimiento de derechos en Hogar Gestor.</w:t>
      </w:r>
    </w:p>
    <w:p w:rsidR="00B50275" w:rsidRPr="00B50275" w:rsidRDefault="00B50275" w:rsidP="00B50275">
      <w:pPr>
        <w:spacing w:after="0" w:line="240" w:lineRule="auto"/>
        <w:contextualSpacing/>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Su estado con corte a 31 de diciembre de 2016 es el siguiente: </w:t>
      </w:r>
    </w:p>
    <w:p w:rsidR="00B50275" w:rsidRPr="00B50275" w:rsidRDefault="00B50275" w:rsidP="00B50275">
      <w:pPr>
        <w:spacing w:after="0" w:line="240" w:lineRule="auto"/>
        <w:ind w:left="360"/>
        <w:contextualSpacing/>
        <w:jc w:val="both"/>
        <w:rPr>
          <w:rFonts w:cs="Arial"/>
        </w:rPr>
      </w:pPr>
    </w:p>
    <w:tbl>
      <w:tblPr>
        <w:tblW w:w="777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703"/>
        <w:gridCol w:w="2025"/>
        <w:gridCol w:w="1439"/>
        <w:gridCol w:w="2612"/>
      </w:tblGrid>
      <w:tr w:rsidR="00B50275" w:rsidRPr="00B50275" w:rsidTr="003E3EB7">
        <w:trPr>
          <w:trHeight w:val="464"/>
          <w:tblHeader/>
          <w:jc w:val="center"/>
        </w:trPr>
        <w:tc>
          <w:tcPr>
            <w:tcW w:w="1703" w:type="dxa"/>
            <w:shd w:val="clear" w:color="auto" w:fill="76923C" w:themeFill="accent3" w:themeFillShade="BF"/>
            <w:vAlign w:val="center"/>
          </w:tcPr>
          <w:p w:rsidR="00B50275" w:rsidRPr="003E3EB7" w:rsidRDefault="00B50275" w:rsidP="00B50275">
            <w:pPr>
              <w:spacing w:after="0" w:line="240" w:lineRule="auto"/>
              <w:jc w:val="center"/>
              <w:rPr>
                <w:rFonts w:eastAsia="Times New Roman" w:cs="Arial"/>
                <w:b/>
                <w:bCs/>
                <w:color w:val="FFFFFF" w:themeColor="background1"/>
                <w:sz w:val="18"/>
              </w:rPr>
            </w:pPr>
            <w:r w:rsidRPr="003E3EB7">
              <w:rPr>
                <w:rFonts w:eastAsia="Times New Roman" w:cs="Arial"/>
                <w:b/>
                <w:bCs/>
                <w:color w:val="FFFFFF" w:themeColor="background1"/>
                <w:sz w:val="18"/>
              </w:rPr>
              <w:t>Ítem</w:t>
            </w:r>
          </w:p>
        </w:tc>
        <w:tc>
          <w:tcPr>
            <w:tcW w:w="2025" w:type="dxa"/>
            <w:shd w:val="clear" w:color="auto" w:fill="76923C" w:themeFill="accent3" w:themeFillShade="BF"/>
            <w:vAlign w:val="center"/>
          </w:tcPr>
          <w:p w:rsidR="00B50275" w:rsidRPr="003E3EB7" w:rsidRDefault="003E3EB7" w:rsidP="00B50275">
            <w:pPr>
              <w:spacing w:after="0" w:line="240" w:lineRule="auto"/>
              <w:jc w:val="center"/>
              <w:rPr>
                <w:rFonts w:eastAsia="Times New Roman" w:cs="Arial"/>
                <w:b/>
                <w:bCs/>
                <w:color w:val="FFFFFF" w:themeColor="background1"/>
                <w:sz w:val="18"/>
              </w:rPr>
            </w:pPr>
            <w:r>
              <w:rPr>
                <w:rFonts w:eastAsia="Times New Roman" w:cs="Arial"/>
                <w:b/>
                <w:color w:val="FFFFFF" w:themeColor="background1"/>
                <w:sz w:val="18"/>
              </w:rPr>
              <w:t>Ejecución corte D</w:t>
            </w:r>
            <w:r w:rsidR="00B50275" w:rsidRPr="003E3EB7">
              <w:rPr>
                <w:rFonts w:eastAsia="Times New Roman" w:cs="Arial"/>
                <w:b/>
                <w:color w:val="FFFFFF" w:themeColor="background1"/>
                <w:sz w:val="18"/>
              </w:rPr>
              <w:t>iciembre 2016</w:t>
            </w:r>
          </w:p>
        </w:tc>
        <w:tc>
          <w:tcPr>
            <w:tcW w:w="1439" w:type="dxa"/>
            <w:shd w:val="clear" w:color="auto" w:fill="76923C" w:themeFill="accent3" w:themeFillShade="BF"/>
            <w:vAlign w:val="center"/>
          </w:tcPr>
          <w:p w:rsidR="00B50275" w:rsidRPr="003E3EB7" w:rsidRDefault="00B50275" w:rsidP="00B50275">
            <w:pPr>
              <w:spacing w:after="0" w:line="240" w:lineRule="auto"/>
              <w:jc w:val="center"/>
              <w:rPr>
                <w:rFonts w:eastAsia="Times New Roman" w:cs="Arial"/>
                <w:b/>
                <w:bCs/>
                <w:color w:val="FFFFFF" w:themeColor="background1"/>
                <w:sz w:val="18"/>
              </w:rPr>
            </w:pPr>
            <w:r w:rsidRPr="003E3EB7">
              <w:rPr>
                <w:rFonts w:eastAsia="Times New Roman" w:cs="Arial"/>
                <w:b/>
                <w:color w:val="FFFFFF" w:themeColor="background1"/>
                <w:sz w:val="18"/>
              </w:rPr>
              <w:t>Meta 2016</w:t>
            </w:r>
          </w:p>
        </w:tc>
        <w:tc>
          <w:tcPr>
            <w:tcW w:w="2612" w:type="dxa"/>
            <w:shd w:val="clear" w:color="auto" w:fill="76923C" w:themeFill="accent3" w:themeFillShade="BF"/>
            <w:vAlign w:val="center"/>
          </w:tcPr>
          <w:p w:rsidR="00B50275" w:rsidRPr="003E3EB7" w:rsidRDefault="003E3EB7" w:rsidP="00B50275">
            <w:pPr>
              <w:spacing w:after="0" w:line="240" w:lineRule="auto"/>
              <w:jc w:val="center"/>
              <w:rPr>
                <w:rFonts w:eastAsia="Times New Roman" w:cs="Arial"/>
                <w:b/>
                <w:bCs/>
                <w:color w:val="FFFFFF" w:themeColor="background1"/>
                <w:sz w:val="18"/>
              </w:rPr>
            </w:pPr>
            <w:r>
              <w:rPr>
                <w:rFonts w:eastAsia="Times New Roman" w:cs="Arial"/>
                <w:b/>
                <w:color w:val="FFFFFF" w:themeColor="background1"/>
                <w:sz w:val="18"/>
              </w:rPr>
              <w:t>% de C</w:t>
            </w:r>
            <w:r w:rsidR="00B50275" w:rsidRPr="003E3EB7">
              <w:rPr>
                <w:rFonts w:eastAsia="Times New Roman" w:cs="Arial"/>
                <w:b/>
                <w:color w:val="FFFFFF" w:themeColor="background1"/>
                <w:sz w:val="18"/>
              </w:rPr>
              <w:t>umplimiento</w:t>
            </w:r>
          </w:p>
        </w:tc>
      </w:tr>
      <w:tr w:rsidR="00B50275" w:rsidRPr="00B50275" w:rsidTr="003E3EB7">
        <w:trPr>
          <w:trHeight w:val="332"/>
          <w:jc w:val="center"/>
        </w:trPr>
        <w:tc>
          <w:tcPr>
            <w:tcW w:w="1703" w:type="dxa"/>
          </w:tcPr>
          <w:p w:rsidR="00B50275" w:rsidRPr="00B50275" w:rsidRDefault="00B50275" w:rsidP="00B50275">
            <w:pPr>
              <w:spacing w:after="0" w:line="240" w:lineRule="auto"/>
              <w:jc w:val="both"/>
              <w:rPr>
                <w:rFonts w:ascii="Verdana" w:eastAsia="Times New Roman" w:hAnsi="Verdana" w:cs="Arial"/>
                <w:b/>
                <w:bCs/>
                <w:sz w:val="18"/>
              </w:rPr>
            </w:pPr>
            <w:r w:rsidRPr="00B50275">
              <w:rPr>
                <w:rFonts w:ascii="Verdana" w:eastAsia="Times New Roman" w:hAnsi="Verdana" w:cs="Arial"/>
                <w:sz w:val="18"/>
              </w:rPr>
              <w:t>Cobertura</w:t>
            </w:r>
          </w:p>
        </w:tc>
        <w:tc>
          <w:tcPr>
            <w:tcW w:w="2025"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3.161</w:t>
            </w:r>
          </w:p>
        </w:tc>
        <w:tc>
          <w:tcPr>
            <w:tcW w:w="1439"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2.960</w:t>
            </w:r>
          </w:p>
        </w:tc>
        <w:tc>
          <w:tcPr>
            <w:tcW w:w="2612"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107%</w:t>
            </w:r>
          </w:p>
        </w:tc>
      </w:tr>
      <w:tr w:rsidR="00B50275" w:rsidRPr="00B50275" w:rsidTr="003E3EB7">
        <w:trPr>
          <w:trHeight w:val="553"/>
          <w:jc w:val="center"/>
        </w:trPr>
        <w:tc>
          <w:tcPr>
            <w:tcW w:w="1703" w:type="dxa"/>
          </w:tcPr>
          <w:p w:rsidR="00B50275" w:rsidRPr="00B50275" w:rsidRDefault="00B50275" w:rsidP="00B50275">
            <w:pPr>
              <w:spacing w:after="0" w:line="240" w:lineRule="auto"/>
              <w:jc w:val="both"/>
              <w:rPr>
                <w:rFonts w:eastAsia="Times New Roman" w:cs="Arial"/>
                <w:b/>
                <w:bCs/>
                <w:sz w:val="18"/>
              </w:rPr>
            </w:pPr>
            <w:r w:rsidRPr="00B50275">
              <w:rPr>
                <w:rFonts w:eastAsia="Times New Roman" w:cs="Arial"/>
                <w:sz w:val="18"/>
              </w:rPr>
              <w:t>Inversión (millones de $)</w:t>
            </w:r>
          </w:p>
        </w:tc>
        <w:tc>
          <w:tcPr>
            <w:tcW w:w="2025" w:type="dxa"/>
            <w:vAlign w:val="center"/>
          </w:tcPr>
          <w:p w:rsidR="00B50275" w:rsidRPr="00B50275" w:rsidRDefault="00B50275" w:rsidP="00B50275">
            <w:pPr>
              <w:spacing w:after="0" w:line="240" w:lineRule="auto"/>
              <w:jc w:val="center"/>
              <w:rPr>
                <w:rFonts w:eastAsia="Times New Roman" w:cs="Arial"/>
                <w:sz w:val="18"/>
              </w:rPr>
            </w:pPr>
            <w:r w:rsidRPr="00B50275">
              <w:rPr>
                <w:rFonts w:ascii="Verdana" w:eastAsia="Times New Roman" w:hAnsi="Verdana" w:cs="Arial"/>
                <w:sz w:val="18"/>
              </w:rPr>
              <w:t>$ 1.943</w:t>
            </w:r>
          </w:p>
        </w:tc>
        <w:tc>
          <w:tcPr>
            <w:tcW w:w="1439" w:type="dxa"/>
            <w:vAlign w:val="center"/>
          </w:tcPr>
          <w:p w:rsidR="00B50275" w:rsidRPr="00B50275" w:rsidRDefault="00B50275" w:rsidP="00B50275">
            <w:pPr>
              <w:spacing w:after="0" w:line="240" w:lineRule="auto"/>
              <w:jc w:val="center"/>
              <w:rPr>
                <w:rFonts w:eastAsia="Times New Roman" w:cs="Arial"/>
                <w:sz w:val="18"/>
              </w:rPr>
            </w:pPr>
            <w:r w:rsidRPr="00B50275">
              <w:rPr>
                <w:rFonts w:ascii="Verdana" w:eastAsia="Times New Roman" w:hAnsi="Verdana" w:cs="Arial"/>
                <w:sz w:val="18"/>
              </w:rPr>
              <w:t>$ 2.171</w:t>
            </w:r>
          </w:p>
        </w:tc>
        <w:tc>
          <w:tcPr>
            <w:tcW w:w="2612" w:type="dxa"/>
            <w:vAlign w:val="center"/>
          </w:tcPr>
          <w:p w:rsidR="00B50275" w:rsidRPr="00B50275" w:rsidRDefault="00B50275" w:rsidP="00B50275">
            <w:pPr>
              <w:spacing w:after="0" w:line="240" w:lineRule="auto"/>
              <w:jc w:val="center"/>
              <w:rPr>
                <w:rFonts w:eastAsia="Times New Roman" w:cs="Arial"/>
                <w:sz w:val="18"/>
                <w:lang w:val="es-CO" w:eastAsia="es-CO"/>
              </w:rPr>
            </w:pPr>
            <w:r w:rsidRPr="00B50275">
              <w:rPr>
                <w:rFonts w:eastAsia="Times New Roman" w:cs="Arial"/>
                <w:sz w:val="18"/>
                <w:lang w:val="es-CO" w:eastAsia="es-CO"/>
              </w:rPr>
              <w:t>89%</w:t>
            </w:r>
          </w:p>
        </w:tc>
      </w:tr>
    </w:tbl>
    <w:p w:rsidR="00B50275" w:rsidRPr="00B50275" w:rsidRDefault="00B50275" w:rsidP="00B50275">
      <w:pPr>
        <w:spacing w:after="0" w:line="240" w:lineRule="auto"/>
        <w:ind w:left="567"/>
        <w:jc w:val="both"/>
        <w:rPr>
          <w:rFonts w:cs="Arial"/>
        </w:rPr>
      </w:pPr>
      <w:r w:rsidRPr="00B50275">
        <w:rPr>
          <w:rFonts w:cs="Arial"/>
          <w:sz w:val="16"/>
        </w:rPr>
        <w:t xml:space="preserve">     Fuente: Metas Sociales SIM / SIIF Nación corte 31 de diciembre de 2016.</w:t>
      </w:r>
      <w:r w:rsidRPr="00B50275">
        <w:rPr>
          <w:rFonts w:cs="Arial"/>
        </w:rPr>
        <w:t xml:space="preserve"> </w:t>
      </w:r>
    </w:p>
    <w:p w:rsidR="00B95837" w:rsidRPr="00D21160" w:rsidRDefault="00B95837" w:rsidP="00B95837">
      <w:pPr>
        <w:rPr>
          <w:rFonts w:ascii="Calibri" w:hAnsi="Calibri"/>
          <w:i/>
          <w:iCs/>
          <w:sz w:val="16"/>
          <w:lang w:val="es-CO"/>
        </w:rPr>
      </w:pPr>
      <w:r>
        <w:rPr>
          <w:i/>
          <w:iCs/>
          <w:sz w:val="16"/>
        </w:rPr>
        <w:t xml:space="preserve">                 </w:t>
      </w:r>
      <w:r w:rsidRPr="00D21160">
        <w:rPr>
          <w:i/>
          <w:iCs/>
          <w:sz w:val="16"/>
        </w:rPr>
        <w:t>Nota: Información preliminar, sujeta a actualización del cierre oficial de metas sociales y financieras.</w:t>
      </w:r>
    </w:p>
    <w:p w:rsidR="00B50275" w:rsidRDefault="00B50275" w:rsidP="00B50275">
      <w:pPr>
        <w:spacing w:after="0" w:line="240" w:lineRule="auto"/>
        <w:contextualSpacing/>
        <w:jc w:val="both"/>
        <w:rPr>
          <w:rFonts w:cs="Arial"/>
        </w:rPr>
      </w:pPr>
      <w:r w:rsidRPr="00B50275">
        <w:rPr>
          <w:rFonts w:cs="Arial"/>
        </w:rPr>
        <w:t>Principales acciones realizadas:</w:t>
      </w:r>
    </w:p>
    <w:p w:rsidR="001617A4" w:rsidRPr="00B50275" w:rsidRDefault="001617A4" w:rsidP="00B50275">
      <w:pPr>
        <w:spacing w:after="0" w:line="240" w:lineRule="auto"/>
        <w:contextualSpacing/>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Implementar formas diferenciadas de atención familiar y comunitaria que favorezcan la convivencia armónica, el fortalecimiento de las capacidades individuales y colectivas, la participación social y la interacción en el territorio.</w:t>
      </w:r>
    </w:p>
    <w:p w:rsidR="003E3EB7" w:rsidRPr="00B50275" w:rsidRDefault="003E3EB7" w:rsidP="003E3EB7">
      <w:pPr>
        <w:spacing w:after="0" w:line="240" w:lineRule="auto"/>
        <w:ind w:left="360"/>
        <w:contextualSpacing/>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 xml:space="preserve">Promover la organización, la participación activa y el establecimiento de redes comunitarias de apoyo y solidaridad, formadas entre otras, para liderar escenarios de gestión local e </w:t>
      </w:r>
      <w:r w:rsidRPr="00B50275">
        <w:rPr>
          <w:rFonts w:cs="Arial"/>
        </w:rPr>
        <w:lastRenderedPageBreak/>
        <w:t xml:space="preserve">interinstitucional en donde las voces de las familias  sean tenidas en cuenta en los diferentes </w:t>
      </w:r>
      <w:r w:rsidR="003E3EB7">
        <w:rPr>
          <w:rFonts w:cs="Arial"/>
        </w:rPr>
        <w:t>espacios de toma de decisiones.</w:t>
      </w:r>
    </w:p>
    <w:p w:rsidR="003E3EB7" w:rsidRPr="00B50275" w:rsidRDefault="003E3EB7" w:rsidP="003E3EB7">
      <w:pPr>
        <w:spacing w:after="0" w:line="240" w:lineRule="auto"/>
        <w:contextualSpacing/>
        <w:jc w:val="both"/>
        <w:rPr>
          <w:rFonts w:cs="Arial"/>
        </w:rPr>
      </w:pPr>
    </w:p>
    <w:p w:rsidR="00B50275" w:rsidRDefault="00B50275" w:rsidP="00D712DC">
      <w:pPr>
        <w:numPr>
          <w:ilvl w:val="0"/>
          <w:numId w:val="93"/>
        </w:numPr>
        <w:spacing w:after="0" w:line="240" w:lineRule="auto"/>
        <w:contextualSpacing/>
        <w:jc w:val="both"/>
        <w:rPr>
          <w:rFonts w:cs="Arial"/>
        </w:rPr>
      </w:pPr>
      <w:r w:rsidRPr="00B50275">
        <w:rPr>
          <w:rFonts w:cs="Arial"/>
        </w:rPr>
        <w:t>Articular entidades que integran el SNBF, en torno a procesos de reconocimiento de las familias como protagonistas en el diseño de políticas de desarrollo orientadas al fortalec</w:t>
      </w:r>
      <w:r w:rsidR="003E3EB7">
        <w:rPr>
          <w:rFonts w:cs="Arial"/>
        </w:rPr>
        <w:t>imiento familiar y comunitario.</w:t>
      </w:r>
    </w:p>
    <w:p w:rsidR="000D6E44" w:rsidRDefault="000D6E44" w:rsidP="000D6E44">
      <w:pPr>
        <w:spacing w:after="0" w:line="240" w:lineRule="auto"/>
        <w:contextualSpacing/>
        <w:jc w:val="both"/>
        <w:rPr>
          <w:rFonts w:cs="Arial"/>
        </w:rPr>
      </w:pPr>
    </w:p>
    <w:p w:rsidR="009301FB" w:rsidRDefault="00B50275" w:rsidP="00D712DC">
      <w:pPr>
        <w:numPr>
          <w:ilvl w:val="0"/>
          <w:numId w:val="93"/>
        </w:numPr>
        <w:spacing w:after="0" w:line="240" w:lineRule="auto"/>
        <w:contextualSpacing/>
        <w:jc w:val="both"/>
        <w:rPr>
          <w:rFonts w:cs="Arial"/>
        </w:rPr>
      </w:pPr>
      <w:r w:rsidRPr="00B50275">
        <w:rPr>
          <w:rFonts w:cs="Arial"/>
        </w:rPr>
        <w:t>Generar procesos de orientación, formación y capacitación que contribuyan al cambio de aquellos  patrones socioculturales que limitan el desarrollo de las familias, fortaleciendo los factores protectores y el apoyo de iniciativas para el desarr</w:t>
      </w:r>
      <w:r w:rsidR="009301FB">
        <w:rPr>
          <w:rFonts w:cs="Arial"/>
        </w:rPr>
        <w:t>ollo de proyectos comunitarios.</w:t>
      </w:r>
    </w:p>
    <w:p w:rsidR="00B50275" w:rsidRPr="009301FB" w:rsidRDefault="00B50275" w:rsidP="009301FB">
      <w:pPr>
        <w:spacing w:after="0" w:line="240" w:lineRule="auto"/>
        <w:ind w:left="360"/>
        <w:contextualSpacing/>
        <w:jc w:val="both"/>
        <w:rPr>
          <w:rFonts w:cs="Arial"/>
        </w:rPr>
      </w:pPr>
      <w:r w:rsidRPr="009301FB">
        <w:rPr>
          <w:rFonts w:cs="Arial"/>
        </w:rPr>
        <w:t xml:space="preserve"> </w:t>
      </w:r>
    </w:p>
    <w:p w:rsidR="00B50275" w:rsidRPr="009301FB" w:rsidRDefault="00B50275" w:rsidP="00D712DC">
      <w:pPr>
        <w:numPr>
          <w:ilvl w:val="0"/>
          <w:numId w:val="93"/>
        </w:numPr>
        <w:spacing w:after="0" w:line="240" w:lineRule="auto"/>
        <w:contextualSpacing/>
        <w:jc w:val="both"/>
        <w:rPr>
          <w:rFonts w:cs="Arial"/>
        </w:rPr>
      </w:pPr>
      <w:r w:rsidRPr="00B50275">
        <w:rPr>
          <w:rFonts w:eastAsia="Times New Roman" w:cs="Arial"/>
          <w:bCs/>
        </w:rPr>
        <w:t>Fortalecer los lazos de confianza, brindando la posibilidad a las familias y comunidades del reencuentro desde una perspectiva en la que unos y otros se reconocen, se aceptan, se reconcilian e inician un nuevo camino.</w:t>
      </w:r>
    </w:p>
    <w:p w:rsidR="00B95837" w:rsidRDefault="00B95837" w:rsidP="006D5E33">
      <w:pPr>
        <w:ind w:firstLine="708"/>
        <w:rPr>
          <w:rFonts w:eastAsiaTheme="majorEastAsia"/>
          <w:b/>
        </w:rPr>
      </w:pPr>
      <w:bookmarkStart w:id="72" w:name="_Toc472519255"/>
    </w:p>
    <w:p w:rsidR="00B50275" w:rsidRPr="00185C85" w:rsidRDefault="00B50275" w:rsidP="006D5E33">
      <w:pPr>
        <w:ind w:firstLine="708"/>
        <w:rPr>
          <w:rFonts w:eastAsiaTheme="majorEastAsia"/>
          <w:b/>
        </w:rPr>
      </w:pPr>
      <w:r w:rsidRPr="00185C85">
        <w:rPr>
          <w:rFonts w:eastAsiaTheme="majorEastAsia"/>
          <w:b/>
        </w:rPr>
        <w:t>Territorios Étnicos con Bienestar</w:t>
      </w:r>
      <w:bookmarkEnd w:id="71"/>
      <w:bookmarkEnd w:id="72"/>
    </w:p>
    <w:p w:rsidR="00B50275" w:rsidRPr="00B50275" w:rsidRDefault="00B50275" w:rsidP="00B50275">
      <w:pPr>
        <w:spacing w:after="0" w:line="240" w:lineRule="auto"/>
        <w:jc w:val="both"/>
        <w:rPr>
          <w:rFonts w:cs="Arial"/>
        </w:rPr>
      </w:pPr>
      <w:r w:rsidRPr="00B50275">
        <w:rPr>
          <w:rFonts w:cs="Arial"/>
        </w:rPr>
        <w:t>La población beneficiaria de esta modalidad son las familias y comunidades pertenecientes a grupos étnicos; Pueblos Indígenas, Comunidades Negras, Afrocolombianas, Raizales, Palenqueros y Pueblo Gitano o Rrom.</w:t>
      </w:r>
    </w:p>
    <w:p w:rsidR="00B50275" w:rsidRPr="00B50275" w:rsidRDefault="00B50275" w:rsidP="00B50275">
      <w:pPr>
        <w:spacing w:after="0" w:line="240" w:lineRule="auto"/>
        <w:jc w:val="both"/>
        <w:rPr>
          <w:rFonts w:cs="Arial"/>
          <w:lang w:val="es-CO"/>
        </w:rPr>
      </w:pPr>
    </w:p>
    <w:p w:rsidR="00B50275" w:rsidRPr="00B50275" w:rsidRDefault="00B50275" w:rsidP="00B50275">
      <w:pPr>
        <w:spacing w:after="0" w:line="240" w:lineRule="auto"/>
        <w:jc w:val="both"/>
        <w:rPr>
          <w:rFonts w:cs="Arial"/>
          <w:lang w:val="es-CO"/>
        </w:rPr>
      </w:pPr>
      <w:r w:rsidRPr="00B50275">
        <w:rPr>
          <w:rFonts w:cs="Arial"/>
          <w:lang w:val="es-CO"/>
        </w:rPr>
        <w:t>La modalidad tiene por objetivo apoyar procesos que favorezcan el des</w:t>
      </w:r>
      <w:r w:rsidRPr="00B50275">
        <w:rPr>
          <w:rFonts w:cs="Arial"/>
        </w:rPr>
        <w:t>arrollo de las familias</w:t>
      </w:r>
      <w:r w:rsidRPr="00B50275">
        <w:rPr>
          <w:rFonts w:cs="Arial"/>
          <w:lang w:val="es-CO"/>
        </w:rPr>
        <w:t xml:space="preserve"> y comunidades de grupos étnicos, y que potencien sus capacidades para reafirmar su identidad cultural, sus dinámicas familiares y comunitarias y sus estructuras sociales, económicas, culturales y organizativas, por medio de acciones que mejoren sus condiciones de vida y posibiliten su crecimiento como individuos y grupos capaces de ejercer los derechos que les son inherentes.</w:t>
      </w:r>
    </w:p>
    <w:p w:rsidR="00B50275" w:rsidRPr="00B50275" w:rsidRDefault="00B50275" w:rsidP="00B50275">
      <w:pPr>
        <w:spacing w:after="0" w:line="240" w:lineRule="auto"/>
        <w:jc w:val="both"/>
        <w:rPr>
          <w:rFonts w:cs="Arial"/>
          <w:lang w:val="es-CO"/>
        </w:rPr>
      </w:pPr>
    </w:p>
    <w:p w:rsidR="00B50275" w:rsidRPr="00B50275" w:rsidRDefault="00B50275" w:rsidP="00B50275">
      <w:pPr>
        <w:spacing w:after="0" w:line="240" w:lineRule="auto"/>
        <w:contextualSpacing/>
        <w:jc w:val="both"/>
        <w:rPr>
          <w:rFonts w:cs="Arial"/>
        </w:rPr>
      </w:pPr>
      <w:r w:rsidRPr="00B50275">
        <w:rPr>
          <w:rFonts w:cs="Arial"/>
        </w:rPr>
        <w:t xml:space="preserve">El programa responde al siguiente conjunto de políticas y leyes: i) Constitución Política de Colombia 1991; ii) Ley 70 de 1993 o ley de negritudes; iii) Resolución No 022 del 2 de septiembre de 1999 – Reconocimiento Rrom; iv) Resolución 2366 de septiembre de 2007; iv) Decreto 987 de 2012 – enfoque diferencial; v) Artículo 2º del Decreto 2164 de 1995; vi) Marco general orientaciones de política pública y documento técnicos de atención diferenciada ICBF en materia de familia infancia y adolescencia de grupos étnicos, reconocido como norma institucional y vii) Documento técnico para la inclusión y atención de familias. </w:t>
      </w:r>
    </w:p>
    <w:p w:rsidR="00B50275" w:rsidRPr="00B50275" w:rsidRDefault="00B50275" w:rsidP="00B50275">
      <w:pPr>
        <w:spacing w:after="0" w:line="240" w:lineRule="auto"/>
        <w:contextualSpacing/>
        <w:jc w:val="both"/>
        <w:rPr>
          <w:rFonts w:cs="Arial"/>
        </w:rPr>
      </w:pPr>
    </w:p>
    <w:p w:rsidR="00B50275" w:rsidRPr="00B50275" w:rsidRDefault="00B50275" w:rsidP="00B50275">
      <w:pPr>
        <w:spacing w:after="0" w:line="240" w:lineRule="auto"/>
        <w:contextualSpacing/>
        <w:jc w:val="both"/>
        <w:rPr>
          <w:rFonts w:cs="Arial"/>
        </w:rPr>
      </w:pPr>
      <w:r w:rsidRPr="00B50275">
        <w:rPr>
          <w:rFonts w:cs="Arial"/>
        </w:rPr>
        <w:t>Adicionalmente permite cumplir con los compromisos asumidos por el ICBF en el Plan Nacional de Desarrollo, los Planes de Salvaguarda del auto 004, los autos específicos (382 de 2010, 174 de 2011, 173 de 2012, 051 de 2013), las sentencias de restitución de derechos territoriales y los planes de reparación colectiva.</w:t>
      </w:r>
    </w:p>
    <w:p w:rsidR="00B50275" w:rsidRPr="00B50275" w:rsidRDefault="00B50275" w:rsidP="00B50275">
      <w:pPr>
        <w:spacing w:after="0" w:line="240" w:lineRule="auto"/>
        <w:contextualSpacing/>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Su estado con corte a 31 de diciembre de 2016 es el siguiente: </w:t>
      </w:r>
    </w:p>
    <w:p w:rsidR="00B50275" w:rsidRPr="00B50275" w:rsidRDefault="00B50275" w:rsidP="00B50275">
      <w:pPr>
        <w:spacing w:after="0" w:line="240" w:lineRule="auto"/>
        <w:rPr>
          <w:rFonts w:cs="Arial"/>
          <w:lang w:eastAsia="es-ES"/>
        </w:rPr>
      </w:pPr>
    </w:p>
    <w:tbl>
      <w:tblPr>
        <w:tblW w:w="777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263"/>
        <w:gridCol w:w="1843"/>
        <w:gridCol w:w="1701"/>
        <w:gridCol w:w="1972"/>
      </w:tblGrid>
      <w:tr w:rsidR="00B50275" w:rsidRPr="009301FB" w:rsidTr="009301FB">
        <w:trPr>
          <w:trHeight w:val="464"/>
          <w:tblHeader/>
          <w:jc w:val="center"/>
        </w:trPr>
        <w:tc>
          <w:tcPr>
            <w:tcW w:w="2263" w:type="dxa"/>
            <w:shd w:val="clear" w:color="auto" w:fill="76923C" w:themeFill="accent3" w:themeFillShade="BF"/>
            <w:vAlign w:val="center"/>
          </w:tcPr>
          <w:p w:rsidR="00B50275" w:rsidRPr="009301FB" w:rsidRDefault="00B50275" w:rsidP="00B50275">
            <w:pPr>
              <w:spacing w:after="0" w:line="240" w:lineRule="auto"/>
              <w:jc w:val="center"/>
              <w:rPr>
                <w:rFonts w:eastAsia="Times New Roman" w:cs="Arial"/>
                <w:b/>
                <w:bCs/>
                <w:color w:val="FFFFFF" w:themeColor="background1"/>
                <w:sz w:val="18"/>
                <w:szCs w:val="20"/>
              </w:rPr>
            </w:pPr>
            <w:r w:rsidRPr="009301FB">
              <w:rPr>
                <w:rFonts w:eastAsia="Times New Roman" w:cs="Arial"/>
                <w:b/>
                <w:bCs/>
                <w:color w:val="FFFFFF" w:themeColor="background1"/>
                <w:sz w:val="18"/>
                <w:szCs w:val="20"/>
              </w:rPr>
              <w:t>Ítem</w:t>
            </w:r>
          </w:p>
        </w:tc>
        <w:tc>
          <w:tcPr>
            <w:tcW w:w="1843" w:type="dxa"/>
            <w:shd w:val="clear" w:color="auto" w:fill="76923C" w:themeFill="accent3" w:themeFillShade="BF"/>
            <w:vAlign w:val="center"/>
          </w:tcPr>
          <w:p w:rsidR="00B50275" w:rsidRPr="009301FB" w:rsidRDefault="009301FB" w:rsidP="00B50275">
            <w:pPr>
              <w:spacing w:after="0" w:line="240" w:lineRule="auto"/>
              <w:jc w:val="center"/>
              <w:rPr>
                <w:rFonts w:eastAsia="Times New Roman" w:cs="Arial"/>
                <w:b/>
                <w:bCs/>
                <w:color w:val="FFFFFF" w:themeColor="background1"/>
                <w:sz w:val="18"/>
                <w:szCs w:val="20"/>
              </w:rPr>
            </w:pPr>
            <w:r w:rsidRPr="009301FB">
              <w:rPr>
                <w:rFonts w:eastAsia="Times New Roman" w:cs="Arial"/>
                <w:b/>
                <w:color w:val="FFFFFF" w:themeColor="background1"/>
                <w:sz w:val="18"/>
                <w:szCs w:val="20"/>
              </w:rPr>
              <w:t>Ejecución corte D</w:t>
            </w:r>
            <w:r w:rsidR="00B50275" w:rsidRPr="009301FB">
              <w:rPr>
                <w:rFonts w:eastAsia="Times New Roman" w:cs="Arial"/>
                <w:b/>
                <w:color w:val="FFFFFF" w:themeColor="background1"/>
                <w:sz w:val="18"/>
                <w:szCs w:val="20"/>
              </w:rPr>
              <w:t>iciembre 2016</w:t>
            </w:r>
          </w:p>
        </w:tc>
        <w:tc>
          <w:tcPr>
            <w:tcW w:w="1701" w:type="dxa"/>
            <w:shd w:val="clear" w:color="auto" w:fill="76923C" w:themeFill="accent3" w:themeFillShade="BF"/>
            <w:vAlign w:val="center"/>
          </w:tcPr>
          <w:p w:rsidR="00B50275" w:rsidRPr="009301FB" w:rsidRDefault="00B50275" w:rsidP="00B50275">
            <w:pPr>
              <w:spacing w:after="0" w:line="240" w:lineRule="auto"/>
              <w:jc w:val="center"/>
              <w:rPr>
                <w:rFonts w:eastAsia="Times New Roman" w:cs="Arial"/>
                <w:b/>
                <w:bCs/>
                <w:color w:val="FFFFFF" w:themeColor="background1"/>
                <w:sz w:val="18"/>
                <w:szCs w:val="20"/>
              </w:rPr>
            </w:pPr>
            <w:r w:rsidRPr="009301FB">
              <w:rPr>
                <w:rFonts w:eastAsia="Times New Roman" w:cs="Arial"/>
                <w:b/>
                <w:color w:val="FFFFFF" w:themeColor="background1"/>
                <w:sz w:val="18"/>
                <w:szCs w:val="20"/>
              </w:rPr>
              <w:t>Meta 2016</w:t>
            </w:r>
          </w:p>
        </w:tc>
        <w:tc>
          <w:tcPr>
            <w:tcW w:w="1972" w:type="dxa"/>
            <w:shd w:val="clear" w:color="auto" w:fill="76923C" w:themeFill="accent3" w:themeFillShade="BF"/>
            <w:vAlign w:val="center"/>
          </w:tcPr>
          <w:p w:rsidR="00B50275" w:rsidRPr="009301FB" w:rsidRDefault="009301FB" w:rsidP="00B50275">
            <w:pPr>
              <w:spacing w:after="0" w:line="240" w:lineRule="auto"/>
              <w:jc w:val="center"/>
              <w:rPr>
                <w:rFonts w:eastAsia="Times New Roman" w:cs="Arial"/>
                <w:b/>
                <w:bCs/>
                <w:color w:val="FFFFFF" w:themeColor="background1"/>
                <w:sz w:val="18"/>
                <w:szCs w:val="20"/>
              </w:rPr>
            </w:pPr>
            <w:r w:rsidRPr="009301FB">
              <w:rPr>
                <w:rFonts w:eastAsia="Times New Roman" w:cs="Arial"/>
                <w:b/>
                <w:color w:val="FFFFFF" w:themeColor="background1"/>
                <w:sz w:val="18"/>
                <w:szCs w:val="20"/>
              </w:rPr>
              <w:t>% de C</w:t>
            </w:r>
            <w:r w:rsidR="00B50275" w:rsidRPr="009301FB">
              <w:rPr>
                <w:rFonts w:eastAsia="Times New Roman" w:cs="Arial"/>
                <w:b/>
                <w:color w:val="FFFFFF" w:themeColor="background1"/>
                <w:sz w:val="18"/>
                <w:szCs w:val="20"/>
              </w:rPr>
              <w:t>umplimiento</w:t>
            </w:r>
          </w:p>
        </w:tc>
      </w:tr>
      <w:tr w:rsidR="00B50275" w:rsidRPr="009301FB" w:rsidTr="009301FB">
        <w:trPr>
          <w:trHeight w:val="70"/>
          <w:jc w:val="center"/>
        </w:trPr>
        <w:tc>
          <w:tcPr>
            <w:tcW w:w="2263" w:type="dxa"/>
            <w:vAlign w:val="center"/>
          </w:tcPr>
          <w:p w:rsidR="00B50275" w:rsidRPr="009301FB" w:rsidRDefault="00B50275" w:rsidP="00B50275">
            <w:pPr>
              <w:spacing w:after="0" w:line="240" w:lineRule="auto"/>
              <w:jc w:val="center"/>
              <w:rPr>
                <w:rFonts w:eastAsia="Times New Roman" w:cs="Arial"/>
                <w:b/>
                <w:bCs/>
                <w:sz w:val="18"/>
                <w:szCs w:val="20"/>
              </w:rPr>
            </w:pPr>
            <w:r w:rsidRPr="009301FB">
              <w:rPr>
                <w:rFonts w:eastAsia="Times New Roman" w:cs="Arial"/>
                <w:sz w:val="18"/>
                <w:szCs w:val="20"/>
              </w:rPr>
              <w:t>Cobertura</w:t>
            </w:r>
          </w:p>
        </w:tc>
        <w:tc>
          <w:tcPr>
            <w:tcW w:w="1843" w:type="dxa"/>
            <w:vAlign w:val="center"/>
          </w:tcPr>
          <w:p w:rsidR="00B50275" w:rsidRPr="009301FB" w:rsidRDefault="00B50275" w:rsidP="00B50275">
            <w:pPr>
              <w:spacing w:after="0" w:line="240" w:lineRule="auto"/>
              <w:jc w:val="center"/>
              <w:rPr>
                <w:rFonts w:eastAsia="Times New Roman" w:cs="Arial"/>
                <w:sz w:val="18"/>
                <w:szCs w:val="20"/>
              </w:rPr>
            </w:pPr>
            <w:r w:rsidRPr="009301FB">
              <w:rPr>
                <w:rFonts w:eastAsia="Times New Roman" w:cs="Arial"/>
                <w:sz w:val="18"/>
                <w:szCs w:val="20"/>
              </w:rPr>
              <w:t>27.016</w:t>
            </w:r>
          </w:p>
        </w:tc>
        <w:tc>
          <w:tcPr>
            <w:tcW w:w="1701" w:type="dxa"/>
            <w:vAlign w:val="center"/>
          </w:tcPr>
          <w:p w:rsidR="00B50275" w:rsidRPr="009301FB" w:rsidRDefault="00B50275" w:rsidP="00B50275">
            <w:pPr>
              <w:spacing w:after="0" w:line="240" w:lineRule="auto"/>
              <w:jc w:val="center"/>
              <w:rPr>
                <w:rFonts w:eastAsia="Times New Roman" w:cs="Arial"/>
                <w:sz w:val="18"/>
                <w:szCs w:val="20"/>
              </w:rPr>
            </w:pPr>
            <w:r w:rsidRPr="009301FB">
              <w:rPr>
                <w:rFonts w:eastAsia="Times New Roman" w:cs="Arial"/>
                <w:sz w:val="18"/>
                <w:szCs w:val="20"/>
              </w:rPr>
              <w:t>27.016</w:t>
            </w:r>
          </w:p>
        </w:tc>
        <w:tc>
          <w:tcPr>
            <w:tcW w:w="1972" w:type="dxa"/>
            <w:vAlign w:val="center"/>
          </w:tcPr>
          <w:p w:rsidR="00B50275" w:rsidRPr="009301FB" w:rsidRDefault="00B50275" w:rsidP="00B50275">
            <w:pPr>
              <w:spacing w:after="0" w:line="240" w:lineRule="auto"/>
              <w:jc w:val="center"/>
              <w:rPr>
                <w:rFonts w:eastAsia="Times New Roman" w:cs="Arial"/>
                <w:sz w:val="18"/>
                <w:szCs w:val="20"/>
              </w:rPr>
            </w:pPr>
            <w:r w:rsidRPr="009301FB">
              <w:rPr>
                <w:rFonts w:eastAsia="Times New Roman" w:cs="Arial"/>
                <w:sz w:val="18"/>
                <w:szCs w:val="20"/>
              </w:rPr>
              <w:t>100%</w:t>
            </w:r>
          </w:p>
        </w:tc>
      </w:tr>
      <w:tr w:rsidR="00B50275" w:rsidRPr="009301FB" w:rsidTr="009301FB">
        <w:trPr>
          <w:trHeight w:val="70"/>
          <w:jc w:val="center"/>
        </w:trPr>
        <w:tc>
          <w:tcPr>
            <w:tcW w:w="2263" w:type="dxa"/>
            <w:vAlign w:val="center"/>
          </w:tcPr>
          <w:p w:rsidR="00B50275" w:rsidRPr="009301FB" w:rsidRDefault="00B50275" w:rsidP="00B50275">
            <w:pPr>
              <w:spacing w:after="0" w:line="240" w:lineRule="auto"/>
              <w:jc w:val="center"/>
              <w:rPr>
                <w:rFonts w:eastAsia="Times New Roman" w:cs="Arial"/>
                <w:b/>
                <w:bCs/>
                <w:sz w:val="18"/>
                <w:szCs w:val="20"/>
              </w:rPr>
            </w:pPr>
            <w:r w:rsidRPr="009301FB">
              <w:rPr>
                <w:rFonts w:eastAsia="Times New Roman" w:cs="Arial"/>
                <w:sz w:val="18"/>
                <w:szCs w:val="20"/>
              </w:rPr>
              <w:lastRenderedPageBreak/>
              <w:t>Inversión (millones de $)</w:t>
            </w:r>
          </w:p>
        </w:tc>
        <w:tc>
          <w:tcPr>
            <w:tcW w:w="1843" w:type="dxa"/>
            <w:vAlign w:val="center"/>
          </w:tcPr>
          <w:p w:rsidR="00B50275" w:rsidRPr="009301FB" w:rsidRDefault="00B50275" w:rsidP="00B50275">
            <w:pPr>
              <w:spacing w:after="0" w:line="240" w:lineRule="auto"/>
              <w:jc w:val="center"/>
              <w:rPr>
                <w:rFonts w:eastAsia="Times New Roman" w:cs="Arial"/>
                <w:sz w:val="18"/>
                <w:szCs w:val="20"/>
              </w:rPr>
            </w:pPr>
            <w:r w:rsidRPr="009301FB">
              <w:rPr>
                <w:rFonts w:eastAsia="Times New Roman" w:cs="Arial"/>
                <w:sz w:val="18"/>
                <w:szCs w:val="20"/>
              </w:rPr>
              <w:t>$ 18.544</w:t>
            </w:r>
          </w:p>
        </w:tc>
        <w:tc>
          <w:tcPr>
            <w:tcW w:w="1701" w:type="dxa"/>
            <w:vAlign w:val="center"/>
          </w:tcPr>
          <w:p w:rsidR="00B50275" w:rsidRPr="009301FB" w:rsidRDefault="00B50275" w:rsidP="00B50275">
            <w:pPr>
              <w:spacing w:after="0" w:line="240" w:lineRule="auto"/>
              <w:jc w:val="center"/>
              <w:rPr>
                <w:rFonts w:eastAsia="Times New Roman" w:cs="Arial"/>
                <w:sz w:val="18"/>
                <w:szCs w:val="20"/>
              </w:rPr>
            </w:pPr>
            <w:r w:rsidRPr="009301FB">
              <w:rPr>
                <w:rFonts w:eastAsia="Times New Roman" w:cs="Arial"/>
                <w:sz w:val="18"/>
                <w:szCs w:val="20"/>
              </w:rPr>
              <w:t>$ 18.591</w:t>
            </w:r>
          </w:p>
        </w:tc>
        <w:tc>
          <w:tcPr>
            <w:tcW w:w="1972" w:type="dxa"/>
            <w:vAlign w:val="center"/>
          </w:tcPr>
          <w:p w:rsidR="00B50275" w:rsidRPr="009301FB" w:rsidRDefault="00B50275" w:rsidP="00B50275">
            <w:pPr>
              <w:spacing w:after="0" w:line="240" w:lineRule="auto"/>
              <w:jc w:val="center"/>
              <w:rPr>
                <w:rFonts w:eastAsia="Times New Roman" w:cs="Arial"/>
                <w:sz w:val="18"/>
                <w:szCs w:val="20"/>
                <w:lang w:val="es-CO" w:eastAsia="es-CO"/>
              </w:rPr>
            </w:pPr>
            <w:r w:rsidRPr="009301FB">
              <w:rPr>
                <w:rFonts w:eastAsia="Times New Roman" w:cs="Arial"/>
                <w:sz w:val="18"/>
                <w:szCs w:val="20"/>
                <w:lang w:val="es-CO" w:eastAsia="es-CO"/>
              </w:rPr>
              <w:t>99.8%</w:t>
            </w:r>
          </w:p>
        </w:tc>
      </w:tr>
    </w:tbl>
    <w:p w:rsidR="00B50275" w:rsidRPr="00B50275" w:rsidRDefault="00B50275" w:rsidP="00B50275">
      <w:pPr>
        <w:spacing w:after="0" w:line="240" w:lineRule="auto"/>
        <w:ind w:left="567"/>
        <w:jc w:val="both"/>
        <w:rPr>
          <w:rFonts w:cs="Arial"/>
          <w:sz w:val="16"/>
        </w:rPr>
      </w:pPr>
      <w:r w:rsidRPr="00B50275">
        <w:rPr>
          <w:rFonts w:cs="Arial"/>
          <w:sz w:val="16"/>
        </w:rPr>
        <w:t xml:space="preserve">     </w:t>
      </w:r>
      <w:r w:rsidRPr="009301FB">
        <w:rPr>
          <w:rFonts w:cs="Arial"/>
          <w:b/>
          <w:sz w:val="16"/>
        </w:rPr>
        <w:t>Fuente:</w:t>
      </w:r>
      <w:r w:rsidRPr="00B50275">
        <w:rPr>
          <w:rFonts w:cs="Arial"/>
          <w:sz w:val="16"/>
        </w:rPr>
        <w:t xml:space="preserve"> Metas Sociales SIM / SIIF Nación corte 31 de diciembre de 2016. </w:t>
      </w:r>
    </w:p>
    <w:p w:rsidR="00B95837" w:rsidRPr="00D21160" w:rsidRDefault="00B95837" w:rsidP="00B95837">
      <w:pPr>
        <w:rPr>
          <w:rFonts w:ascii="Calibri" w:hAnsi="Calibri"/>
          <w:i/>
          <w:iCs/>
          <w:sz w:val="16"/>
          <w:lang w:val="es-CO"/>
        </w:rPr>
      </w:pPr>
      <w:r>
        <w:rPr>
          <w:i/>
          <w:iCs/>
          <w:sz w:val="16"/>
        </w:rPr>
        <w:t xml:space="preserve">                 </w:t>
      </w:r>
      <w:r w:rsidRPr="00D21160">
        <w:rPr>
          <w:i/>
          <w:iCs/>
          <w:sz w:val="16"/>
        </w:rPr>
        <w:t>Nota: Información preliminar, sujeta a actualización del cierre oficial de metas sociales y financieras.</w:t>
      </w:r>
    </w:p>
    <w:p w:rsidR="001617A4" w:rsidRDefault="001617A4" w:rsidP="00B50275">
      <w:pPr>
        <w:spacing w:after="0" w:line="240" w:lineRule="auto"/>
        <w:rPr>
          <w:rFonts w:cs="Arial"/>
          <w:lang w:eastAsia="es-ES"/>
        </w:rPr>
      </w:pPr>
    </w:p>
    <w:p w:rsidR="00B50275" w:rsidRDefault="00B50275" w:rsidP="00B50275">
      <w:pPr>
        <w:spacing w:after="0" w:line="240" w:lineRule="auto"/>
        <w:rPr>
          <w:rFonts w:cs="Arial"/>
          <w:lang w:eastAsia="es-ES"/>
        </w:rPr>
      </w:pPr>
      <w:r w:rsidRPr="00B50275">
        <w:rPr>
          <w:rFonts w:cs="Arial"/>
          <w:lang w:eastAsia="es-ES"/>
        </w:rPr>
        <w:t>P</w:t>
      </w:r>
      <w:r w:rsidR="009301FB">
        <w:rPr>
          <w:rFonts w:cs="Arial"/>
          <w:lang w:eastAsia="es-ES"/>
        </w:rPr>
        <w:t>rincipales acciones realizadas:</w:t>
      </w:r>
    </w:p>
    <w:p w:rsidR="009301FB" w:rsidRPr="00B50275" w:rsidRDefault="009301FB" w:rsidP="00B50275">
      <w:pPr>
        <w:spacing w:after="0" w:line="240" w:lineRule="auto"/>
        <w:rPr>
          <w:rFonts w:cs="Arial"/>
          <w:lang w:eastAsia="es-ES"/>
        </w:rPr>
      </w:pPr>
    </w:p>
    <w:p w:rsidR="00B50275" w:rsidRDefault="00B50275" w:rsidP="00B66888">
      <w:pPr>
        <w:numPr>
          <w:ilvl w:val="0"/>
          <w:numId w:val="95"/>
        </w:numPr>
        <w:spacing w:after="0" w:line="240" w:lineRule="auto"/>
        <w:ind w:left="360"/>
        <w:contextualSpacing/>
        <w:rPr>
          <w:rFonts w:cs="Arial"/>
        </w:rPr>
      </w:pPr>
      <w:r w:rsidRPr="00B50275">
        <w:rPr>
          <w:rFonts w:cs="Arial"/>
        </w:rPr>
        <w:t>Consolidar la estrategia encuentros en familia como el núcleo esencial que orienta y articula las acciones previstas en cumplimiento del objetivo de la modalidad TEB.</w:t>
      </w:r>
    </w:p>
    <w:p w:rsidR="009301FB" w:rsidRPr="00B50275" w:rsidRDefault="009301FB" w:rsidP="00B66888">
      <w:pPr>
        <w:spacing w:after="0" w:line="240" w:lineRule="auto"/>
        <w:ind w:left="360"/>
        <w:contextualSpacing/>
        <w:rPr>
          <w:rFonts w:cs="Arial"/>
        </w:rPr>
      </w:pPr>
    </w:p>
    <w:p w:rsidR="00B50275" w:rsidRPr="00B50275" w:rsidRDefault="00B50275" w:rsidP="00B66888">
      <w:pPr>
        <w:numPr>
          <w:ilvl w:val="0"/>
          <w:numId w:val="95"/>
        </w:numPr>
        <w:spacing w:after="0" w:line="240" w:lineRule="auto"/>
        <w:ind w:left="360"/>
        <w:contextualSpacing/>
        <w:rPr>
          <w:rFonts w:cs="Arial"/>
        </w:rPr>
      </w:pPr>
      <w:r w:rsidRPr="00B50275">
        <w:rPr>
          <w:rFonts w:cs="Arial"/>
        </w:rPr>
        <w:t>Fortalecer la asistencia técnica en territorio; este trabajo permitió un contacto más cercano con comunidades, familias y operadores.</w:t>
      </w:r>
    </w:p>
    <w:p w:rsidR="00B50275" w:rsidRDefault="00B50275" w:rsidP="00B66888">
      <w:pPr>
        <w:numPr>
          <w:ilvl w:val="0"/>
          <w:numId w:val="95"/>
        </w:numPr>
        <w:spacing w:after="0" w:line="240" w:lineRule="auto"/>
        <w:ind w:left="360"/>
        <w:contextualSpacing/>
        <w:rPr>
          <w:rFonts w:cs="Arial"/>
        </w:rPr>
      </w:pPr>
      <w:r w:rsidRPr="00B50275">
        <w:rPr>
          <w:rFonts w:cs="Arial"/>
        </w:rPr>
        <w:t>Formular y ajustar los documentos orientadores de la modalidad, incluidos formatos que facilitan la presentación de proyectos y la evaluación de los mismos.</w:t>
      </w:r>
    </w:p>
    <w:p w:rsidR="009301FB" w:rsidRPr="00B50275" w:rsidRDefault="009301FB" w:rsidP="00B66888">
      <w:pPr>
        <w:spacing w:after="0" w:line="240" w:lineRule="auto"/>
        <w:ind w:left="360"/>
        <w:contextualSpacing/>
        <w:rPr>
          <w:rFonts w:cs="Arial"/>
        </w:rPr>
      </w:pPr>
    </w:p>
    <w:p w:rsidR="00B50275" w:rsidRPr="00B50275" w:rsidRDefault="00B50275" w:rsidP="00B66888">
      <w:pPr>
        <w:numPr>
          <w:ilvl w:val="0"/>
          <w:numId w:val="95"/>
        </w:numPr>
        <w:spacing w:after="0" w:line="240" w:lineRule="auto"/>
        <w:ind w:left="360"/>
        <w:contextualSpacing/>
        <w:rPr>
          <w:rFonts w:cs="Arial"/>
        </w:rPr>
      </w:pPr>
      <w:r w:rsidRPr="00B50275">
        <w:rPr>
          <w:rFonts w:cs="Arial"/>
        </w:rPr>
        <w:t>Consolidar el equipo interdisciplinario de atención TEB que permite mantener una atención adecuada y de calidad.</w:t>
      </w:r>
    </w:p>
    <w:p w:rsidR="00B50275" w:rsidRPr="00B50275" w:rsidRDefault="00B50275" w:rsidP="00B50275">
      <w:pPr>
        <w:autoSpaceDE w:val="0"/>
        <w:autoSpaceDN w:val="0"/>
        <w:adjustRightInd w:val="0"/>
        <w:spacing w:after="0" w:line="240" w:lineRule="auto"/>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A continuación, se presenta una breve descripción del  Proyecto piloto de atención integral Comunidad de Perico, Municipio de Riohacha (La Guajira), uno de los 162 proyectos implementados  a través de esta modalidad:</w:t>
      </w:r>
    </w:p>
    <w:p w:rsidR="00B50275" w:rsidRPr="00B50275" w:rsidRDefault="00B50275" w:rsidP="00B50275">
      <w:pPr>
        <w:autoSpaceDE w:val="0"/>
        <w:autoSpaceDN w:val="0"/>
        <w:adjustRightInd w:val="0"/>
        <w:spacing w:after="0" w:line="240" w:lineRule="auto"/>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Este proyecto atendió a 154 familias de la comunidad de Perico pertenecientes a las rancherías de Laguna Grande (37), Pajal (26), Caimito (29)  y la Y de Perico (62); su objetivo fue  fortalecer el desarrollo familiar con dichas rancherías, mediante la  recuperación de usos y costumbres en torno a las dinámicas familiares, las formas de crianza y los  roles de cuidado en cada una de estas comunidades.</w:t>
      </w:r>
    </w:p>
    <w:p w:rsidR="00B50275" w:rsidRPr="00B50275" w:rsidRDefault="00B50275" w:rsidP="00B50275">
      <w:pPr>
        <w:autoSpaceDE w:val="0"/>
        <w:autoSpaceDN w:val="0"/>
        <w:adjustRightInd w:val="0"/>
        <w:spacing w:after="0" w:line="240" w:lineRule="auto"/>
        <w:jc w:val="both"/>
        <w:rPr>
          <w:rFonts w:cs="Arial"/>
        </w:rPr>
      </w:pPr>
    </w:p>
    <w:p w:rsidR="00B50275" w:rsidRDefault="00B50275" w:rsidP="00B50275">
      <w:pPr>
        <w:autoSpaceDE w:val="0"/>
        <w:autoSpaceDN w:val="0"/>
        <w:adjustRightInd w:val="0"/>
        <w:spacing w:after="0" w:line="240" w:lineRule="auto"/>
        <w:jc w:val="both"/>
        <w:rPr>
          <w:rFonts w:cs="Arial"/>
        </w:rPr>
      </w:pPr>
      <w:r w:rsidRPr="00B50275">
        <w:rPr>
          <w:rFonts w:cs="Arial"/>
        </w:rPr>
        <w:t>Entre lo</w:t>
      </w:r>
      <w:r w:rsidR="009301FB">
        <w:rPr>
          <w:rFonts w:cs="Arial"/>
        </w:rPr>
        <w:t>s principales logros se tienen:</w:t>
      </w:r>
    </w:p>
    <w:p w:rsidR="009301FB" w:rsidRPr="00B50275" w:rsidRDefault="009301FB" w:rsidP="00B50275">
      <w:pPr>
        <w:autoSpaceDE w:val="0"/>
        <w:autoSpaceDN w:val="0"/>
        <w:adjustRightInd w:val="0"/>
        <w:spacing w:after="0" w:line="240" w:lineRule="auto"/>
        <w:jc w:val="both"/>
        <w:rPr>
          <w:rFonts w:cs="Arial"/>
        </w:rPr>
      </w:pPr>
    </w:p>
    <w:p w:rsid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lang w:eastAsia="es-CO"/>
        </w:rPr>
        <w:t>Fortalecimiento de vínculos a través de diálogos intergeneracionales como instrumentos para transmitir la cultura y las prácticas ancestrales que han permitido a los wayuu su</w:t>
      </w:r>
      <w:r w:rsidR="009301FB">
        <w:rPr>
          <w:rFonts w:cs="Arial"/>
          <w:lang w:eastAsia="es-CO"/>
        </w:rPr>
        <w:t>bsistir a lo largo de los años.</w:t>
      </w:r>
    </w:p>
    <w:p w:rsidR="009301FB" w:rsidRPr="00B50275" w:rsidRDefault="009301FB" w:rsidP="009301FB">
      <w:pPr>
        <w:autoSpaceDE w:val="0"/>
        <w:autoSpaceDN w:val="0"/>
        <w:adjustRightInd w:val="0"/>
        <w:spacing w:after="0" w:line="240" w:lineRule="auto"/>
        <w:ind w:left="360"/>
        <w:contextualSpacing/>
        <w:jc w:val="both"/>
        <w:rPr>
          <w:rFonts w:cs="Arial"/>
        </w:rPr>
      </w:pPr>
    </w:p>
    <w:p w:rsid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lang w:eastAsia="es-CO"/>
        </w:rPr>
        <w:t>Mejoramiento de las prácticas ambientales  minimizando el impacto del cambio climático en las comunidades.</w:t>
      </w:r>
    </w:p>
    <w:p w:rsidR="009301FB" w:rsidRPr="00B50275" w:rsidRDefault="009301FB" w:rsidP="009301FB">
      <w:pPr>
        <w:autoSpaceDE w:val="0"/>
        <w:autoSpaceDN w:val="0"/>
        <w:adjustRightInd w:val="0"/>
        <w:spacing w:after="0" w:line="240" w:lineRule="auto"/>
        <w:contextualSpacing/>
        <w:jc w:val="both"/>
        <w:rPr>
          <w:rFonts w:cs="Arial"/>
        </w:rPr>
      </w:pPr>
    </w:p>
    <w:p w:rsid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lang w:eastAsia="es-CO"/>
        </w:rPr>
        <w:t xml:space="preserve">Implementación de acciones de  </w:t>
      </w:r>
      <w:r w:rsidRPr="00B50275">
        <w:rPr>
          <w:rFonts w:cs="Arial"/>
        </w:rPr>
        <w:t xml:space="preserve">recuperación nutricional con enfoque comunitario en coordinación con el hospital de Riohacha,  realizándose  actividades de tamizaje, entrega de raciones alimentarias y entrega de suplementos vitamínicos. </w:t>
      </w:r>
    </w:p>
    <w:p w:rsidR="009301FB" w:rsidRPr="00B50275" w:rsidRDefault="009301FB" w:rsidP="009301FB">
      <w:pPr>
        <w:autoSpaceDE w:val="0"/>
        <w:autoSpaceDN w:val="0"/>
        <w:adjustRightInd w:val="0"/>
        <w:spacing w:after="0" w:line="240" w:lineRule="auto"/>
        <w:contextualSpacing/>
        <w:jc w:val="both"/>
        <w:rPr>
          <w:rFonts w:cs="Arial"/>
        </w:rPr>
      </w:pPr>
    </w:p>
    <w:p w:rsid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rPr>
        <w:t>Desarrollo de una jornada de registro para adultos y niños que se encontraban sin documento de identificación. en coordinación con la Registraduría Nacional del Estado Ci</w:t>
      </w:r>
      <w:r w:rsidR="009301FB">
        <w:rPr>
          <w:rFonts w:cs="Arial"/>
        </w:rPr>
        <w:t>vil.</w:t>
      </w:r>
    </w:p>
    <w:p w:rsidR="009301FB" w:rsidRPr="00B50275" w:rsidRDefault="009301FB" w:rsidP="009301FB">
      <w:pPr>
        <w:autoSpaceDE w:val="0"/>
        <w:autoSpaceDN w:val="0"/>
        <w:adjustRightInd w:val="0"/>
        <w:spacing w:after="0" w:line="240" w:lineRule="auto"/>
        <w:contextualSpacing/>
        <w:jc w:val="both"/>
        <w:rPr>
          <w:rFonts w:cs="Arial"/>
        </w:rPr>
      </w:pPr>
    </w:p>
    <w:p w:rsid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rPr>
        <w:lastRenderedPageBreak/>
        <w:t>Gestión y coordinación con la Alcaldía Riohacha  para la entrega de 8.000 litros de agua para el consumo.</w:t>
      </w:r>
    </w:p>
    <w:p w:rsidR="009301FB" w:rsidRPr="00B50275" w:rsidRDefault="009301FB" w:rsidP="009301FB">
      <w:pPr>
        <w:autoSpaceDE w:val="0"/>
        <w:autoSpaceDN w:val="0"/>
        <w:adjustRightInd w:val="0"/>
        <w:spacing w:after="0" w:line="240" w:lineRule="auto"/>
        <w:contextualSpacing/>
        <w:jc w:val="both"/>
        <w:rPr>
          <w:rFonts w:cs="Arial"/>
        </w:rPr>
      </w:pPr>
    </w:p>
    <w:p w:rsidR="00B50275" w:rsidRPr="00B50275" w:rsidRDefault="00B50275" w:rsidP="00D712DC">
      <w:pPr>
        <w:numPr>
          <w:ilvl w:val="0"/>
          <w:numId w:val="176"/>
        </w:numPr>
        <w:autoSpaceDE w:val="0"/>
        <w:autoSpaceDN w:val="0"/>
        <w:adjustRightInd w:val="0"/>
        <w:spacing w:after="0" w:line="240" w:lineRule="auto"/>
        <w:contextualSpacing/>
        <w:jc w:val="both"/>
        <w:rPr>
          <w:rFonts w:cs="Arial"/>
        </w:rPr>
      </w:pPr>
      <w:r w:rsidRPr="00B50275">
        <w:rPr>
          <w:rFonts w:cs="Arial"/>
          <w:lang w:eastAsia="es-CO"/>
        </w:rPr>
        <w:t>Coordinación del trabajo aunando esfuerzos en torno a la red institucional presente en la comunidad lo que permitió potenciar el impacto de las acciones y realizar intervenciones integrales.</w:t>
      </w:r>
    </w:p>
    <w:p w:rsidR="00B50275" w:rsidRDefault="00B50275" w:rsidP="006D5E33"/>
    <w:p w:rsidR="00B50275" w:rsidRPr="00185C85" w:rsidRDefault="00B50275" w:rsidP="006D5E33">
      <w:pPr>
        <w:ind w:firstLine="708"/>
        <w:rPr>
          <w:rFonts w:eastAsiaTheme="majorEastAsia"/>
          <w:b/>
        </w:rPr>
      </w:pPr>
      <w:bookmarkStart w:id="73" w:name="_Toc441847036"/>
      <w:bookmarkStart w:id="74" w:name="_Toc472519256"/>
      <w:r w:rsidRPr="00185C85">
        <w:rPr>
          <w:rFonts w:eastAsiaTheme="majorEastAsia"/>
          <w:b/>
        </w:rPr>
        <w:t>Comunidades Rurales</w:t>
      </w:r>
      <w:bookmarkEnd w:id="73"/>
      <w:bookmarkEnd w:id="74"/>
      <w:r w:rsidRPr="00185C85">
        <w:rPr>
          <w:rFonts w:eastAsiaTheme="majorEastAsia"/>
          <w:b/>
        </w:rPr>
        <w:t xml:space="preserve"> </w:t>
      </w:r>
    </w:p>
    <w:p w:rsidR="00B50275" w:rsidRPr="00B50275" w:rsidRDefault="00B50275" w:rsidP="00B50275">
      <w:pPr>
        <w:spacing w:after="0" w:line="240" w:lineRule="auto"/>
        <w:jc w:val="both"/>
        <w:rPr>
          <w:rFonts w:cs="Arial"/>
        </w:rPr>
      </w:pPr>
      <w:r w:rsidRPr="00B50275">
        <w:rPr>
          <w:rFonts w:cs="Arial"/>
          <w:lang w:eastAsia="es-CO"/>
        </w:rPr>
        <w:t>Tiene como objetivo “Fortalecer el des</w:t>
      </w:r>
      <w:r w:rsidRPr="00B50275">
        <w:rPr>
          <w:rFonts w:cs="Arial"/>
          <w:bCs/>
          <w:lang w:eastAsia="es-CO"/>
        </w:rPr>
        <w:t xml:space="preserve">arrollo y bienestar de las familias y comunidades </w:t>
      </w:r>
      <w:r w:rsidRPr="00B50275">
        <w:rPr>
          <w:rFonts w:cs="Arial"/>
          <w:lang w:eastAsia="es-CO"/>
        </w:rPr>
        <w:t xml:space="preserve">rurales partiendo de sus capacidades familiares, socioculturales y territoriales para que contribuyan a la convivencia, la paz y el desarrollo local en sus territorios”, </w:t>
      </w:r>
      <w:r w:rsidRPr="00B50275">
        <w:rPr>
          <w:rFonts w:cs="Arial"/>
        </w:rPr>
        <w:t>se desarrolla a través de la generación de acciones que promueven la protección y el bienestar de las familias, priorizando, en sus contextos, las prácticas de cuidado, crianza, convivencia y vida sana. Estos factores contribuyen en la generación de recursos para fortalecer la trayectoria vital de sus integrantes.</w:t>
      </w: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r w:rsidRPr="00B50275">
        <w:rPr>
          <w:rFonts w:cs="Arial"/>
        </w:rPr>
        <w:t>Desde el modelo de atención, las familias son reconocidas como actores de su desarrollo, para lo cual se fomentan sus recursos para auto-desarrollarse, auto-regularse, a partir del reconocimiento de sus factores protectores y de riesgo. Igualmente, se identifican sus relaciones familiares y comunitarias partiendo del enfoque de la nueva ruralidad; en este sentido, se reconocen y promueven sus propios modelos de cooperación y solidaridad, en la cual el territorio brinda sistemas de conectividad que inciden en los procesos de concentración, interacción y desarrollo endógeno para dar respuesta a las vulnerabilidades.</w:t>
      </w: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r w:rsidRPr="00B50275">
        <w:rPr>
          <w:rFonts w:cs="Arial"/>
        </w:rPr>
        <w:t>La población a la que va dirigida son los habitantes de zona rural (dispersa o no) que se caracterizan por su arraigo a la obtención de sus alimentos principalmente a partir de actividades productivas realizadas en sus predios (titulados o no) individuales y colectivos. Igualmente, se resalta que estas comunidades han desarrollado diferentes formas de organización colectiva y comunitaria, con una identidad propia basada en una historia, tradiciones y redes familiares y comunitarias que sustentan su vida cotidiana y sus visiones de desarrollo a futuro.</w:t>
      </w: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r w:rsidRPr="00B50275">
        <w:rPr>
          <w:rFonts w:cs="Arial"/>
        </w:rPr>
        <w:t xml:space="preserve">En la vigencia 2016, la modalidad operó en 35 municipios de los departamentos de Antioquia, Bolívar, Caldas, Cauca, Córdoba, Huila, Nariño y Tolima, con una duración de 5 meses. </w:t>
      </w:r>
    </w:p>
    <w:p w:rsidR="00B50275" w:rsidRPr="00B50275" w:rsidRDefault="00B50275" w:rsidP="00B50275">
      <w:pPr>
        <w:spacing w:after="0" w:line="240" w:lineRule="auto"/>
        <w:jc w:val="both"/>
        <w:rPr>
          <w:rFonts w:cs="Arial"/>
        </w:rPr>
      </w:pPr>
    </w:p>
    <w:p w:rsidR="00B50275" w:rsidRPr="00B50275" w:rsidRDefault="00B50275" w:rsidP="00B50275">
      <w:pPr>
        <w:autoSpaceDE w:val="0"/>
        <w:autoSpaceDN w:val="0"/>
        <w:adjustRightInd w:val="0"/>
        <w:spacing w:after="0" w:line="240" w:lineRule="auto"/>
        <w:jc w:val="both"/>
        <w:rPr>
          <w:rFonts w:cs="Arial"/>
        </w:rPr>
      </w:pPr>
      <w:r w:rsidRPr="00B50275">
        <w:rPr>
          <w:rFonts w:cs="Arial"/>
        </w:rPr>
        <w:t xml:space="preserve">Su estado de ejecución con corte a 31 de diciembre de 2016 es el siguiente: </w:t>
      </w:r>
    </w:p>
    <w:p w:rsidR="00B50275" w:rsidRPr="00B50275" w:rsidRDefault="00B50275" w:rsidP="00B50275">
      <w:pPr>
        <w:spacing w:after="0" w:line="240" w:lineRule="auto"/>
        <w:jc w:val="both"/>
        <w:rPr>
          <w:rFonts w:cs="Arial"/>
        </w:rPr>
      </w:pPr>
    </w:p>
    <w:tbl>
      <w:tblPr>
        <w:tblW w:w="777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263"/>
        <w:gridCol w:w="1843"/>
        <w:gridCol w:w="1701"/>
        <w:gridCol w:w="1972"/>
      </w:tblGrid>
      <w:tr w:rsidR="00B50275" w:rsidRPr="00B50275" w:rsidTr="009301FB">
        <w:trPr>
          <w:trHeight w:val="464"/>
          <w:tblHeader/>
          <w:jc w:val="center"/>
        </w:trPr>
        <w:tc>
          <w:tcPr>
            <w:tcW w:w="2263" w:type="dxa"/>
            <w:shd w:val="clear" w:color="auto" w:fill="76923C" w:themeFill="accent3" w:themeFillShade="BF"/>
            <w:vAlign w:val="center"/>
          </w:tcPr>
          <w:p w:rsidR="00B50275" w:rsidRPr="009301FB" w:rsidRDefault="00B50275" w:rsidP="00B50275">
            <w:pPr>
              <w:spacing w:after="0" w:line="240" w:lineRule="auto"/>
              <w:jc w:val="center"/>
              <w:rPr>
                <w:rFonts w:eastAsia="Times New Roman" w:cs="Arial"/>
                <w:b/>
                <w:bCs/>
                <w:color w:val="FFFFFF" w:themeColor="background1"/>
                <w:sz w:val="18"/>
              </w:rPr>
            </w:pPr>
            <w:r w:rsidRPr="009301FB">
              <w:rPr>
                <w:rFonts w:eastAsia="Times New Roman" w:cs="Arial"/>
                <w:b/>
                <w:bCs/>
                <w:color w:val="FFFFFF" w:themeColor="background1"/>
                <w:sz w:val="18"/>
              </w:rPr>
              <w:t>Ítem</w:t>
            </w:r>
          </w:p>
        </w:tc>
        <w:tc>
          <w:tcPr>
            <w:tcW w:w="1843" w:type="dxa"/>
            <w:shd w:val="clear" w:color="auto" w:fill="76923C" w:themeFill="accent3" w:themeFillShade="BF"/>
            <w:vAlign w:val="center"/>
          </w:tcPr>
          <w:p w:rsidR="00B50275" w:rsidRPr="009301FB" w:rsidRDefault="009301FB" w:rsidP="00B50275">
            <w:pPr>
              <w:spacing w:after="0" w:line="240" w:lineRule="auto"/>
              <w:jc w:val="center"/>
              <w:rPr>
                <w:rFonts w:eastAsia="Times New Roman" w:cs="Arial"/>
                <w:b/>
                <w:bCs/>
                <w:color w:val="FFFFFF" w:themeColor="background1"/>
                <w:sz w:val="18"/>
              </w:rPr>
            </w:pPr>
            <w:r>
              <w:rPr>
                <w:rFonts w:eastAsia="Times New Roman" w:cs="Arial"/>
                <w:b/>
                <w:color w:val="FFFFFF" w:themeColor="background1"/>
                <w:sz w:val="18"/>
              </w:rPr>
              <w:t>Ejecución corte D</w:t>
            </w:r>
            <w:r w:rsidR="00B50275" w:rsidRPr="009301FB">
              <w:rPr>
                <w:rFonts w:eastAsia="Times New Roman" w:cs="Arial"/>
                <w:b/>
                <w:color w:val="FFFFFF" w:themeColor="background1"/>
                <w:sz w:val="18"/>
              </w:rPr>
              <w:t>iciembre 2016</w:t>
            </w:r>
          </w:p>
        </w:tc>
        <w:tc>
          <w:tcPr>
            <w:tcW w:w="1701" w:type="dxa"/>
            <w:shd w:val="clear" w:color="auto" w:fill="76923C" w:themeFill="accent3" w:themeFillShade="BF"/>
            <w:vAlign w:val="center"/>
          </w:tcPr>
          <w:p w:rsidR="00B50275" w:rsidRPr="009301FB" w:rsidRDefault="00B50275" w:rsidP="00B50275">
            <w:pPr>
              <w:spacing w:after="0" w:line="240" w:lineRule="auto"/>
              <w:jc w:val="center"/>
              <w:rPr>
                <w:rFonts w:eastAsia="Times New Roman" w:cs="Arial"/>
                <w:b/>
                <w:bCs/>
                <w:color w:val="FFFFFF" w:themeColor="background1"/>
                <w:sz w:val="18"/>
              </w:rPr>
            </w:pPr>
            <w:r w:rsidRPr="009301FB">
              <w:rPr>
                <w:rFonts w:eastAsia="Times New Roman" w:cs="Arial"/>
                <w:b/>
                <w:color w:val="FFFFFF" w:themeColor="background1"/>
                <w:sz w:val="18"/>
              </w:rPr>
              <w:t>Meta 2016</w:t>
            </w:r>
          </w:p>
        </w:tc>
        <w:tc>
          <w:tcPr>
            <w:tcW w:w="1972" w:type="dxa"/>
            <w:shd w:val="clear" w:color="auto" w:fill="76923C" w:themeFill="accent3" w:themeFillShade="BF"/>
            <w:vAlign w:val="center"/>
          </w:tcPr>
          <w:p w:rsidR="00B50275" w:rsidRPr="009301FB" w:rsidRDefault="009301FB" w:rsidP="00B50275">
            <w:pPr>
              <w:spacing w:after="0" w:line="240" w:lineRule="auto"/>
              <w:jc w:val="center"/>
              <w:rPr>
                <w:rFonts w:eastAsia="Times New Roman" w:cs="Arial"/>
                <w:b/>
                <w:bCs/>
                <w:color w:val="FFFFFF" w:themeColor="background1"/>
                <w:sz w:val="18"/>
              </w:rPr>
            </w:pPr>
            <w:r>
              <w:rPr>
                <w:rFonts w:eastAsia="Times New Roman" w:cs="Arial"/>
                <w:b/>
                <w:color w:val="FFFFFF" w:themeColor="background1"/>
                <w:sz w:val="18"/>
              </w:rPr>
              <w:t>% de C</w:t>
            </w:r>
            <w:r w:rsidR="00B50275" w:rsidRPr="009301FB">
              <w:rPr>
                <w:rFonts w:eastAsia="Times New Roman" w:cs="Arial"/>
                <w:b/>
                <w:color w:val="FFFFFF" w:themeColor="background1"/>
                <w:sz w:val="18"/>
              </w:rPr>
              <w:t>umplimiento</w:t>
            </w:r>
          </w:p>
        </w:tc>
      </w:tr>
      <w:tr w:rsidR="00B50275" w:rsidRPr="00B50275" w:rsidTr="00D01AD0">
        <w:trPr>
          <w:trHeight w:val="70"/>
          <w:jc w:val="center"/>
        </w:trPr>
        <w:tc>
          <w:tcPr>
            <w:tcW w:w="2263" w:type="dxa"/>
            <w:vAlign w:val="center"/>
          </w:tcPr>
          <w:p w:rsidR="00B50275" w:rsidRPr="00B50275" w:rsidRDefault="00B50275" w:rsidP="00B50275">
            <w:pPr>
              <w:spacing w:after="0" w:line="240" w:lineRule="auto"/>
              <w:jc w:val="center"/>
              <w:rPr>
                <w:rFonts w:ascii="Verdana" w:eastAsia="Times New Roman" w:hAnsi="Verdana" w:cs="Arial"/>
                <w:b/>
                <w:bCs/>
                <w:sz w:val="18"/>
              </w:rPr>
            </w:pPr>
            <w:r w:rsidRPr="00B50275">
              <w:rPr>
                <w:rFonts w:ascii="Verdana" w:eastAsia="Times New Roman" w:hAnsi="Verdana" w:cs="Arial"/>
                <w:sz w:val="18"/>
              </w:rPr>
              <w:t>Cobertura</w:t>
            </w:r>
          </w:p>
        </w:tc>
        <w:tc>
          <w:tcPr>
            <w:tcW w:w="1843"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3.750</w:t>
            </w:r>
          </w:p>
        </w:tc>
        <w:tc>
          <w:tcPr>
            <w:tcW w:w="1701"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3.750</w:t>
            </w:r>
          </w:p>
        </w:tc>
        <w:tc>
          <w:tcPr>
            <w:tcW w:w="1972" w:type="dxa"/>
            <w:vAlign w:val="center"/>
          </w:tcPr>
          <w:p w:rsidR="00B50275" w:rsidRPr="00B50275" w:rsidRDefault="00B50275" w:rsidP="00B50275">
            <w:pPr>
              <w:spacing w:after="0" w:line="240" w:lineRule="auto"/>
              <w:jc w:val="center"/>
              <w:rPr>
                <w:rFonts w:ascii="Verdana" w:eastAsia="Times New Roman" w:hAnsi="Verdana" w:cs="Arial"/>
                <w:sz w:val="18"/>
              </w:rPr>
            </w:pPr>
            <w:r w:rsidRPr="00B50275">
              <w:rPr>
                <w:rFonts w:ascii="Verdana" w:eastAsia="Times New Roman" w:hAnsi="Verdana" w:cs="Arial"/>
                <w:sz w:val="18"/>
              </w:rPr>
              <w:t>100%</w:t>
            </w:r>
          </w:p>
        </w:tc>
      </w:tr>
      <w:tr w:rsidR="00B50275" w:rsidRPr="00B50275" w:rsidTr="00D01AD0">
        <w:trPr>
          <w:trHeight w:val="120"/>
          <w:jc w:val="center"/>
        </w:trPr>
        <w:tc>
          <w:tcPr>
            <w:tcW w:w="2263" w:type="dxa"/>
            <w:vAlign w:val="center"/>
          </w:tcPr>
          <w:p w:rsidR="00B50275" w:rsidRPr="00B50275" w:rsidRDefault="00B50275" w:rsidP="00B50275">
            <w:pPr>
              <w:spacing w:after="0" w:line="240" w:lineRule="auto"/>
              <w:jc w:val="center"/>
              <w:rPr>
                <w:rFonts w:eastAsia="Times New Roman" w:cs="Arial"/>
                <w:b/>
                <w:bCs/>
                <w:sz w:val="18"/>
              </w:rPr>
            </w:pPr>
            <w:r w:rsidRPr="00B50275">
              <w:rPr>
                <w:rFonts w:eastAsia="Times New Roman" w:cs="Arial"/>
                <w:sz w:val="18"/>
              </w:rPr>
              <w:t>Inversión (millones de $)</w:t>
            </w:r>
          </w:p>
        </w:tc>
        <w:tc>
          <w:tcPr>
            <w:tcW w:w="1843" w:type="dxa"/>
            <w:vAlign w:val="center"/>
          </w:tcPr>
          <w:p w:rsidR="00B50275" w:rsidRPr="00B50275" w:rsidRDefault="00B50275" w:rsidP="00B50275">
            <w:pPr>
              <w:spacing w:after="0" w:line="240" w:lineRule="auto"/>
              <w:jc w:val="center"/>
              <w:rPr>
                <w:rFonts w:eastAsia="Times New Roman" w:cs="Arial"/>
                <w:sz w:val="18"/>
              </w:rPr>
            </w:pPr>
            <w:r w:rsidRPr="00B50275">
              <w:rPr>
                <w:rFonts w:ascii="Verdana" w:eastAsia="Times New Roman" w:hAnsi="Verdana" w:cs="Arial"/>
                <w:sz w:val="18"/>
              </w:rPr>
              <w:t>$ 3.647</w:t>
            </w:r>
          </w:p>
        </w:tc>
        <w:tc>
          <w:tcPr>
            <w:tcW w:w="1701" w:type="dxa"/>
            <w:vAlign w:val="center"/>
          </w:tcPr>
          <w:p w:rsidR="00B50275" w:rsidRPr="00B50275" w:rsidRDefault="00B50275" w:rsidP="00B50275">
            <w:pPr>
              <w:spacing w:after="0" w:line="240" w:lineRule="auto"/>
              <w:jc w:val="center"/>
              <w:rPr>
                <w:rFonts w:eastAsia="Times New Roman" w:cs="Arial"/>
                <w:sz w:val="18"/>
              </w:rPr>
            </w:pPr>
            <w:r w:rsidRPr="00B50275">
              <w:rPr>
                <w:rFonts w:ascii="Verdana" w:eastAsia="Times New Roman" w:hAnsi="Verdana" w:cs="Arial"/>
                <w:sz w:val="18"/>
              </w:rPr>
              <w:t>$ 3.700</w:t>
            </w:r>
          </w:p>
        </w:tc>
        <w:tc>
          <w:tcPr>
            <w:tcW w:w="1972" w:type="dxa"/>
            <w:vAlign w:val="center"/>
          </w:tcPr>
          <w:p w:rsidR="00B50275" w:rsidRPr="00B50275" w:rsidRDefault="00B50275" w:rsidP="00B50275">
            <w:pPr>
              <w:spacing w:after="0" w:line="240" w:lineRule="auto"/>
              <w:jc w:val="center"/>
              <w:rPr>
                <w:rFonts w:eastAsia="Times New Roman" w:cs="Arial"/>
                <w:sz w:val="18"/>
                <w:lang w:val="es-CO" w:eastAsia="es-CO"/>
              </w:rPr>
            </w:pPr>
            <w:r w:rsidRPr="00B50275">
              <w:rPr>
                <w:rFonts w:eastAsia="Times New Roman" w:cs="Arial"/>
                <w:sz w:val="18"/>
                <w:lang w:val="es-CO" w:eastAsia="es-CO"/>
              </w:rPr>
              <w:t>99%</w:t>
            </w:r>
          </w:p>
        </w:tc>
      </w:tr>
    </w:tbl>
    <w:p w:rsidR="00B50275" w:rsidRPr="00B50275" w:rsidRDefault="00B50275" w:rsidP="00B50275">
      <w:pPr>
        <w:spacing w:after="0" w:line="240" w:lineRule="auto"/>
        <w:ind w:left="567"/>
        <w:jc w:val="both"/>
        <w:rPr>
          <w:rFonts w:cs="Arial"/>
        </w:rPr>
      </w:pPr>
      <w:r w:rsidRPr="00B50275">
        <w:rPr>
          <w:rFonts w:cs="Arial"/>
          <w:sz w:val="16"/>
        </w:rPr>
        <w:t xml:space="preserve">     </w:t>
      </w:r>
      <w:r w:rsidRPr="009301FB">
        <w:rPr>
          <w:rFonts w:cs="Arial"/>
          <w:b/>
          <w:sz w:val="16"/>
        </w:rPr>
        <w:t>Fuente:</w:t>
      </w:r>
      <w:r w:rsidRPr="00B50275">
        <w:rPr>
          <w:rFonts w:cs="Arial"/>
          <w:sz w:val="16"/>
        </w:rPr>
        <w:t xml:space="preserve"> Metas Sociales SIM / SIIF Nación corte 31 de diciembre de 2016. </w:t>
      </w:r>
    </w:p>
    <w:p w:rsidR="00B95837" w:rsidRPr="00D21160" w:rsidRDefault="00B95837" w:rsidP="00B95837">
      <w:pPr>
        <w:rPr>
          <w:rFonts w:ascii="Calibri" w:hAnsi="Calibri"/>
          <w:i/>
          <w:iCs/>
          <w:sz w:val="16"/>
          <w:lang w:val="es-CO"/>
        </w:rPr>
      </w:pPr>
      <w:r>
        <w:rPr>
          <w:i/>
          <w:iCs/>
          <w:sz w:val="16"/>
        </w:rPr>
        <w:t xml:space="preserve">                 </w:t>
      </w:r>
      <w:r w:rsidRPr="00D21160">
        <w:rPr>
          <w:i/>
          <w:iCs/>
          <w:sz w:val="16"/>
        </w:rPr>
        <w:t>Nota: Información preliminar, sujeta a actualización del cierre oficial de metas sociales y financieras.</w:t>
      </w:r>
    </w:p>
    <w:p w:rsidR="00B50275" w:rsidRPr="00B50275" w:rsidRDefault="00B50275" w:rsidP="00B50275">
      <w:pPr>
        <w:spacing w:after="0" w:line="240" w:lineRule="auto"/>
        <w:jc w:val="both"/>
        <w:rPr>
          <w:rFonts w:cs="Arial"/>
        </w:rPr>
      </w:pPr>
      <w:r w:rsidRPr="00B50275">
        <w:rPr>
          <w:rFonts w:cs="Arial"/>
        </w:rPr>
        <w:t>A través de la modalidad se desarrollan las siguientes acciones:</w:t>
      </w:r>
    </w:p>
    <w:p w:rsidR="00B50275" w:rsidRPr="00B50275" w:rsidRDefault="00B50275" w:rsidP="00B50275">
      <w:pPr>
        <w:spacing w:after="0" w:line="240" w:lineRule="auto"/>
        <w:jc w:val="both"/>
        <w:rPr>
          <w:rFonts w:cs="Arial"/>
        </w:rPr>
      </w:pPr>
    </w:p>
    <w:p w:rsidR="00B50275" w:rsidRDefault="00B50275" w:rsidP="00B66888">
      <w:pPr>
        <w:numPr>
          <w:ilvl w:val="0"/>
          <w:numId w:val="175"/>
        </w:numPr>
        <w:spacing w:after="0" w:line="240" w:lineRule="auto"/>
        <w:ind w:left="360"/>
        <w:contextualSpacing/>
        <w:jc w:val="both"/>
        <w:rPr>
          <w:rFonts w:cs="Arial"/>
          <w:bCs/>
        </w:rPr>
      </w:pPr>
      <w:r w:rsidRPr="00B50275">
        <w:rPr>
          <w:rFonts w:cs="Arial"/>
          <w:bCs/>
        </w:rPr>
        <w:lastRenderedPageBreak/>
        <w:t>Activar el fortalecimiento de las relaciones familiares y dinámicas comunitarias, desde un enfoqu</w:t>
      </w:r>
      <w:r w:rsidR="00D01AD0">
        <w:rPr>
          <w:rFonts w:cs="Arial"/>
          <w:bCs/>
        </w:rPr>
        <w:t>e colaborativo y participativo;</w:t>
      </w:r>
    </w:p>
    <w:p w:rsidR="00D01AD0" w:rsidRPr="00B50275" w:rsidRDefault="00D01AD0" w:rsidP="00B66888">
      <w:pPr>
        <w:spacing w:after="0" w:line="240" w:lineRule="auto"/>
        <w:ind w:left="360"/>
        <w:contextualSpacing/>
        <w:jc w:val="both"/>
        <w:rPr>
          <w:rFonts w:cs="Arial"/>
          <w:bCs/>
        </w:rPr>
      </w:pPr>
    </w:p>
    <w:p w:rsidR="00D01AD0" w:rsidRDefault="00B50275" w:rsidP="00B66888">
      <w:pPr>
        <w:numPr>
          <w:ilvl w:val="0"/>
          <w:numId w:val="175"/>
        </w:numPr>
        <w:spacing w:after="0" w:line="240" w:lineRule="auto"/>
        <w:ind w:left="360"/>
        <w:contextualSpacing/>
        <w:jc w:val="both"/>
        <w:rPr>
          <w:rFonts w:cs="Arial"/>
        </w:rPr>
      </w:pPr>
      <w:r w:rsidRPr="00B50275">
        <w:rPr>
          <w:rFonts w:cs="Arial"/>
        </w:rPr>
        <w:t>Promover el diálogo intergeneracional y entre géneros como herramienta para fortalecer los vínculos de cuidado familiar y comunitario a partir de la transmisión y fortalecimiento de saberes, la identidad y la cultura propia de las comunidades campesinas y rurales;</w:t>
      </w:r>
    </w:p>
    <w:p w:rsidR="00B50275" w:rsidRPr="00B50275" w:rsidRDefault="00B50275" w:rsidP="00B66888">
      <w:pPr>
        <w:spacing w:after="0" w:line="240" w:lineRule="auto"/>
        <w:contextualSpacing/>
        <w:jc w:val="both"/>
        <w:rPr>
          <w:rFonts w:cs="Arial"/>
        </w:rPr>
      </w:pPr>
      <w:r w:rsidRPr="00B50275">
        <w:rPr>
          <w:rFonts w:cs="Arial"/>
        </w:rPr>
        <w:t xml:space="preserve"> </w:t>
      </w:r>
    </w:p>
    <w:p w:rsidR="00B50275" w:rsidRDefault="00B50275" w:rsidP="00B66888">
      <w:pPr>
        <w:numPr>
          <w:ilvl w:val="0"/>
          <w:numId w:val="175"/>
        </w:numPr>
        <w:spacing w:after="0" w:line="240" w:lineRule="auto"/>
        <w:ind w:left="360"/>
        <w:contextualSpacing/>
        <w:jc w:val="both"/>
        <w:rPr>
          <w:rFonts w:cs="Arial"/>
        </w:rPr>
      </w:pPr>
      <w:r w:rsidRPr="00B50275">
        <w:rPr>
          <w:rFonts w:cs="Arial"/>
        </w:rPr>
        <w:t xml:space="preserve">Fomentar estrategias que promuevan la participación de familias y comunidades en el desarrollo de alternativas innovadoras para abordar sus problemas y necesidades en temas relacionados con vida sana en familia, dinámica familiar y </w:t>
      </w:r>
      <w:r w:rsidR="00D01AD0">
        <w:rPr>
          <w:rFonts w:cs="Arial"/>
        </w:rPr>
        <w:t>comunitaria e identidad propia;</w:t>
      </w:r>
    </w:p>
    <w:p w:rsidR="00D01AD0" w:rsidRPr="00B50275" w:rsidRDefault="00D01AD0" w:rsidP="00B66888">
      <w:pPr>
        <w:spacing w:after="0" w:line="240" w:lineRule="auto"/>
        <w:contextualSpacing/>
        <w:jc w:val="both"/>
        <w:rPr>
          <w:rFonts w:cs="Arial"/>
        </w:rPr>
      </w:pPr>
    </w:p>
    <w:p w:rsidR="00B50275" w:rsidRPr="00B50275" w:rsidRDefault="00B50275" w:rsidP="00B66888">
      <w:pPr>
        <w:numPr>
          <w:ilvl w:val="0"/>
          <w:numId w:val="175"/>
        </w:numPr>
        <w:spacing w:after="0" w:line="240" w:lineRule="auto"/>
        <w:ind w:left="360"/>
        <w:contextualSpacing/>
        <w:jc w:val="both"/>
        <w:rPr>
          <w:rFonts w:cs="Arial"/>
        </w:rPr>
      </w:pPr>
      <w:r w:rsidRPr="00B50275">
        <w:rPr>
          <w:rFonts w:cs="Arial"/>
        </w:rPr>
        <w:t>Potenciar la integración de las familias, a través de espacios de participación y planificación que promuevan el desarrollo local, dando respuesta a situaciones de emergencia, riesgo o manifiestas, fortaleciendo su papel como agentes transformadores de la realidad rural.</w:t>
      </w:r>
    </w:p>
    <w:p w:rsidR="00B95837" w:rsidRDefault="00B95837" w:rsidP="006D5E33">
      <w:pPr>
        <w:ind w:firstLine="708"/>
        <w:rPr>
          <w:rFonts w:eastAsiaTheme="majorEastAsia"/>
          <w:b/>
        </w:rPr>
      </w:pPr>
      <w:bookmarkStart w:id="75" w:name="_Toc472519257"/>
      <w:bookmarkStart w:id="76" w:name="_Toc441847039"/>
    </w:p>
    <w:p w:rsidR="00B50275" w:rsidRPr="00185C85" w:rsidRDefault="00B50275" w:rsidP="006D5E33">
      <w:pPr>
        <w:ind w:firstLine="708"/>
        <w:rPr>
          <w:rFonts w:eastAsiaTheme="majorEastAsia"/>
          <w:b/>
        </w:rPr>
      </w:pPr>
      <w:r w:rsidRPr="00185C85">
        <w:rPr>
          <w:rFonts w:eastAsiaTheme="majorEastAsia"/>
          <w:b/>
        </w:rPr>
        <w:t>Mesa de Seguimiento al programa Viviendas Gratuitas</w:t>
      </w:r>
      <w:bookmarkEnd w:id="75"/>
    </w:p>
    <w:p w:rsidR="00B50275" w:rsidRPr="00B50275" w:rsidRDefault="00B50275" w:rsidP="00B50275">
      <w:pPr>
        <w:spacing w:after="0" w:line="240" w:lineRule="auto"/>
        <w:jc w:val="both"/>
        <w:rPr>
          <w:rFonts w:cs="Arial"/>
        </w:rPr>
      </w:pPr>
      <w:r w:rsidRPr="00B50275">
        <w:rPr>
          <w:rFonts w:cs="Arial"/>
        </w:rPr>
        <w:t xml:space="preserve">El Comité Técnico del </w:t>
      </w:r>
      <w:r w:rsidR="007C6F36" w:rsidRPr="00B50275">
        <w:rPr>
          <w:rFonts w:cs="Arial"/>
        </w:rPr>
        <w:t xml:space="preserve">El Comité Técnico del </w:t>
      </w:r>
      <w:r w:rsidR="007C6F36" w:rsidRPr="00B443E2">
        <w:rPr>
          <w:rFonts w:cs="Arial"/>
        </w:rPr>
        <w:t>Sistema Nacional de Acompañamiento  Social e Infraestructura Social del Programa de Vivienda Gratuita</w:t>
      </w:r>
      <w:r w:rsidR="007C6F36">
        <w:rPr>
          <w:rFonts w:cs="Arial"/>
        </w:rPr>
        <w:t xml:space="preserve"> (</w:t>
      </w:r>
      <w:r w:rsidR="007C6F36" w:rsidRPr="00B50275">
        <w:rPr>
          <w:rFonts w:cs="Arial"/>
        </w:rPr>
        <w:t>SNAIS</w:t>
      </w:r>
      <w:r w:rsidR="007C6F36">
        <w:rPr>
          <w:rFonts w:cs="Arial"/>
        </w:rPr>
        <w:t>)</w:t>
      </w:r>
      <w:r w:rsidR="007C6F36" w:rsidRPr="00B50275">
        <w:rPr>
          <w:rFonts w:cs="Arial"/>
        </w:rPr>
        <w:t>,</w:t>
      </w:r>
      <w:r w:rsidRPr="00B50275">
        <w:rPr>
          <w:rFonts w:cs="Arial"/>
        </w:rPr>
        <w:t xml:space="preserve"> creado como instancia de apoyo al consejo ejecutivo a través del Decreto 528 de 2016, tiene como objetivo asesorar técnicamente al precitado en la planificación, priorización e implementación de estrategias y acciones orientadas al acompañamiento social de los beneficiarios del Programa de Vivienda Gratuita.</w:t>
      </w:r>
    </w:p>
    <w:p w:rsidR="00B50275" w:rsidRPr="00B50275" w:rsidRDefault="00B50275" w:rsidP="00B50275">
      <w:pPr>
        <w:spacing w:after="0" w:line="240" w:lineRule="auto"/>
        <w:jc w:val="both"/>
        <w:rPr>
          <w:rFonts w:cs="Arial"/>
          <w:lang w:val="es-CO"/>
        </w:rPr>
      </w:pPr>
    </w:p>
    <w:p w:rsidR="00B50275" w:rsidRPr="00B50275" w:rsidRDefault="00B50275" w:rsidP="00B50275">
      <w:pPr>
        <w:spacing w:after="0" w:line="240" w:lineRule="auto"/>
        <w:jc w:val="both"/>
        <w:rPr>
          <w:rFonts w:cs="Arial"/>
        </w:rPr>
      </w:pPr>
      <w:r w:rsidRPr="00B50275">
        <w:rPr>
          <w:rFonts w:cs="Arial"/>
        </w:rPr>
        <w:t>Las entidades del orden departamental, distrital y municipal podrán crear mesas de acompañamiento social o similares, con el fin de coordinar acciones públicas y privadas para la planificación, ejecución, evaluación y seguimiento de la oferta social requerida por los hogares beneficiarios del programa  y articular en sus respectivos ámbitos la oferta social de las diferentes entidades, de acuerdo con sus competencias.</w:t>
      </w:r>
    </w:p>
    <w:p w:rsidR="00B50275" w:rsidRPr="00B50275" w:rsidRDefault="00B50275" w:rsidP="00B50275">
      <w:pPr>
        <w:spacing w:after="0" w:line="240" w:lineRule="auto"/>
        <w:jc w:val="both"/>
        <w:rPr>
          <w:rFonts w:cs="Arial"/>
        </w:rPr>
      </w:pPr>
    </w:p>
    <w:p w:rsidR="00B50275" w:rsidRPr="00B50275" w:rsidRDefault="00B50275" w:rsidP="00B50275">
      <w:pPr>
        <w:spacing w:after="0" w:line="240" w:lineRule="auto"/>
        <w:jc w:val="both"/>
        <w:rPr>
          <w:rFonts w:cs="Arial"/>
        </w:rPr>
      </w:pPr>
      <w:r w:rsidRPr="00B50275">
        <w:rPr>
          <w:rFonts w:cs="Arial"/>
        </w:rPr>
        <w:t>En este orden de ideas y para garantizar la presencia institucional en las instancias de operación del sistema en sus diferentes ámbitos, nacional, departamental, distrital y municipal, la Subdirección General del ICBF solicitó   delegar al enlace de Familias y Comunidades para que conjuntamente con el referente del SNBF asistan,  en el ámbito territorial correspondiente,  a las mesas que sean convocadas y para que realice las gestiones a que haya lugar con el equipo del Centro Zonal o Regional para el cumplimiento de los compromisos del ICBF en el marco del acompañamiento social a este programa, conforme lo establece el artículo 13 en sus numerales 1 y 2 del Decreto 528 de 2016.</w:t>
      </w:r>
    </w:p>
    <w:p w:rsidR="00B50275" w:rsidRPr="00B50275" w:rsidRDefault="00B50275" w:rsidP="00B50275">
      <w:pPr>
        <w:spacing w:after="0" w:line="240" w:lineRule="auto"/>
        <w:jc w:val="both"/>
        <w:rPr>
          <w:rFonts w:cs="Arial"/>
        </w:rPr>
      </w:pPr>
    </w:p>
    <w:p w:rsidR="00B50275" w:rsidRDefault="00B50275" w:rsidP="00B50275">
      <w:pPr>
        <w:spacing w:after="0" w:line="240" w:lineRule="auto"/>
        <w:rPr>
          <w:rFonts w:cs="Arial"/>
        </w:rPr>
      </w:pPr>
      <w:r w:rsidRPr="00B50275">
        <w:rPr>
          <w:rFonts w:cs="Arial"/>
        </w:rPr>
        <w:t>Principales acciones realizadas dentro de las mesas territoriales:</w:t>
      </w:r>
    </w:p>
    <w:p w:rsidR="00D01AD0" w:rsidRPr="00B50275" w:rsidRDefault="00D01AD0" w:rsidP="00B50275">
      <w:pPr>
        <w:spacing w:after="0" w:line="240" w:lineRule="auto"/>
        <w:rPr>
          <w:rFonts w:cs="Arial"/>
        </w:rPr>
      </w:pPr>
    </w:p>
    <w:p w:rsidR="00B50275" w:rsidRPr="00B50275" w:rsidRDefault="00B50275" w:rsidP="00D712DC">
      <w:pPr>
        <w:numPr>
          <w:ilvl w:val="0"/>
          <w:numId w:val="168"/>
        </w:numPr>
        <w:spacing w:after="0" w:line="240" w:lineRule="auto"/>
        <w:contextualSpacing/>
        <w:jc w:val="both"/>
        <w:rPr>
          <w:rFonts w:cs="Arial"/>
        </w:rPr>
      </w:pPr>
      <w:r w:rsidRPr="00B50275">
        <w:rPr>
          <w:rFonts w:cs="Arial"/>
        </w:rPr>
        <w:t>Elaborar Plan de Acción de la mesa territorial.</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Socializar y revisar la oferta institucional (Familias con Bienestar, Generaciones con Bienestar y los servicios y modalidades para la Primera Infancia).</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 xml:space="preserve">Focalizar de población potencial beneficiaria de las modalidades y servicios del ICBF. </w:t>
      </w:r>
    </w:p>
    <w:p w:rsidR="00B50275" w:rsidRPr="00B50275" w:rsidRDefault="00B50275" w:rsidP="00D712DC">
      <w:pPr>
        <w:numPr>
          <w:ilvl w:val="0"/>
          <w:numId w:val="168"/>
        </w:numPr>
        <w:spacing w:after="0" w:line="240" w:lineRule="auto"/>
        <w:contextualSpacing/>
        <w:jc w:val="both"/>
        <w:rPr>
          <w:rFonts w:cs="Arial"/>
        </w:rPr>
      </w:pPr>
      <w:r w:rsidRPr="00B50275">
        <w:rPr>
          <w:rFonts w:cs="Arial"/>
        </w:rPr>
        <w:lastRenderedPageBreak/>
        <w:t>Verificar la población potencial de los CDI para ingreso a la Educación Formal (Tunja)</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Actualizar bases de datos.</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Priorizar la población de Primera Infancia.</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Hacer seguimiento a las solicitudes y a la construcción de CDI (Comunidad de Playitas –Arauca, Maicao, Riohacha – Guajira; Galeras – Sucre).</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Participar en ferias de servicio y en jornadas de acompañamiento psicosocial</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Socializar rutas de atención.</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Asesoría socio legal y 72 valoraciones nutricionales (Córdoba).</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 xml:space="preserve">Acompañar al Equipo de Defensoría de Familia para verificar situación de consumo de SPA y otras relacionadas con menores de 18 años (Caquetá). </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Recibir denuncias en casos de amenaza, vulneración y/o inobservancia de derechos (Santander).</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Acompañar unidades  móviles para apoyar los procesos de sensibilización, prevención y  formación para el tema de organización y convivencia (Cesar).</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Apoyar la semana ANDINA -  prevención de embarazo en adolescentes (Risaralda).</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Capacitar cogestores territoriales DPS.</w:t>
      </w:r>
    </w:p>
    <w:p w:rsidR="00B50275" w:rsidRPr="00B50275" w:rsidRDefault="00B50275" w:rsidP="00D712DC">
      <w:pPr>
        <w:numPr>
          <w:ilvl w:val="0"/>
          <w:numId w:val="168"/>
        </w:numPr>
        <w:spacing w:after="0" w:line="240" w:lineRule="auto"/>
        <w:contextualSpacing/>
        <w:jc w:val="both"/>
        <w:rPr>
          <w:rFonts w:cs="Arial"/>
        </w:rPr>
      </w:pPr>
      <w:r w:rsidRPr="00B50275">
        <w:rPr>
          <w:rFonts w:cs="Arial"/>
        </w:rPr>
        <w:t>Elaborar piezas comunicativas.</w:t>
      </w:r>
    </w:p>
    <w:p w:rsidR="00B50275" w:rsidRPr="00B50275" w:rsidRDefault="00B50275" w:rsidP="00B50275">
      <w:pPr>
        <w:spacing w:after="0" w:line="240" w:lineRule="auto"/>
        <w:jc w:val="both"/>
        <w:rPr>
          <w:rFonts w:cs="Arial"/>
        </w:rPr>
      </w:pPr>
    </w:p>
    <w:p w:rsidR="00B50275" w:rsidRDefault="00B50275" w:rsidP="00B50275">
      <w:pPr>
        <w:spacing w:after="0" w:line="240" w:lineRule="auto"/>
        <w:jc w:val="both"/>
        <w:rPr>
          <w:rFonts w:cs="Arial"/>
        </w:rPr>
      </w:pPr>
      <w:r w:rsidRPr="00B50275">
        <w:rPr>
          <w:rFonts w:cs="Arial"/>
        </w:rPr>
        <w:t>Para la vigencia 2016, se alcanzó una atención en los servicios y modalidades del ICBF a la población beneficiaria de los proyectos de Vivienda Gratuita, así: 5.950 familias atendidas en la modalidad Familias con Bienestar, 6.209 niños y niñas vinculados a las modalidades de Primera Infancia y 2.657 niños, niñas y adolescentes atendidos en la modalidad Generaciones con Bienestar.</w:t>
      </w:r>
    </w:p>
    <w:p w:rsidR="00201618" w:rsidRPr="00B50275" w:rsidRDefault="00201618" w:rsidP="00B50275">
      <w:pPr>
        <w:spacing w:after="0" w:line="240" w:lineRule="auto"/>
        <w:jc w:val="both"/>
        <w:rPr>
          <w:rFonts w:cs="Arial"/>
        </w:rPr>
      </w:pPr>
    </w:p>
    <w:p w:rsidR="00473D1F" w:rsidRDefault="00473D1F" w:rsidP="00473D1F">
      <w:pPr>
        <w:spacing w:after="0" w:line="240" w:lineRule="auto"/>
        <w:rPr>
          <w:rFonts w:cs="Arial"/>
        </w:rPr>
      </w:pPr>
    </w:p>
    <w:p w:rsidR="00473D1F" w:rsidRPr="001617A4" w:rsidRDefault="00473D1F" w:rsidP="007342CF">
      <w:pPr>
        <w:pStyle w:val="Prrafodelista"/>
        <w:keepNext/>
        <w:keepLines/>
        <w:numPr>
          <w:ilvl w:val="2"/>
          <w:numId w:val="242"/>
        </w:numPr>
        <w:spacing w:after="0" w:line="240" w:lineRule="auto"/>
        <w:outlineLvl w:val="1"/>
        <w:rPr>
          <w:rFonts w:eastAsiaTheme="majorEastAsia" w:cs="Arial"/>
          <w:b/>
        </w:rPr>
      </w:pPr>
      <w:bookmarkStart w:id="77" w:name="_Toc473581417"/>
      <w:r w:rsidRPr="00B66888">
        <w:rPr>
          <w:rFonts w:eastAsia="Times New Roman" w:cs="Arial"/>
          <w:b/>
          <w:bCs/>
          <w:kern w:val="32"/>
        </w:rPr>
        <w:t>Logros 2016</w:t>
      </w:r>
      <w:bookmarkEnd w:id="77"/>
    </w:p>
    <w:p w:rsidR="001617A4" w:rsidRPr="00B66888" w:rsidRDefault="001617A4" w:rsidP="001617A4">
      <w:pPr>
        <w:pStyle w:val="Prrafodelista"/>
        <w:keepNext/>
        <w:keepLines/>
        <w:spacing w:after="0" w:line="240" w:lineRule="auto"/>
        <w:ind w:left="720"/>
        <w:outlineLvl w:val="1"/>
        <w:rPr>
          <w:rFonts w:eastAsiaTheme="majorEastAsia" w:cs="Arial"/>
          <w:b/>
        </w:rPr>
      </w:pPr>
    </w:p>
    <w:bookmarkEnd w:id="76"/>
    <w:p w:rsidR="00B50275" w:rsidRDefault="00B50275" w:rsidP="001617A4">
      <w:pPr>
        <w:numPr>
          <w:ilvl w:val="0"/>
          <w:numId w:val="259"/>
        </w:numPr>
        <w:spacing w:after="0" w:line="240" w:lineRule="auto"/>
        <w:jc w:val="both"/>
        <w:rPr>
          <w:rFonts w:cs="Arial"/>
        </w:rPr>
      </w:pPr>
      <w:r w:rsidRPr="00B50275">
        <w:rPr>
          <w:rFonts w:cs="Arial"/>
        </w:rPr>
        <w:t>Articulación con las diferentes áreas misionales del ICBF para la transversalización de los contenidos y el enfoque de familia.</w:t>
      </w:r>
    </w:p>
    <w:p w:rsidR="00D01AD0" w:rsidRPr="00B50275" w:rsidRDefault="00D01AD0" w:rsidP="00B25961">
      <w:pPr>
        <w:spacing w:after="0" w:line="240" w:lineRule="auto"/>
        <w:ind w:left="360"/>
        <w:jc w:val="both"/>
        <w:rPr>
          <w:rFonts w:cs="Arial"/>
        </w:rPr>
      </w:pPr>
    </w:p>
    <w:p w:rsidR="00B50275" w:rsidRDefault="00B50275" w:rsidP="001617A4">
      <w:pPr>
        <w:numPr>
          <w:ilvl w:val="0"/>
          <w:numId w:val="259"/>
        </w:numPr>
        <w:spacing w:after="0" w:line="240" w:lineRule="auto"/>
        <w:jc w:val="both"/>
        <w:rPr>
          <w:rFonts w:cs="Arial"/>
        </w:rPr>
      </w:pPr>
      <w:r w:rsidRPr="00B50275">
        <w:rPr>
          <w:rFonts w:cs="Arial"/>
        </w:rPr>
        <w:t>Avance en la construcción y validación de los Lineamientos Técnicos, manuales operativos y estudios de costos de las modalidades de la Dirección de Familias y Comunidades.</w:t>
      </w:r>
    </w:p>
    <w:p w:rsidR="00D01AD0" w:rsidRPr="00B50275" w:rsidRDefault="00D01AD0" w:rsidP="00B25961">
      <w:pPr>
        <w:spacing w:after="0" w:line="240" w:lineRule="auto"/>
        <w:jc w:val="both"/>
        <w:rPr>
          <w:rFonts w:cs="Arial"/>
        </w:rPr>
      </w:pPr>
    </w:p>
    <w:p w:rsidR="00B50275" w:rsidRDefault="00B50275" w:rsidP="001617A4">
      <w:pPr>
        <w:numPr>
          <w:ilvl w:val="0"/>
          <w:numId w:val="259"/>
        </w:numPr>
        <w:spacing w:after="0" w:line="240" w:lineRule="auto"/>
        <w:jc w:val="both"/>
        <w:rPr>
          <w:rFonts w:cs="Arial"/>
        </w:rPr>
      </w:pPr>
      <w:r w:rsidRPr="00B50275">
        <w:rPr>
          <w:rFonts w:cs="Arial"/>
        </w:rPr>
        <w:t>Formación de servidores públicos, colaboradores de la Sede Nacional y las Regionales para la implementación del modelo solidario en los procesos de intervención familiar.</w:t>
      </w:r>
    </w:p>
    <w:p w:rsidR="00201618" w:rsidRPr="00B50275" w:rsidRDefault="00201618" w:rsidP="00201618">
      <w:pPr>
        <w:spacing w:after="0" w:line="240" w:lineRule="auto"/>
        <w:jc w:val="both"/>
        <w:rPr>
          <w:rFonts w:cs="Arial"/>
        </w:rPr>
      </w:pPr>
    </w:p>
    <w:p w:rsidR="00B50275" w:rsidRDefault="00B50275" w:rsidP="001617A4">
      <w:pPr>
        <w:numPr>
          <w:ilvl w:val="0"/>
          <w:numId w:val="259"/>
        </w:numPr>
        <w:spacing w:after="0" w:line="240" w:lineRule="auto"/>
        <w:jc w:val="both"/>
        <w:rPr>
          <w:rFonts w:cs="Arial"/>
        </w:rPr>
      </w:pPr>
      <w:r w:rsidRPr="00B50275">
        <w:rPr>
          <w:rFonts w:cs="Arial"/>
        </w:rPr>
        <w:t>Participación y posicionamiento del enfoque conceptual y metodológico en los diferentes escenarios de políticas públicas de Apoyo y fortalecimiento a la Familia y de  Niñez y  Adolescencia.</w:t>
      </w:r>
    </w:p>
    <w:p w:rsidR="00D01AD0" w:rsidRPr="00B50275" w:rsidRDefault="00D01AD0" w:rsidP="00B25961">
      <w:pPr>
        <w:spacing w:after="0" w:line="240" w:lineRule="auto"/>
        <w:ind w:left="360"/>
        <w:jc w:val="both"/>
        <w:rPr>
          <w:rFonts w:cs="Arial"/>
        </w:rPr>
      </w:pPr>
    </w:p>
    <w:p w:rsidR="00B50275" w:rsidRPr="00B50275" w:rsidRDefault="00B50275" w:rsidP="001617A4">
      <w:pPr>
        <w:numPr>
          <w:ilvl w:val="0"/>
          <w:numId w:val="259"/>
        </w:numPr>
        <w:spacing w:after="0" w:line="240" w:lineRule="auto"/>
        <w:jc w:val="both"/>
        <w:rPr>
          <w:rFonts w:cs="Arial"/>
        </w:rPr>
      </w:pPr>
      <w:r w:rsidRPr="00B50275">
        <w:rPr>
          <w:rFonts w:cs="Arial"/>
        </w:rPr>
        <w:t>Cumplimiento de las metas sociales y financieras establecidas para la vigencia.</w:t>
      </w:r>
    </w:p>
    <w:p w:rsidR="00B50275" w:rsidRDefault="00B50275" w:rsidP="00B50275">
      <w:pPr>
        <w:autoSpaceDE w:val="0"/>
        <w:autoSpaceDN w:val="0"/>
        <w:adjustRightInd w:val="0"/>
        <w:spacing w:after="0" w:line="240" w:lineRule="auto"/>
        <w:jc w:val="both"/>
        <w:rPr>
          <w:rFonts w:cs="Arial"/>
          <w:b/>
          <w:u w:val="single"/>
        </w:rPr>
      </w:pPr>
    </w:p>
    <w:p w:rsidR="00036700" w:rsidRDefault="00036700" w:rsidP="00B50275">
      <w:pPr>
        <w:autoSpaceDE w:val="0"/>
        <w:autoSpaceDN w:val="0"/>
        <w:adjustRightInd w:val="0"/>
        <w:spacing w:after="0" w:line="240" w:lineRule="auto"/>
        <w:jc w:val="both"/>
        <w:rPr>
          <w:rFonts w:cs="Arial"/>
          <w:b/>
          <w:u w:val="single"/>
        </w:rPr>
      </w:pPr>
    </w:p>
    <w:p w:rsidR="00036700" w:rsidRDefault="00036700" w:rsidP="00B50275">
      <w:pPr>
        <w:autoSpaceDE w:val="0"/>
        <w:autoSpaceDN w:val="0"/>
        <w:adjustRightInd w:val="0"/>
        <w:spacing w:after="0" w:line="240" w:lineRule="auto"/>
        <w:jc w:val="both"/>
        <w:rPr>
          <w:rFonts w:cs="Arial"/>
          <w:b/>
          <w:u w:val="single"/>
        </w:rPr>
      </w:pPr>
    </w:p>
    <w:p w:rsidR="00036700" w:rsidRPr="00B50275" w:rsidRDefault="00036700" w:rsidP="00B50275">
      <w:pPr>
        <w:autoSpaceDE w:val="0"/>
        <w:autoSpaceDN w:val="0"/>
        <w:adjustRightInd w:val="0"/>
        <w:spacing w:after="0" w:line="240" w:lineRule="auto"/>
        <w:jc w:val="both"/>
        <w:rPr>
          <w:rFonts w:cs="Arial"/>
          <w:b/>
          <w:u w:val="single"/>
        </w:rPr>
      </w:pPr>
    </w:p>
    <w:p w:rsidR="00B50275" w:rsidRDefault="00B50275" w:rsidP="00B50275">
      <w:pPr>
        <w:autoSpaceDE w:val="0"/>
        <w:autoSpaceDN w:val="0"/>
        <w:adjustRightInd w:val="0"/>
        <w:spacing w:after="0" w:line="240" w:lineRule="auto"/>
        <w:jc w:val="both"/>
        <w:rPr>
          <w:rFonts w:cs="Arial"/>
          <w:b/>
          <w:u w:val="single"/>
        </w:rPr>
      </w:pPr>
      <w:r w:rsidRPr="00B50275">
        <w:rPr>
          <w:rFonts w:cs="Arial"/>
          <w:b/>
          <w:u w:val="single"/>
        </w:rPr>
        <w:lastRenderedPageBreak/>
        <w:t>Modalidad Familias con Bienestar:</w:t>
      </w:r>
    </w:p>
    <w:p w:rsidR="00D01AD0" w:rsidRPr="00B50275" w:rsidRDefault="00D01AD0" w:rsidP="00B50275">
      <w:pPr>
        <w:autoSpaceDE w:val="0"/>
        <w:autoSpaceDN w:val="0"/>
        <w:adjustRightInd w:val="0"/>
        <w:spacing w:after="0" w:line="240" w:lineRule="auto"/>
        <w:jc w:val="both"/>
        <w:rPr>
          <w:rFonts w:cs="Arial"/>
          <w:b/>
          <w:u w:val="single"/>
        </w:rPr>
      </w:pPr>
    </w:p>
    <w:p w:rsidR="00B50275" w:rsidRDefault="00B50275" w:rsidP="00B25961">
      <w:pPr>
        <w:numPr>
          <w:ilvl w:val="0"/>
          <w:numId w:val="172"/>
        </w:numPr>
        <w:spacing w:after="0" w:line="240" w:lineRule="auto"/>
        <w:ind w:left="360"/>
        <w:jc w:val="both"/>
        <w:rPr>
          <w:rFonts w:cs="Arial"/>
        </w:rPr>
      </w:pPr>
      <w:r w:rsidRPr="00B50275">
        <w:rPr>
          <w:rFonts w:cs="Arial"/>
        </w:rPr>
        <w:t>Cambios en los patrones de comunicación, receptividad e imaginarios de las familia</w:t>
      </w:r>
      <w:r w:rsidR="00D01AD0">
        <w:rPr>
          <w:rFonts w:cs="Arial"/>
        </w:rPr>
        <w:t>s sobre los servicios del ICBF.</w:t>
      </w:r>
    </w:p>
    <w:p w:rsidR="00D01AD0" w:rsidRPr="00B50275" w:rsidRDefault="00D01AD0" w:rsidP="00B25961">
      <w:pPr>
        <w:spacing w:after="0" w:line="240" w:lineRule="auto"/>
        <w:ind w:left="360"/>
        <w:jc w:val="both"/>
        <w:rPr>
          <w:rFonts w:cs="Arial"/>
        </w:rPr>
      </w:pPr>
    </w:p>
    <w:p w:rsidR="00B50275" w:rsidRDefault="00B50275" w:rsidP="00B25961">
      <w:pPr>
        <w:numPr>
          <w:ilvl w:val="0"/>
          <w:numId w:val="172"/>
        </w:numPr>
        <w:spacing w:after="0" w:line="240" w:lineRule="auto"/>
        <w:ind w:left="360"/>
        <w:jc w:val="both"/>
        <w:rPr>
          <w:rFonts w:cs="Arial"/>
        </w:rPr>
      </w:pPr>
      <w:r w:rsidRPr="00B50275">
        <w:rPr>
          <w:rFonts w:cs="Arial"/>
        </w:rPr>
        <w:t>El ICBF como entidad entró a formar parte de la red social de apoyo de varias familias (mapa de pertenencia actual).</w:t>
      </w:r>
    </w:p>
    <w:p w:rsidR="00D01AD0" w:rsidRPr="00B50275" w:rsidRDefault="00D01AD0" w:rsidP="00B25961">
      <w:pPr>
        <w:spacing w:after="0" w:line="240" w:lineRule="auto"/>
        <w:jc w:val="both"/>
        <w:rPr>
          <w:rFonts w:cs="Arial"/>
        </w:rPr>
      </w:pPr>
    </w:p>
    <w:p w:rsidR="00B50275" w:rsidRDefault="00B50275" w:rsidP="00B25961">
      <w:pPr>
        <w:numPr>
          <w:ilvl w:val="0"/>
          <w:numId w:val="172"/>
        </w:numPr>
        <w:spacing w:after="0" w:line="240" w:lineRule="auto"/>
        <w:ind w:left="360"/>
        <w:jc w:val="both"/>
        <w:rPr>
          <w:rFonts w:cs="Arial"/>
        </w:rPr>
      </w:pPr>
      <w:r w:rsidRPr="00B50275">
        <w:rPr>
          <w:rFonts w:cs="Arial"/>
        </w:rPr>
        <w:t>Activación de rutas para atender diversas necesidades que afectan el curso de vida de las familias (condición de discapacidad, consumo de SPA).</w:t>
      </w:r>
    </w:p>
    <w:p w:rsidR="00D01AD0" w:rsidRPr="00B50275" w:rsidRDefault="00D01AD0" w:rsidP="00B25961">
      <w:pPr>
        <w:spacing w:after="0" w:line="240" w:lineRule="auto"/>
        <w:jc w:val="both"/>
        <w:rPr>
          <w:rFonts w:cs="Arial"/>
        </w:rPr>
      </w:pPr>
    </w:p>
    <w:p w:rsidR="00B50275" w:rsidRDefault="00B50275" w:rsidP="00B25961">
      <w:pPr>
        <w:numPr>
          <w:ilvl w:val="0"/>
          <w:numId w:val="172"/>
        </w:numPr>
        <w:spacing w:after="0" w:line="240" w:lineRule="auto"/>
        <w:ind w:left="360"/>
        <w:jc w:val="both"/>
        <w:rPr>
          <w:rFonts w:cs="Arial"/>
        </w:rPr>
      </w:pPr>
      <w:r w:rsidRPr="00B50275">
        <w:rPr>
          <w:rFonts w:cs="Arial"/>
        </w:rPr>
        <w:t>Capacitación macro regional sobre el modelo solidario, acción sin daño y enfoque apreciativo, lo que permitió identificar aspectos cualitativos del proceso de articulación.</w:t>
      </w:r>
    </w:p>
    <w:p w:rsidR="00036700" w:rsidRPr="00B50275" w:rsidRDefault="00036700" w:rsidP="00036700">
      <w:pPr>
        <w:spacing w:after="0" w:line="240" w:lineRule="auto"/>
        <w:jc w:val="both"/>
        <w:rPr>
          <w:rFonts w:cs="Arial"/>
        </w:rPr>
      </w:pPr>
    </w:p>
    <w:p w:rsidR="00B50275" w:rsidRDefault="00B50275" w:rsidP="00B25961">
      <w:pPr>
        <w:numPr>
          <w:ilvl w:val="0"/>
          <w:numId w:val="172"/>
        </w:numPr>
        <w:spacing w:after="0" w:line="240" w:lineRule="auto"/>
        <w:ind w:left="360"/>
        <w:jc w:val="both"/>
        <w:rPr>
          <w:rFonts w:cs="Arial"/>
        </w:rPr>
      </w:pPr>
      <w:r w:rsidRPr="00B50275">
        <w:rPr>
          <w:rFonts w:cs="Arial"/>
        </w:rPr>
        <w:t>Información y apropiación de los miembros de la familia en rutas de restablecimiento de derechos, mayor acercamiento a la oferta local municipal a través de procesos de articulación.</w:t>
      </w:r>
    </w:p>
    <w:p w:rsidR="00D01AD0" w:rsidRPr="00B50275" w:rsidRDefault="00D01AD0" w:rsidP="00B25961">
      <w:pPr>
        <w:spacing w:after="0" w:line="240" w:lineRule="auto"/>
        <w:ind w:left="360"/>
        <w:jc w:val="both"/>
        <w:rPr>
          <w:rFonts w:cs="Arial"/>
        </w:rPr>
      </w:pPr>
    </w:p>
    <w:p w:rsidR="00B50275" w:rsidRDefault="00B50275" w:rsidP="00B25961">
      <w:pPr>
        <w:numPr>
          <w:ilvl w:val="0"/>
          <w:numId w:val="172"/>
        </w:numPr>
        <w:spacing w:after="0" w:line="240" w:lineRule="auto"/>
        <w:ind w:left="360"/>
        <w:jc w:val="both"/>
        <w:rPr>
          <w:rFonts w:cs="Arial"/>
        </w:rPr>
      </w:pPr>
      <w:r w:rsidRPr="00B50275">
        <w:rPr>
          <w:rFonts w:cs="Arial"/>
        </w:rPr>
        <w:t>Se evidencian cambios positivos en cuanto a la modificación de comportamientos en los integrantes de las familias que les posibilitan  mejorar la  comunicac</w:t>
      </w:r>
      <w:r w:rsidR="00036700">
        <w:rPr>
          <w:rFonts w:cs="Arial"/>
        </w:rPr>
        <w:t>ión  y resolver sus conflictos.</w:t>
      </w:r>
    </w:p>
    <w:p w:rsidR="00036700" w:rsidRPr="00B50275" w:rsidRDefault="00036700" w:rsidP="00036700">
      <w:pPr>
        <w:spacing w:after="0" w:line="240" w:lineRule="auto"/>
        <w:jc w:val="both"/>
        <w:rPr>
          <w:rFonts w:cs="Arial"/>
        </w:rPr>
      </w:pPr>
    </w:p>
    <w:p w:rsidR="00B50275" w:rsidRDefault="00B50275" w:rsidP="00B25961">
      <w:pPr>
        <w:numPr>
          <w:ilvl w:val="0"/>
          <w:numId w:val="172"/>
        </w:numPr>
        <w:spacing w:after="0" w:line="240" w:lineRule="auto"/>
        <w:ind w:left="360"/>
        <w:contextualSpacing/>
        <w:jc w:val="both"/>
        <w:rPr>
          <w:rFonts w:cs="Arial"/>
        </w:rPr>
      </w:pPr>
      <w:r w:rsidRPr="00B50275">
        <w:rPr>
          <w:rFonts w:cs="Arial"/>
        </w:rPr>
        <w:t>Se avanzó de manera decidida en la cualificación de la modalidad, apostándole a la conformación de equipos interdisciplinarios conformados por tres (3) profesionales de saberes complementarios, así mismo se profundizó en las acciones de facilitación y  en la construcción de iniciativas comunitarias que promuevan el interés colectivo y la integración social.</w:t>
      </w:r>
    </w:p>
    <w:p w:rsidR="00D01AD0" w:rsidRPr="00B50275" w:rsidRDefault="00D01AD0" w:rsidP="00B25961">
      <w:pPr>
        <w:spacing w:after="0" w:line="240" w:lineRule="auto"/>
        <w:ind w:left="360"/>
        <w:contextualSpacing/>
        <w:jc w:val="both"/>
        <w:rPr>
          <w:rFonts w:cs="Arial"/>
        </w:rPr>
      </w:pPr>
    </w:p>
    <w:p w:rsidR="00B50275" w:rsidRDefault="00B50275" w:rsidP="00B25961">
      <w:pPr>
        <w:numPr>
          <w:ilvl w:val="0"/>
          <w:numId w:val="172"/>
        </w:numPr>
        <w:spacing w:after="0" w:line="240" w:lineRule="auto"/>
        <w:ind w:left="360"/>
        <w:contextualSpacing/>
        <w:jc w:val="both"/>
        <w:rPr>
          <w:rFonts w:cs="Arial"/>
        </w:rPr>
      </w:pPr>
      <w:r w:rsidRPr="00B50275">
        <w:rPr>
          <w:rFonts w:cs="Arial"/>
        </w:rPr>
        <w:t>Se realizó la validación de los documentos de Lineamiento Técnico y Manual Operativo, con representantes de los Niveles Regional y Zonal del ICBF y con delegados de los operadores contratados para la operación del servicio.</w:t>
      </w:r>
    </w:p>
    <w:p w:rsidR="00D01AD0" w:rsidRPr="00B50275" w:rsidRDefault="00D01AD0" w:rsidP="00B25961">
      <w:pPr>
        <w:spacing w:after="0" w:line="240" w:lineRule="auto"/>
        <w:contextualSpacing/>
        <w:jc w:val="both"/>
        <w:rPr>
          <w:rFonts w:cs="Arial"/>
        </w:rPr>
      </w:pPr>
    </w:p>
    <w:p w:rsidR="00B50275" w:rsidRPr="00B50275" w:rsidRDefault="00B50275" w:rsidP="00B25961">
      <w:pPr>
        <w:numPr>
          <w:ilvl w:val="0"/>
          <w:numId w:val="172"/>
        </w:numPr>
        <w:spacing w:after="0" w:line="240" w:lineRule="auto"/>
        <w:ind w:left="360"/>
        <w:jc w:val="both"/>
        <w:rPr>
          <w:rFonts w:cs="Arial"/>
        </w:rPr>
      </w:pPr>
      <w:r w:rsidRPr="00B50275">
        <w:rPr>
          <w:rFonts w:cs="Arial"/>
        </w:rPr>
        <w:t xml:space="preserve">Coordinación con la Dirección de Protección para la atención de familias de niños, niñas y adolescentes vinculados a PARD y para la formación de operadores en el modelo solidario.  </w:t>
      </w:r>
    </w:p>
    <w:p w:rsidR="00B50275" w:rsidRPr="00B50275" w:rsidRDefault="00B50275" w:rsidP="00B50275">
      <w:pPr>
        <w:spacing w:after="0" w:line="240" w:lineRule="auto"/>
        <w:ind w:left="720"/>
        <w:jc w:val="both"/>
        <w:rPr>
          <w:rFonts w:cs="Arial"/>
        </w:rPr>
      </w:pPr>
    </w:p>
    <w:p w:rsidR="00B50275" w:rsidRDefault="00B50275" w:rsidP="00B50275">
      <w:pPr>
        <w:autoSpaceDE w:val="0"/>
        <w:autoSpaceDN w:val="0"/>
        <w:adjustRightInd w:val="0"/>
        <w:spacing w:after="0" w:line="240" w:lineRule="auto"/>
        <w:jc w:val="both"/>
        <w:rPr>
          <w:rFonts w:cs="Arial"/>
          <w:b/>
          <w:u w:val="single"/>
        </w:rPr>
      </w:pPr>
      <w:r w:rsidRPr="00B50275">
        <w:rPr>
          <w:rFonts w:cs="Arial"/>
          <w:b/>
          <w:u w:val="single"/>
        </w:rPr>
        <w:t>Modalidad Unidades de apoyo y Fortalecimiento a Famili</w:t>
      </w:r>
      <w:r w:rsidR="00D01AD0">
        <w:rPr>
          <w:rFonts w:cs="Arial"/>
          <w:b/>
          <w:u w:val="single"/>
        </w:rPr>
        <w:t>as:</w:t>
      </w:r>
    </w:p>
    <w:p w:rsidR="00D01AD0" w:rsidRPr="00B50275" w:rsidRDefault="00D01AD0" w:rsidP="00B50275">
      <w:pPr>
        <w:autoSpaceDE w:val="0"/>
        <w:autoSpaceDN w:val="0"/>
        <w:adjustRightInd w:val="0"/>
        <w:spacing w:after="0" w:line="240" w:lineRule="auto"/>
        <w:jc w:val="both"/>
        <w:rPr>
          <w:rFonts w:cs="Arial"/>
          <w:b/>
          <w:u w:val="single"/>
        </w:rPr>
      </w:pPr>
    </w:p>
    <w:p w:rsidR="00B50275" w:rsidRPr="00D01AD0" w:rsidRDefault="00B50275" w:rsidP="00B25961">
      <w:pPr>
        <w:numPr>
          <w:ilvl w:val="0"/>
          <w:numId w:val="171"/>
        </w:numPr>
        <w:tabs>
          <w:tab w:val="left" w:pos="709"/>
        </w:tabs>
        <w:spacing w:after="0" w:line="240" w:lineRule="auto"/>
        <w:ind w:left="425" w:hanging="425"/>
        <w:contextualSpacing/>
        <w:jc w:val="both"/>
        <w:rPr>
          <w:rFonts w:cs="Arial"/>
          <w:lang w:val="es-CO"/>
        </w:rPr>
      </w:pPr>
      <w:r w:rsidRPr="00B50275">
        <w:rPr>
          <w:rFonts w:cs="Arial"/>
        </w:rPr>
        <w:t>Constitución del servicio como una modalidad e integración a la estruct</w:t>
      </w:r>
      <w:r w:rsidR="00D01AD0">
        <w:rPr>
          <w:rFonts w:cs="Arial"/>
        </w:rPr>
        <w:t>ura programática de la entidad.</w:t>
      </w:r>
    </w:p>
    <w:p w:rsidR="00D01AD0" w:rsidRPr="00B50275" w:rsidRDefault="00D01AD0" w:rsidP="00B25961">
      <w:pPr>
        <w:tabs>
          <w:tab w:val="left" w:pos="709"/>
        </w:tabs>
        <w:spacing w:after="0" w:line="240" w:lineRule="auto"/>
        <w:ind w:left="425"/>
        <w:contextualSpacing/>
        <w:jc w:val="both"/>
        <w:rPr>
          <w:rFonts w:cs="Arial"/>
          <w:lang w:val="es-CO"/>
        </w:rPr>
      </w:pPr>
    </w:p>
    <w:p w:rsidR="00B50275" w:rsidRDefault="00B50275" w:rsidP="00B25961">
      <w:pPr>
        <w:numPr>
          <w:ilvl w:val="0"/>
          <w:numId w:val="171"/>
        </w:numPr>
        <w:tabs>
          <w:tab w:val="left" w:pos="709"/>
        </w:tabs>
        <w:spacing w:after="0" w:line="240" w:lineRule="auto"/>
        <w:ind w:left="425" w:hanging="425"/>
        <w:contextualSpacing/>
        <w:jc w:val="both"/>
        <w:rPr>
          <w:rFonts w:cs="Arial"/>
        </w:rPr>
      </w:pPr>
      <w:r w:rsidRPr="00B50275">
        <w:rPr>
          <w:rFonts w:cs="Arial"/>
        </w:rPr>
        <w:t>Avance en el proceso de construcción y formalización del lineamiento técnico y del manual operativo de la modalidad.</w:t>
      </w:r>
    </w:p>
    <w:p w:rsidR="00D01AD0" w:rsidRPr="00B50275" w:rsidRDefault="00D01AD0" w:rsidP="00B25961">
      <w:pPr>
        <w:tabs>
          <w:tab w:val="left" w:pos="709"/>
        </w:tabs>
        <w:spacing w:after="0" w:line="240" w:lineRule="auto"/>
        <w:contextualSpacing/>
        <w:jc w:val="both"/>
        <w:rPr>
          <w:rFonts w:cs="Arial"/>
        </w:rPr>
      </w:pPr>
    </w:p>
    <w:p w:rsidR="00B50275" w:rsidRDefault="00B50275" w:rsidP="00B25961">
      <w:pPr>
        <w:numPr>
          <w:ilvl w:val="0"/>
          <w:numId w:val="171"/>
        </w:numPr>
        <w:tabs>
          <w:tab w:val="left" w:pos="709"/>
        </w:tabs>
        <w:spacing w:after="0" w:line="240" w:lineRule="auto"/>
        <w:ind w:left="425" w:hanging="425"/>
        <w:contextualSpacing/>
        <w:jc w:val="both"/>
        <w:rPr>
          <w:rFonts w:cs="Arial"/>
        </w:rPr>
      </w:pPr>
      <w:r w:rsidRPr="00B50275">
        <w:rPr>
          <w:rFonts w:cs="Arial"/>
        </w:rPr>
        <w:t>Aproximación a la cosmovisión y manejo de la discapacidad en tres comunidades indígenas, que aporta insumos para la implementación del enfoque diferencial.</w:t>
      </w:r>
    </w:p>
    <w:p w:rsidR="00D01AD0" w:rsidRPr="00B50275" w:rsidRDefault="00D01AD0" w:rsidP="00B25961">
      <w:pPr>
        <w:tabs>
          <w:tab w:val="left" w:pos="709"/>
        </w:tabs>
        <w:spacing w:after="0" w:line="240" w:lineRule="auto"/>
        <w:contextualSpacing/>
        <w:jc w:val="both"/>
        <w:rPr>
          <w:rFonts w:cs="Arial"/>
        </w:rPr>
      </w:pPr>
    </w:p>
    <w:p w:rsidR="00B50275" w:rsidRDefault="00B50275" w:rsidP="00B25961">
      <w:pPr>
        <w:numPr>
          <w:ilvl w:val="0"/>
          <w:numId w:val="171"/>
        </w:numPr>
        <w:tabs>
          <w:tab w:val="left" w:pos="709"/>
        </w:tabs>
        <w:spacing w:after="0" w:line="240" w:lineRule="auto"/>
        <w:ind w:left="425" w:hanging="425"/>
        <w:contextualSpacing/>
        <w:rPr>
          <w:rFonts w:cs="Arial"/>
        </w:rPr>
      </w:pPr>
      <w:r w:rsidRPr="00B50275">
        <w:rPr>
          <w:rFonts w:cs="Arial"/>
        </w:rPr>
        <w:t>Realización de procesos de análisis y validación de las herramientas metodológicas, lo cual aporta insumos para la cualificación de las mismas.</w:t>
      </w:r>
    </w:p>
    <w:p w:rsidR="00D01AD0" w:rsidRPr="00B50275" w:rsidRDefault="00D01AD0" w:rsidP="00B25961">
      <w:pPr>
        <w:tabs>
          <w:tab w:val="left" w:pos="709"/>
        </w:tabs>
        <w:spacing w:after="0" w:line="240" w:lineRule="auto"/>
        <w:contextualSpacing/>
        <w:rPr>
          <w:rFonts w:cs="Arial"/>
        </w:rPr>
      </w:pPr>
    </w:p>
    <w:p w:rsidR="00B50275" w:rsidRPr="00B50275" w:rsidRDefault="00B50275" w:rsidP="00B25961">
      <w:pPr>
        <w:numPr>
          <w:ilvl w:val="0"/>
          <w:numId w:val="171"/>
        </w:numPr>
        <w:tabs>
          <w:tab w:val="left" w:pos="709"/>
        </w:tabs>
        <w:spacing w:after="0" w:line="240" w:lineRule="auto"/>
        <w:ind w:left="425" w:hanging="425"/>
        <w:rPr>
          <w:rFonts w:cs="Arial"/>
          <w:lang w:eastAsia="es-ES"/>
        </w:rPr>
      </w:pPr>
      <w:r w:rsidRPr="00B50275">
        <w:rPr>
          <w:rFonts w:cs="Arial"/>
          <w:lang w:eastAsia="es-ES"/>
        </w:rPr>
        <w:t xml:space="preserve">Consolidación de una base de datos nacional de las familias atendidas en la modalidad. </w:t>
      </w:r>
    </w:p>
    <w:p w:rsidR="00B50275" w:rsidRPr="00B50275" w:rsidRDefault="00B50275" w:rsidP="00B50275">
      <w:pPr>
        <w:spacing w:after="0" w:line="240" w:lineRule="auto"/>
        <w:ind w:left="708"/>
        <w:jc w:val="both"/>
        <w:rPr>
          <w:rFonts w:cs="Arial"/>
        </w:rPr>
      </w:pPr>
    </w:p>
    <w:p w:rsidR="00B50275" w:rsidRDefault="00B50275" w:rsidP="00B50275">
      <w:pPr>
        <w:spacing w:after="0" w:line="240" w:lineRule="auto"/>
        <w:jc w:val="both"/>
        <w:rPr>
          <w:rFonts w:cs="Arial"/>
          <w:b/>
          <w:u w:val="single"/>
        </w:rPr>
      </w:pPr>
      <w:r w:rsidRPr="00B50275">
        <w:rPr>
          <w:rFonts w:cs="Arial"/>
          <w:b/>
          <w:u w:val="single"/>
        </w:rPr>
        <w:t>Modalidad Comunidades Rurales:</w:t>
      </w:r>
    </w:p>
    <w:p w:rsidR="0081395D" w:rsidRPr="00B50275" w:rsidRDefault="0081395D" w:rsidP="00B50275">
      <w:pPr>
        <w:spacing w:after="0" w:line="240" w:lineRule="auto"/>
        <w:jc w:val="both"/>
        <w:rPr>
          <w:rFonts w:cs="Arial"/>
          <w:b/>
          <w:u w:val="single"/>
        </w:rPr>
      </w:pPr>
    </w:p>
    <w:p w:rsidR="00B50275" w:rsidRDefault="00B50275" w:rsidP="00B25961">
      <w:pPr>
        <w:numPr>
          <w:ilvl w:val="0"/>
          <w:numId w:val="170"/>
        </w:numPr>
        <w:spacing w:after="0" w:line="240" w:lineRule="auto"/>
        <w:ind w:left="360"/>
        <w:contextualSpacing/>
        <w:jc w:val="both"/>
        <w:rPr>
          <w:rFonts w:cs="Arial"/>
        </w:rPr>
      </w:pPr>
      <w:r w:rsidRPr="00B50275">
        <w:rPr>
          <w:rFonts w:cs="Arial"/>
        </w:rPr>
        <w:t>Implementación de la modalidad en zonas rurales dispersas priorizadas como zonas de postconflicto, fomentando acciones para la construcción de culturas de paz, participación democrática y desarrollo local en los territorios.</w:t>
      </w:r>
    </w:p>
    <w:p w:rsidR="0081395D" w:rsidRPr="00B50275" w:rsidRDefault="0081395D" w:rsidP="00B25961">
      <w:pPr>
        <w:spacing w:after="0" w:line="240" w:lineRule="auto"/>
        <w:ind w:left="360"/>
        <w:contextualSpacing/>
        <w:jc w:val="both"/>
        <w:rPr>
          <w:rFonts w:cs="Arial"/>
        </w:rPr>
      </w:pPr>
    </w:p>
    <w:p w:rsidR="00B50275" w:rsidRDefault="00B50275" w:rsidP="00B25961">
      <w:pPr>
        <w:numPr>
          <w:ilvl w:val="0"/>
          <w:numId w:val="170"/>
        </w:numPr>
        <w:spacing w:after="0" w:line="240" w:lineRule="auto"/>
        <w:ind w:left="360"/>
        <w:contextualSpacing/>
        <w:jc w:val="both"/>
        <w:rPr>
          <w:rFonts w:cs="Arial"/>
        </w:rPr>
      </w:pPr>
      <w:r w:rsidRPr="00B50275">
        <w:rPr>
          <w:rFonts w:cs="Arial"/>
        </w:rPr>
        <w:t>Participación y articulación de las familias mediante acciones de trabajo en red que potenciaron la solidaridad, la confianza y la construcción de tejido social en las zonas veredales.</w:t>
      </w:r>
    </w:p>
    <w:p w:rsidR="0081395D" w:rsidRPr="00B50275" w:rsidRDefault="0081395D" w:rsidP="00B25961">
      <w:pPr>
        <w:spacing w:after="0" w:line="240" w:lineRule="auto"/>
        <w:contextualSpacing/>
        <w:jc w:val="both"/>
        <w:rPr>
          <w:rFonts w:cs="Arial"/>
        </w:rPr>
      </w:pPr>
    </w:p>
    <w:p w:rsidR="00B50275" w:rsidRDefault="00B50275" w:rsidP="00B25961">
      <w:pPr>
        <w:numPr>
          <w:ilvl w:val="0"/>
          <w:numId w:val="170"/>
        </w:numPr>
        <w:spacing w:after="0" w:line="240" w:lineRule="auto"/>
        <w:ind w:left="360"/>
        <w:contextualSpacing/>
        <w:jc w:val="both"/>
        <w:rPr>
          <w:rFonts w:cs="Arial"/>
        </w:rPr>
      </w:pPr>
      <w:r w:rsidRPr="00B50275">
        <w:rPr>
          <w:rFonts w:cs="Arial"/>
        </w:rPr>
        <w:t>Implementación de la estrategia Escuela para Familias y Comunidades Rurales, en la cual se fomentaron acciones de aprendizaje para el fortalecimiento de los vínculos de cuidado, hábitos de vida saludable, concordia entre gén</w:t>
      </w:r>
      <w:r w:rsidR="0081395D">
        <w:rPr>
          <w:rFonts w:cs="Arial"/>
        </w:rPr>
        <w:t>eros y el liderazgo comunitario.</w:t>
      </w:r>
    </w:p>
    <w:p w:rsidR="0081395D" w:rsidRDefault="0081395D" w:rsidP="00B25961">
      <w:pPr>
        <w:pStyle w:val="Prrafodelista"/>
        <w:ind w:left="348"/>
        <w:rPr>
          <w:rFonts w:cs="Arial"/>
        </w:rPr>
      </w:pPr>
    </w:p>
    <w:p w:rsidR="00B50275" w:rsidRDefault="00B50275" w:rsidP="00B25961">
      <w:pPr>
        <w:numPr>
          <w:ilvl w:val="0"/>
          <w:numId w:val="170"/>
        </w:numPr>
        <w:spacing w:after="0" w:line="240" w:lineRule="auto"/>
        <w:ind w:left="360"/>
        <w:contextualSpacing/>
        <w:jc w:val="both"/>
        <w:rPr>
          <w:rFonts w:cs="Arial"/>
        </w:rPr>
      </w:pPr>
      <w:r w:rsidRPr="00B50275">
        <w:rPr>
          <w:rFonts w:cs="Arial"/>
        </w:rPr>
        <w:t>Identificación de prácticas positivas de las familias mediante estrategias de innovación, que contribuyeron a dar respuesta a sus vulnerabilidades a partir del intercambio de experiencias y a la apropiación de saberes y comportamientos.</w:t>
      </w:r>
    </w:p>
    <w:p w:rsidR="0081395D" w:rsidRPr="00B50275" w:rsidRDefault="0081395D" w:rsidP="00B25961">
      <w:pPr>
        <w:spacing w:after="0" w:line="240" w:lineRule="auto"/>
        <w:ind w:left="360"/>
        <w:contextualSpacing/>
        <w:jc w:val="both"/>
        <w:rPr>
          <w:rFonts w:cs="Arial"/>
        </w:rPr>
      </w:pPr>
    </w:p>
    <w:p w:rsidR="00B50275" w:rsidRPr="00B50275" w:rsidRDefault="00B50275" w:rsidP="00B25961">
      <w:pPr>
        <w:numPr>
          <w:ilvl w:val="0"/>
          <w:numId w:val="170"/>
        </w:numPr>
        <w:spacing w:after="0" w:line="240" w:lineRule="auto"/>
        <w:ind w:left="360"/>
        <w:contextualSpacing/>
        <w:jc w:val="both"/>
        <w:rPr>
          <w:rFonts w:cs="Arial"/>
        </w:rPr>
      </w:pPr>
      <w:r w:rsidRPr="00B50275">
        <w:rPr>
          <w:rFonts w:cs="Arial"/>
        </w:rPr>
        <w:t>Construcción de planes de vida con las comunidades rurales, orientados a promover a corto y mediano plazo acciones para el fortalecimiento de la convivencia, el cuidado mutuo, el desarrollo socio – organizativo y la generación de entornos protectores comunitarios.</w:t>
      </w:r>
    </w:p>
    <w:p w:rsidR="00473D1F" w:rsidRDefault="00473D1F" w:rsidP="00473D1F">
      <w:pPr>
        <w:spacing w:after="0" w:line="240" w:lineRule="auto"/>
        <w:rPr>
          <w:rFonts w:cs="Arial"/>
        </w:rPr>
      </w:pPr>
    </w:p>
    <w:p w:rsidR="00473D1F" w:rsidRPr="00D23FA4" w:rsidRDefault="00473D1F" w:rsidP="00473D1F">
      <w:pPr>
        <w:spacing w:after="0" w:line="240" w:lineRule="auto"/>
        <w:rPr>
          <w:rFonts w:cs="Arial"/>
        </w:rPr>
      </w:pPr>
    </w:p>
    <w:p w:rsidR="00473D1F" w:rsidRPr="00B25961" w:rsidRDefault="00473D1F" w:rsidP="007342CF">
      <w:pPr>
        <w:pStyle w:val="Prrafodelista"/>
        <w:keepNext/>
        <w:keepLines/>
        <w:numPr>
          <w:ilvl w:val="2"/>
          <w:numId w:val="242"/>
        </w:numPr>
        <w:spacing w:after="0" w:line="240" w:lineRule="auto"/>
        <w:outlineLvl w:val="1"/>
        <w:rPr>
          <w:rFonts w:eastAsiaTheme="majorEastAsia" w:cs="Arial"/>
          <w:b/>
        </w:rPr>
      </w:pPr>
      <w:bookmarkStart w:id="78" w:name="_Toc473581418"/>
      <w:r w:rsidRPr="00B25961">
        <w:rPr>
          <w:rFonts w:eastAsia="Times New Roman" w:cs="Arial"/>
          <w:b/>
          <w:bCs/>
          <w:kern w:val="32"/>
        </w:rPr>
        <w:t>Retos 2017</w:t>
      </w:r>
      <w:bookmarkEnd w:id="78"/>
      <w:r w:rsidRPr="00B25961">
        <w:rPr>
          <w:rFonts w:eastAsia="Times New Roman" w:cs="Arial"/>
          <w:b/>
          <w:bCs/>
          <w:kern w:val="32"/>
        </w:rPr>
        <w:t xml:space="preserve"> </w:t>
      </w:r>
    </w:p>
    <w:p w:rsidR="00473D1F" w:rsidRPr="003920C5" w:rsidRDefault="00473D1F" w:rsidP="00473D1F"/>
    <w:p w:rsidR="00B50275" w:rsidRPr="0081395D" w:rsidRDefault="00B50275" w:rsidP="00B25961">
      <w:pPr>
        <w:numPr>
          <w:ilvl w:val="0"/>
          <w:numId w:val="169"/>
        </w:numPr>
        <w:spacing w:after="0" w:line="240" w:lineRule="auto"/>
        <w:ind w:left="360"/>
        <w:contextualSpacing/>
        <w:jc w:val="both"/>
        <w:rPr>
          <w:rFonts w:cs="Arial"/>
        </w:rPr>
      </w:pPr>
      <w:r w:rsidRPr="00B50275">
        <w:rPr>
          <w:rFonts w:cs="Arial"/>
          <w:bCs/>
        </w:rPr>
        <w:t>Fortalecer con las familias sus competencias sociales para la protección de niños, niñas y adolescentes:</w:t>
      </w:r>
    </w:p>
    <w:p w:rsidR="0081395D" w:rsidRPr="00B50275" w:rsidRDefault="0081395D" w:rsidP="00B25961">
      <w:pPr>
        <w:spacing w:after="0" w:line="240" w:lineRule="auto"/>
        <w:contextualSpacing/>
        <w:jc w:val="both"/>
        <w:rPr>
          <w:rFonts w:cs="Arial"/>
        </w:rPr>
      </w:pPr>
    </w:p>
    <w:p w:rsidR="00B50275" w:rsidRPr="0081395D" w:rsidRDefault="00B50275" w:rsidP="00B25961">
      <w:pPr>
        <w:numPr>
          <w:ilvl w:val="1"/>
          <w:numId w:val="169"/>
        </w:numPr>
        <w:spacing w:after="0" w:line="240" w:lineRule="auto"/>
        <w:ind w:left="714" w:hanging="357"/>
        <w:contextualSpacing/>
        <w:jc w:val="both"/>
        <w:rPr>
          <w:rFonts w:cs="Arial"/>
          <w:lang w:val="es-CO"/>
        </w:rPr>
      </w:pPr>
      <w:r w:rsidRPr="00B50275">
        <w:rPr>
          <w:rFonts w:cs="Arial"/>
        </w:rPr>
        <w:t>Vinculación de las familias de niños, niñas y adolescentes atendidos por el ICBF a las modalidades de la Dirección de Familias y Comunidades, para fortalecer e integrar los procesos.</w:t>
      </w:r>
    </w:p>
    <w:p w:rsidR="0081395D" w:rsidRPr="00B50275" w:rsidRDefault="0081395D" w:rsidP="00B25961">
      <w:pPr>
        <w:spacing w:after="0" w:line="240" w:lineRule="auto"/>
        <w:ind w:left="714"/>
        <w:contextualSpacing/>
        <w:jc w:val="both"/>
        <w:rPr>
          <w:rFonts w:cs="Arial"/>
          <w:lang w:val="es-CO"/>
        </w:rPr>
      </w:pPr>
    </w:p>
    <w:p w:rsidR="00B50275" w:rsidRPr="00B50275" w:rsidRDefault="00B50275" w:rsidP="00B25961">
      <w:pPr>
        <w:numPr>
          <w:ilvl w:val="1"/>
          <w:numId w:val="169"/>
        </w:numPr>
        <w:spacing w:after="0" w:line="240" w:lineRule="auto"/>
        <w:ind w:left="714" w:hanging="357"/>
        <w:contextualSpacing/>
        <w:jc w:val="both"/>
        <w:rPr>
          <w:rFonts w:cs="Arial"/>
          <w:lang w:val="es-CO"/>
        </w:rPr>
      </w:pPr>
      <w:r w:rsidRPr="00B50275">
        <w:rPr>
          <w:rFonts w:cs="Arial"/>
        </w:rPr>
        <w:t>Articulación de acciones en los territorios que permitan la activación de rutas y el fortalecimiento de redes sociales de apoyo.</w:t>
      </w:r>
    </w:p>
    <w:p w:rsidR="00B50275" w:rsidRPr="00B50275" w:rsidRDefault="00B50275" w:rsidP="00B25961">
      <w:pPr>
        <w:spacing w:after="0" w:line="240" w:lineRule="auto"/>
        <w:ind w:left="348"/>
        <w:jc w:val="both"/>
        <w:rPr>
          <w:rFonts w:cs="Arial"/>
        </w:rPr>
      </w:pPr>
    </w:p>
    <w:p w:rsidR="00B50275" w:rsidRDefault="00B50275" w:rsidP="00B25961">
      <w:pPr>
        <w:numPr>
          <w:ilvl w:val="0"/>
          <w:numId w:val="169"/>
        </w:numPr>
        <w:spacing w:after="0" w:line="240" w:lineRule="auto"/>
        <w:ind w:left="360"/>
        <w:contextualSpacing/>
        <w:jc w:val="both"/>
        <w:rPr>
          <w:rFonts w:cs="Arial"/>
        </w:rPr>
      </w:pPr>
      <w:r w:rsidRPr="00B50275">
        <w:rPr>
          <w:rFonts w:cs="Arial"/>
          <w:bCs/>
        </w:rPr>
        <w:t>Fomentar el liderazgo y el desarrollo familiar y comunitario con familias ubicadas en zonas rurales, buscando formas de relacionamiento respetuosas, y solidarias</w:t>
      </w:r>
      <w:r w:rsidRPr="00B50275">
        <w:rPr>
          <w:rFonts w:cs="Arial"/>
        </w:rPr>
        <w:t>, con enfoque diferencial y perspectiva de género:</w:t>
      </w:r>
    </w:p>
    <w:p w:rsidR="0081395D" w:rsidRPr="00B50275" w:rsidRDefault="0081395D" w:rsidP="00B25961">
      <w:pPr>
        <w:spacing w:after="0" w:line="240" w:lineRule="auto"/>
        <w:ind w:left="360"/>
        <w:contextualSpacing/>
        <w:jc w:val="both"/>
        <w:rPr>
          <w:rFonts w:cs="Arial"/>
        </w:rPr>
      </w:pPr>
    </w:p>
    <w:p w:rsidR="00B50275" w:rsidRPr="0081395D" w:rsidRDefault="00B50275" w:rsidP="00B25961">
      <w:pPr>
        <w:numPr>
          <w:ilvl w:val="1"/>
          <w:numId w:val="169"/>
        </w:numPr>
        <w:spacing w:after="0" w:line="240" w:lineRule="auto"/>
        <w:ind w:left="717" w:hanging="357"/>
        <w:contextualSpacing/>
        <w:jc w:val="both"/>
        <w:rPr>
          <w:rFonts w:cs="Arial"/>
          <w:lang w:val="es-CO"/>
        </w:rPr>
      </w:pPr>
      <w:r w:rsidRPr="00B50275">
        <w:rPr>
          <w:rFonts w:cs="Arial"/>
        </w:rPr>
        <w:t xml:space="preserve">Implementación de la modalidad </w:t>
      </w:r>
      <w:r w:rsidRPr="00B50275">
        <w:rPr>
          <w:rFonts w:cs="Arial"/>
          <w:i/>
          <w:iCs/>
        </w:rPr>
        <w:t>Comunidades Rurales.</w:t>
      </w:r>
    </w:p>
    <w:p w:rsidR="0081395D" w:rsidRPr="00B50275" w:rsidRDefault="0081395D" w:rsidP="00B25961">
      <w:pPr>
        <w:spacing w:after="0" w:line="240" w:lineRule="auto"/>
        <w:ind w:left="717"/>
        <w:contextualSpacing/>
        <w:jc w:val="both"/>
        <w:rPr>
          <w:rFonts w:cs="Arial"/>
          <w:lang w:val="es-CO"/>
        </w:rPr>
      </w:pPr>
    </w:p>
    <w:p w:rsidR="00B50275" w:rsidRPr="00B50275" w:rsidRDefault="00B50275" w:rsidP="00B25961">
      <w:pPr>
        <w:numPr>
          <w:ilvl w:val="1"/>
          <w:numId w:val="169"/>
        </w:numPr>
        <w:spacing w:after="0" w:line="240" w:lineRule="auto"/>
        <w:ind w:left="717" w:hanging="357"/>
        <w:contextualSpacing/>
        <w:jc w:val="both"/>
        <w:rPr>
          <w:rFonts w:cs="Arial"/>
        </w:rPr>
      </w:pPr>
      <w:r w:rsidRPr="00B50275">
        <w:rPr>
          <w:rFonts w:cs="Arial"/>
        </w:rPr>
        <w:lastRenderedPageBreak/>
        <w:t>Focalización de familias ubicadas en zonas rurales priorizadas en el proceso de paz y con altos índices de pobreza multidimensional</w:t>
      </w:r>
    </w:p>
    <w:p w:rsidR="00B50275" w:rsidRPr="00B50275" w:rsidRDefault="00B50275" w:rsidP="00B25961">
      <w:pPr>
        <w:spacing w:after="0" w:line="240" w:lineRule="auto"/>
        <w:ind w:left="348"/>
        <w:jc w:val="both"/>
        <w:rPr>
          <w:rFonts w:cs="Arial"/>
        </w:rPr>
      </w:pPr>
    </w:p>
    <w:p w:rsidR="00B50275" w:rsidRPr="00B50275" w:rsidRDefault="00B50275" w:rsidP="00B25961">
      <w:pPr>
        <w:numPr>
          <w:ilvl w:val="0"/>
          <w:numId w:val="169"/>
        </w:numPr>
        <w:spacing w:after="0" w:line="240" w:lineRule="auto"/>
        <w:ind w:left="360"/>
        <w:contextualSpacing/>
        <w:jc w:val="both"/>
        <w:rPr>
          <w:rFonts w:cs="Arial"/>
        </w:rPr>
      </w:pPr>
      <w:r w:rsidRPr="00B50275">
        <w:rPr>
          <w:rFonts w:cs="Arial"/>
        </w:rPr>
        <w:t xml:space="preserve">Contribuir a la pervivencia de las comunidades étnicas a través de acciones que recuperen y afiancen sus valores culturales y fortalezcan sus capacidades socio-organizativas. </w:t>
      </w:r>
    </w:p>
    <w:p w:rsidR="00B50275" w:rsidRPr="00B50275" w:rsidRDefault="00B50275" w:rsidP="00B50275"/>
    <w:p w:rsidR="00086073" w:rsidRDefault="00086073" w:rsidP="007342CF">
      <w:pPr>
        <w:pStyle w:val="Ttulo1"/>
        <w:pageBreakBefore/>
        <w:numPr>
          <w:ilvl w:val="1"/>
          <w:numId w:val="242"/>
        </w:numPr>
        <w:rPr>
          <w:rFonts w:cs="Arial"/>
          <w:szCs w:val="22"/>
        </w:rPr>
      </w:pPr>
      <w:bookmarkStart w:id="79" w:name="_Toc473581419"/>
      <w:bookmarkEnd w:id="16"/>
      <w:bookmarkEnd w:id="67"/>
      <w:r w:rsidRPr="00DB4109">
        <w:rPr>
          <w:rFonts w:cs="Arial"/>
          <w:szCs w:val="22"/>
        </w:rPr>
        <w:lastRenderedPageBreak/>
        <w:t>ATENCIÓN EN NUTRICIÓN</w:t>
      </w:r>
      <w:bookmarkEnd w:id="79"/>
    </w:p>
    <w:p w:rsidR="0058119B" w:rsidRPr="00D23FA4" w:rsidRDefault="0058119B" w:rsidP="0058119B">
      <w:pPr>
        <w:spacing w:after="0" w:line="240" w:lineRule="auto"/>
        <w:rPr>
          <w:rFonts w:cs="Arial"/>
        </w:rPr>
      </w:pPr>
    </w:p>
    <w:p w:rsidR="0058119B" w:rsidRPr="00B25961" w:rsidRDefault="0058119B" w:rsidP="007342CF">
      <w:pPr>
        <w:pStyle w:val="Prrafodelista"/>
        <w:keepNext/>
        <w:keepLines/>
        <w:numPr>
          <w:ilvl w:val="2"/>
          <w:numId w:val="242"/>
        </w:numPr>
        <w:spacing w:after="0" w:line="240" w:lineRule="auto"/>
        <w:outlineLvl w:val="1"/>
        <w:rPr>
          <w:rFonts w:eastAsiaTheme="majorEastAsia" w:cs="Arial"/>
          <w:b/>
        </w:rPr>
      </w:pPr>
      <w:bookmarkStart w:id="80" w:name="_Toc473581420"/>
      <w:r w:rsidRPr="00B25961">
        <w:rPr>
          <w:rFonts w:eastAsia="Times New Roman" w:cs="Arial"/>
          <w:b/>
          <w:bCs/>
          <w:kern w:val="32"/>
        </w:rPr>
        <w:t>Marco de Política Pública de Nutrición</w:t>
      </w:r>
      <w:bookmarkEnd w:id="80"/>
    </w:p>
    <w:p w:rsidR="00AF6DF9" w:rsidRPr="00802120" w:rsidRDefault="00AF6DF9" w:rsidP="0058119B">
      <w:pPr>
        <w:rPr>
          <w:rFonts w:eastAsiaTheme="majorEastAsia" w:cs="Arial"/>
          <w:b/>
        </w:rPr>
      </w:pPr>
      <w:r w:rsidRPr="00802120">
        <w:rPr>
          <w:rFonts w:eastAsiaTheme="majorEastAsia" w:cs="Arial"/>
          <w:b/>
        </w:rPr>
        <w:t xml:space="preserve"> </w:t>
      </w:r>
    </w:p>
    <w:p w:rsidR="00AF6DF9" w:rsidRPr="00AF6DF9" w:rsidRDefault="00AF6DF9" w:rsidP="00AF6DF9">
      <w:pPr>
        <w:spacing w:after="0" w:line="240" w:lineRule="auto"/>
        <w:jc w:val="both"/>
        <w:rPr>
          <w:rFonts w:cs="Arial"/>
        </w:rPr>
      </w:pPr>
      <w:r w:rsidRPr="00AF6DF9">
        <w:rPr>
          <w:rFonts w:cs="Arial"/>
        </w:rPr>
        <w:t>En el marco de la Declaración Universal de los Derechos Humanos, que en su artículo 25 establece que “Toda persona tiene derecho a un nivel de vida adecuado que le asegure, así como a su familia, la salud y el bienestar, y en especial la alimentación, el vestido, la vivienda, la asistencia médica y los servicios sociales necesarios; tiene así mismo derecho a los seguros en caso de desempleo, enfermedad, invalidez, viudez, vejez u otros casos de pérdida de sus medios de subsistencia por circunstancias independientes de su voluntad”, se reconoce la alimentación como un derecho fundamental que debe garantizar el Estado para lograr que sus ciudadanos tengan una vida digna.</w:t>
      </w:r>
    </w:p>
    <w:p w:rsidR="00AF6DF9" w:rsidRPr="00AF6DF9" w:rsidRDefault="00AF6DF9" w:rsidP="00AF6DF9">
      <w:pPr>
        <w:spacing w:after="0" w:line="240" w:lineRule="auto"/>
        <w:jc w:val="both"/>
        <w:rPr>
          <w:rFonts w:cs="Arial"/>
        </w:rPr>
      </w:pPr>
    </w:p>
    <w:p w:rsidR="00AF6DF9" w:rsidRPr="00AF6DF9" w:rsidRDefault="00AF6DF9" w:rsidP="00AF6DF9">
      <w:pPr>
        <w:spacing w:after="0" w:line="240" w:lineRule="auto"/>
        <w:jc w:val="both"/>
        <w:rPr>
          <w:rFonts w:cs="Arial"/>
        </w:rPr>
      </w:pPr>
      <w:r w:rsidRPr="00AF6DF9">
        <w:rPr>
          <w:rFonts w:cs="Arial"/>
        </w:rPr>
        <w:t>En este sentido la Constitución Política de Colombia en su artículo 44, contempla el derecho a la alimentación equilibrada como uno de los derechos fundamentales de los niños, y para dar cumplimiento a la Constitución y a los compromisos adquiridos por el País en los tratados internacionales, se diseñó la Política Nacional de Seguridad Alimentaria y Nutricional – Conpes 113 de 2008 que contiene entre sus principios orientadores el derecho a la alimentación e igualmente contempla los principios de equidad social, la perspectiva de género, sostenibilidad, corresponsabilidad y respeto a la identidad y diversidad cultural.</w:t>
      </w:r>
    </w:p>
    <w:p w:rsidR="00AF6DF9" w:rsidRPr="00AF6DF9" w:rsidRDefault="00AF6DF9" w:rsidP="00AF6DF9">
      <w:pPr>
        <w:spacing w:after="0" w:line="240" w:lineRule="auto"/>
        <w:jc w:val="both"/>
        <w:rPr>
          <w:rFonts w:cs="Arial"/>
        </w:rPr>
      </w:pPr>
    </w:p>
    <w:p w:rsidR="00AF6DF9" w:rsidRPr="00AF6DF9" w:rsidRDefault="00AF6DF9" w:rsidP="00AF6DF9">
      <w:pPr>
        <w:spacing w:after="0" w:line="240" w:lineRule="auto"/>
        <w:jc w:val="both"/>
        <w:rPr>
          <w:rFonts w:cs="Arial"/>
        </w:rPr>
      </w:pPr>
      <w:r w:rsidRPr="00AF6DF9">
        <w:rPr>
          <w:rFonts w:cs="Arial"/>
        </w:rPr>
        <w:t>En concordancia con lo anterior el Plan Nacional de Desarrollo 2014 – 2018 “Todos por un nuevo país”, establece los compromisos del Estado para dar respuesta al mejoramiento de las condiciones de alimentación y nutrición de la población, especialmente la más vulnerable.</w:t>
      </w:r>
    </w:p>
    <w:p w:rsidR="00AF6DF9" w:rsidRPr="00AF6DF9" w:rsidRDefault="00AF6DF9" w:rsidP="00802120">
      <w:pPr>
        <w:rPr>
          <w:lang w:eastAsia="es-MX"/>
        </w:rPr>
      </w:pPr>
    </w:p>
    <w:p w:rsidR="00AF6DF9" w:rsidRPr="00E81A77" w:rsidRDefault="00AF6DF9" w:rsidP="00802120">
      <w:pPr>
        <w:ind w:firstLine="708"/>
        <w:rPr>
          <w:b/>
          <w:lang w:val="es-CO" w:eastAsia="es-ES"/>
        </w:rPr>
      </w:pPr>
      <w:bookmarkStart w:id="81" w:name="_Toc469470689"/>
      <w:bookmarkStart w:id="82" w:name="_Toc472519262"/>
      <w:r w:rsidRPr="00E81A77">
        <w:rPr>
          <w:b/>
          <w:lang w:val="es-CO" w:eastAsia="es-ES"/>
        </w:rPr>
        <w:t>Estrategia de información, educación y comunicación</w:t>
      </w:r>
      <w:bookmarkEnd w:id="81"/>
      <w:bookmarkEnd w:id="82"/>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Dentro de las estrategias definidas en el Conpes 113 de 2008 para el abordaje de la problemática entorno a la seguridad alimentaria y nutricional se establece la información, educación y comunicación que incluye la “</w:t>
      </w:r>
      <w:r w:rsidRPr="00AF6DF9">
        <w:rPr>
          <w:rFonts w:eastAsia="Times New Roman" w:cs="Arial"/>
          <w:i/>
          <w:lang w:eastAsia="es-MX"/>
        </w:rPr>
        <w:t>Actualización y difusión permanente de instrumentos de programación y orientaciones alimentarias y nutricionales, como la tabla de composición de alimentos colombianos, las recomendaciones de energía y nutrientes, y las guías alimentarias para la población colombiana</w:t>
      </w:r>
      <w:r w:rsidRPr="00AF6DF9">
        <w:rPr>
          <w:rFonts w:eastAsia="Times New Roman" w:cs="Arial"/>
          <w:lang w:eastAsia="es-MX"/>
        </w:rPr>
        <w:t>”, en cuyo marco se adelantaron las siguientes acciones con el objetivo de dar cumplimiento a las metas del gobierno nacional:</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Desarrollar la tercera fase del proceso de actualización de la Tabla de Composición de Alimentos Colombianos - TCAC, relacionada con la estandarización de 18 preparaciones y/o platos típicos característicos, de mayor reconocimiento del país, para determinar el aporte nutricional e incorporar nuevos datos en la Tabla (mediante contrato 1326 de 2016, suscrito entre el ICBF y la Universidad Nacional de Colombia, con una inversión de $173 millones).</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Socializar y divulgar la Tabla de Composición de Alimentos Colombianos - TCAC 2015 a las Regionales y Centros Zonales del ICBF, así como en escenarios académicos e institucionales para público externo al Instituto.</w:t>
      </w: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lastRenderedPageBreak/>
        <w:t>Distribuir 1.000 ejemplares de la Tabla de Composición de Alimentos Colombianos – TCAC 2015 a las entidades de gobierno, nutricionistas dietistas de las Regionales y Centros Zonales de ICBF, universidades con carreras de Nutrición y Dietética y/o ingenierías de alimentos o áreas relacionadas y bibliotecas.</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Iniciar el proceso de construcción del Aplicativo para calcular y determinar el aporte de calorías y nutrientes de un menú a nivel individual y en grupos de población, según las cantidades establecidas en la Tabla de Composición de Alimentos Colombianos - TCAC 2015.</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Fortalecer la capacidad técnica de los profesionales de Regionales, Centros Zonales y Sede de la Dirección General ICBF sobre las Recomendaciones de Ingesta de Energía y Nutrientes – RIEN, </w:t>
      </w:r>
      <w:r w:rsidRPr="00AF6DF9">
        <w:rPr>
          <w:rFonts w:eastAsia="Times New Roman" w:cs="Arial"/>
          <w:i/>
          <w:lang w:eastAsia="es-MX"/>
        </w:rPr>
        <w:t>Guías Alimentarias Basadas en Alimentos y Lactancia Materna</w:t>
      </w:r>
      <w:r w:rsidRPr="00AF6DF9">
        <w:rPr>
          <w:rFonts w:eastAsia="Times New Roman" w:cs="Arial"/>
          <w:lang w:eastAsia="es-MX"/>
        </w:rPr>
        <w:t>, logrando la certificación de 375 profesionales de las Regionales del ICBF.</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jc w:val="both"/>
        <w:rPr>
          <w:rFonts w:eastAsia="Times New Roman" w:cs="Arial"/>
          <w:color w:val="000000"/>
          <w:szCs w:val="24"/>
          <w:lang w:val="es-CO" w:eastAsia="es-CO"/>
        </w:rPr>
      </w:pPr>
      <w:r w:rsidRPr="00AF6DF9">
        <w:rPr>
          <w:rFonts w:eastAsia="Times New Roman" w:cs="Arial"/>
          <w:color w:val="000000"/>
          <w:szCs w:val="24"/>
          <w:lang w:val="es-CO" w:eastAsia="es-CO"/>
        </w:rPr>
        <w:t>Realizar el Curso Virtual de Consejería en Lactancia Materna, basado en el curso Consejería para la Alimentación del Lactante y del Niño Pequeño: Curso Integrado de la OMS, el cual tiene como objetivo establecer las bases para la consejería en lactancia materna, herramientas que buscan lograr la cualificación de los profesionales en Nutrición y Dietética del ICBF, y a su vez, por medio de una metodología de formación a formadores, poder llegar a capacitar los agentes educativos que atienden directamente a la población beneficiaria de los programas de ICBF. Participaron las 33 regionales y se certificaron 174 colaboradores.</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Apoyar técnicamente el diseño de la campaña de lactancia materna de la Dirección General, la cual consta de una serie de videos y afiches con mensajes que buscan promocionar la práctica de la lactancia materna para todas las madres del país. Así mismo, se participa en la elaboración de la cartilla </w:t>
      </w:r>
      <w:r w:rsidRPr="00AF6DF9">
        <w:rPr>
          <w:rFonts w:eastAsia="Times New Roman" w:cs="Arial"/>
          <w:i/>
          <w:lang w:eastAsia="es-MX"/>
        </w:rPr>
        <w:t>“Empezando una nueva vida”,</w:t>
      </w:r>
      <w:r w:rsidRPr="00AF6DF9">
        <w:rPr>
          <w:rFonts w:eastAsia="Times New Roman" w:cs="Arial"/>
          <w:lang w:eastAsia="es-MX"/>
        </w:rPr>
        <w:t xml:space="preserve"> material que tiene como objetivo brindar herramientas y consejos prácticos a las familias, para que promuevan un adecuado cuidado de los niños y niñas desde la gestación, así como promover y apoyar el establecimiento de la práctica de la lactancia materna, acciones fundamentales para la supervivencia de la primera infancia. Esta cartilla será distribuida en la modalidad </w:t>
      </w:r>
      <w:r w:rsidRPr="00AF6DF9">
        <w:rPr>
          <w:rFonts w:eastAsia="Times New Roman" w:cs="Arial"/>
          <w:i/>
          <w:lang w:eastAsia="es-MX"/>
        </w:rPr>
        <w:t>1.000 días para cambiar el mundo</w:t>
      </w:r>
      <w:r w:rsidRPr="00AF6DF9">
        <w:rPr>
          <w:rFonts w:eastAsia="Times New Roman" w:cs="Arial"/>
          <w:lang w:eastAsia="es-MX"/>
        </w:rPr>
        <w:t xml:space="preserve"> y en las Empresas Sociales del Estado </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Fortalecer la Sala Amiga de la Familia Lactante en el entorno laboral, ubicada en la Sede de la Dirección General, a través de la búsqueda activa de las mujeres en gestación y periodo de lactancia en todas las dependencias. Adicionalmente se realizaron acciones de promoción, protección, y apoyo de la lactancia materna, mediante la realización de conversatorios y encuentro con las madres gestantes y lactantes.</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Realizar junto con el Ministerio de Salud y Protección Social “el I Encuentro Nacional de Salas Amigas”. con el objetivo de posicionar esta estrategia como acción fundamental para la realización del derecho a la alimentación infantil y la vivencia de los derechos reproductivos. Durante este evento se hizo un reconocimiento a las unidades de servicio de las modalidades de primera infancia que cuentan con una sala amiga de la familia lactante en sus instalaciones.</w:t>
      </w:r>
    </w:p>
    <w:p w:rsidR="00AF6DF9" w:rsidRPr="00AF6DF9" w:rsidRDefault="00AF6DF9" w:rsidP="00AF6DF9">
      <w:pPr>
        <w:ind w:left="708"/>
        <w:rPr>
          <w:rFonts w:eastAsia="Times New Roman" w:cs="Arial"/>
          <w:lang w:eastAsia="es-MX"/>
        </w:rPr>
      </w:pPr>
    </w:p>
    <w:p w:rsidR="00AF6DF9" w:rsidRPr="00AF6DF9" w:rsidRDefault="00AF6DF9" w:rsidP="00D712DC">
      <w:pPr>
        <w:numPr>
          <w:ilvl w:val="0"/>
          <w:numId w:val="17"/>
        </w:numPr>
        <w:autoSpaceDE w:val="0"/>
        <w:autoSpaceDN w:val="0"/>
        <w:spacing w:after="0" w:line="240" w:lineRule="auto"/>
        <w:contextualSpacing/>
        <w:jc w:val="both"/>
        <w:rPr>
          <w:rFonts w:cs="Arial"/>
          <w:color w:val="000000"/>
          <w:lang w:val="es-CO" w:eastAsia="es-CO"/>
        </w:rPr>
      </w:pPr>
      <w:r w:rsidRPr="00AF6DF9">
        <w:rPr>
          <w:rFonts w:cs="Arial"/>
          <w:color w:val="000000"/>
        </w:rPr>
        <w:lastRenderedPageBreak/>
        <w:t xml:space="preserve">Participación en el V Simposio de Abordaje interdisciplinario de la Obesidad realizado en el mes de mayo, en el panel Lactancia Materna y Obesidad, con la ponencia </w:t>
      </w:r>
      <w:r w:rsidRPr="00AF6DF9">
        <w:rPr>
          <w:rFonts w:cs="Arial"/>
          <w:i/>
          <w:color w:val="000000"/>
        </w:rPr>
        <w:t>Lactancia materna como factor protector del exceso de peso</w:t>
      </w:r>
      <w:r w:rsidRPr="00AF6DF9">
        <w:rPr>
          <w:rFonts w:cs="Arial"/>
          <w:color w:val="000000"/>
        </w:rPr>
        <w:t xml:space="preserve">, en el cual se expusieron los avances del ICBF en la promoción de esta importante práctica. Este evento contó con la asistencia de 500 personas aproximadamente.  </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Publicar la Hoja de Balance de Alimentos - HBA para los años 2011 y 2012, y se inició el proceso de construcción de la HBA con los datos del año 2013 suministrados por el Ministerio en Agricultura y Desarrollo Rural, el Departamento Administrativo Nacional de Estadística y la Organización de las Naciones Unidas para la Alimentación y la Agricultura - FAO.</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Construir la hoja de vida del indicador de Prevalencia de Subalimentación, porcentaje de la población del país cuyo consumo diario de energía alimentaria está por debajo del nivel mínimo recomendado, la cual se reportó al Departamento Nacional de Planeación - DNP -, con los datos calculados por la FAO para el año 2014 y 2015, y se estableció una meta para el año 2018 de 7,5%.</w:t>
      </w:r>
    </w:p>
    <w:p w:rsidR="00AF6DF9" w:rsidRPr="00AF6DF9" w:rsidRDefault="00AF6DF9" w:rsidP="00AF6DF9">
      <w:pPr>
        <w:autoSpaceDE w:val="0"/>
        <w:autoSpaceDN w:val="0"/>
        <w:adjustRightInd w:val="0"/>
        <w:spacing w:after="0" w:line="240" w:lineRule="auto"/>
        <w:ind w:left="360"/>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Adelantar el proceso de validación con las Regionales ICBF del </w:t>
      </w:r>
      <w:r w:rsidRPr="00AF6DF9">
        <w:rPr>
          <w:rFonts w:eastAsia="Times New Roman" w:cs="Arial"/>
          <w:i/>
          <w:lang w:eastAsia="es-MX"/>
        </w:rPr>
        <w:t>Lineamiento Nacional de Educación Alimentaria y Nutricional</w:t>
      </w:r>
      <w:r w:rsidRPr="00AF6DF9">
        <w:rPr>
          <w:rFonts w:eastAsia="Times New Roman" w:cs="Arial"/>
          <w:lang w:eastAsia="es-MX"/>
        </w:rPr>
        <w:t xml:space="preserve">, que incluyó revisión de líneas de acción y aspectos pedagógicos de base conceptual con el liderazgo del ICBF y el Comité Temático de educación alimentaria y nutricional, en el que participan el Ministerio de Salud y Protección Social, el Ministerio de Educación, el Departamento para la Prosperidad Social,  la Agencia Nacional para la Superación de la Pobreza Extrema – ANSPE y la Asociación Colombiana de Facultades de Nutrición y Dietética-ACOFANUD. </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Mediante suscripción del Convenio de Cooperación Internacional 918 de 2016, se dio continuidad al Convenio marco 1318 de 2015 suscrito entre el ICBF y PMA con vigencia 2015 – 2017, para la implementación de la Operación Prolongada de Socorro y Recuperación – OPSR en 11 departamentos (Córdoba, Chocó, Antioquia, Nariño, Putumayo, Cauca, Caquetá, Valle del Cauca, La Guajira, Norte de Santander y Arauca), con una inversión de $522 millones y Bienestarina representada en $610 millones, con proyección de atención en 161 municipios.</w:t>
      </w:r>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p>
    <w:p w:rsidR="00AF6DF9" w:rsidRP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Realizar 7 talleres con socios implementadores y 9 con autoridades y entidades locales en los departamentos antes mencionados, con una participación de 321 personas entre representantes de las entidades territoriales, instituciones y comunidad. Adicionalmente, se dio prioridad para la distribución de Bienestarina en los departamentos de La Guajira, Chocó, Nariño, Cauca, Caquetá y Putumayo; gestionando la entrega de 64.5 TM de Bienestarina, con la cual se atendió 46.050 beneficiarios.</w:t>
      </w:r>
    </w:p>
    <w:p w:rsidR="00AF6DF9" w:rsidRPr="00AF6DF9" w:rsidRDefault="00AF6DF9" w:rsidP="00802120">
      <w:pPr>
        <w:rPr>
          <w:lang w:eastAsia="es-MX"/>
        </w:rPr>
      </w:pPr>
    </w:p>
    <w:p w:rsidR="00AF6DF9" w:rsidRPr="00E81A77" w:rsidRDefault="00AF6DF9" w:rsidP="00802120">
      <w:pPr>
        <w:ind w:firstLine="708"/>
        <w:rPr>
          <w:b/>
          <w:lang w:val="es-CO" w:eastAsia="es-ES"/>
        </w:rPr>
      </w:pPr>
      <w:bookmarkStart w:id="83" w:name="_Toc469470690"/>
      <w:bookmarkStart w:id="84" w:name="_Toc472519263"/>
      <w:r w:rsidRPr="00E81A77">
        <w:rPr>
          <w:b/>
          <w:lang w:val="es-CO" w:eastAsia="es-ES"/>
        </w:rPr>
        <w:t>Planes de Seguridad Alimentaria</w:t>
      </w:r>
      <w:bookmarkEnd w:id="83"/>
      <w:bookmarkEnd w:id="84"/>
    </w:p>
    <w:p w:rsidR="00AF6DF9" w:rsidRPr="00AF6DF9" w:rsidRDefault="00AF6DF9" w:rsidP="00AF6DF9">
      <w:pPr>
        <w:spacing w:after="0" w:line="240" w:lineRule="auto"/>
        <w:jc w:val="both"/>
        <w:rPr>
          <w:rFonts w:cs="Arial"/>
        </w:rPr>
      </w:pPr>
      <w:r w:rsidRPr="00AF6DF9">
        <w:rPr>
          <w:rFonts w:cs="Arial"/>
        </w:rPr>
        <w:t xml:space="preserve">El objetivo de la política de seguridad alimentaria es “garantizar que toda la población colombiana disponga, acceda y consuma alimentos de manera permanente y oportuna, en suficiente cantidad, variedad, calidad e inocuidad”. Esta política se hace efectiva y se opera mediante </w:t>
      </w:r>
      <w:r w:rsidRPr="00AF6DF9">
        <w:rPr>
          <w:rFonts w:cs="Arial"/>
        </w:rPr>
        <w:lastRenderedPageBreak/>
        <w:t>estrategias y acciones formuladas en el Plan Nacional de Seguridad Alimentaria y Nutricional y en los Planes Territoriales de Seguridad Alimentaria y Nutricional.</w:t>
      </w:r>
    </w:p>
    <w:p w:rsidR="00AF6DF9" w:rsidRPr="00AF6DF9" w:rsidRDefault="00AF6DF9" w:rsidP="00AF6DF9">
      <w:pPr>
        <w:spacing w:after="0" w:line="240" w:lineRule="auto"/>
        <w:jc w:val="both"/>
        <w:rPr>
          <w:rFonts w:cs="Arial"/>
        </w:rPr>
      </w:pPr>
    </w:p>
    <w:p w:rsidR="00AF6DF9" w:rsidRPr="00AF6DF9" w:rsidRDefault="00AF6DF9" w:rsidP="00AF6DF9">
      <w:pPr>
        <w:spacing w:after="0" w:line="240" w:lineRule="auto"/>
        <w:jc w:val="both"/>
        <w:rPr>
          <w:rFonts w:cs="Arial"/>
        </w:rPr>
      </w:pPr>
      <w:r w:rsidRPr="00AF6DF9">
        <w:rPr>
          <w:rFonts w:cs="Arial"/>
        </w:rPr>
        <w:t>En este marco durante la vigencia 2016 la Dirección de Nutrición desarrolló las siguientes acciones:</w:t>
      </w:r>
    </w:p>
    <w:p w:rsidR="00AF6DF9" w:rsidRPr="00AF6DF9" w:rsidRDefault="00AF6DF9" w:rsidP="00AF6DF9">
      <w:pPr>
        <w:spacing w:after="0" w:line="240" w:lineRule="auto"/>
        <w:jc w:val="both"/>
        <w:rPr>
          <w:rFonts w:cs="Arial"/>
        </w:rPr>
      </w:pPr>
    </w:p>
    <w:p w:rsidR="00AF6DF9" w:rsidRPr="00AF6DF9" w:rsidRDefault="00AF6DF9" w:rsidP="00D712DC">
      <w:pPr>
        <w:numPr>
          <w:ilvl w:val="0"/>
          <w:numId w:val="178"/>
        </w:numPr>
        <w:spacing w:after="0" w:line="240" w:lineRule="auto"/>
        <w:ind w:left="284" w:hanging="284"/>
        <w:jc w:val="both"/>
        <w:rPr>
          <w:rFonts w:cs="Arial"/>
        </w:rPr>
      </w:pPr>
      <w:r w:rsidRPr="00AF6DF9">
        <w:rPr>
          <w:rFonts w:cs="Arial"/>
        </w:rPr>
        <w:t>Prestar apoyo a las regionales para adelantar el abordaje integral de la Seguridad Alimentaria y Nutricional a nivel Territorial, desde las competencias del ICBF en los ejes de acceso, consumo y aprovechamiento biológico de los alimentos; teniendo en cuenta como principios orientadores el enfoque de derechos, el enfoque diferencial, el desarrollo sostenible, la participación social, la articulación y las alianzas público privadas.</w:t>
      </w:r>
    </w:p>
    <w:p w:rsidR="00AF6DF9" w:rsidRPr="00AF6DF9" w:rsidRDefault="00AF6DF9" w:rsidP="00AF6DF9">
      <w:pPr>
        <w:spacing w:after="0" w:line="240" w:lineRule="auto"/>
        <w:ind w:left="284" w:hanging="284"/>
        <w:jc w:val="both"/>
        <w:rPr>
          <w:rFonts w:cs="Arial"/>
        </w:rPr>
      </w:pPr>
    </w:p>
    <w:p w:rsidR="00AF6DF9" w:rsidRPr="00AF6DF9" w:rsidRDefault="00AF6DF9" w:rsidP="00D712DC">
      <w:pPr>
        <w:numPr>
          <w:ilvl w:val="0"/>
          <w:numId w:val="178"/>
        </w:numPr>
        <w:spacing w:after="0" w:line="240" w:lineRule="auto"/>
        <w:ind w:left="284" w:hanging="284"/>
        <w:jc w:val="both"/>
        <w:rPr>
          <w:rFonts w:cs="Arial"/>
        </w:rPr>
      </w:pPr>
      <w:r w:rsidRPr="00AF6DF9">
        <w:rPr>
          <w:rFonts w:cs="Arial"/>
        </w:rPr>
        <w:t xml:space="preserve">Establecer la indicación de la Procuraduría General de la Nación sobre la Circular No. 002 de 8 de febrero 2016, en la cual insta a los diferentes niveles territoriales dentro de la función administrativa de lo público para que incluyan en sus planes de desarrollo, en el nivel nacional, departamental y municipal la Seguridad Alimentaria y Nutricional como instrumento de defensa de los derechos fundamentales de la población colombiana. </w:t>
      </w:r>
    </w:p>
    <w:p w:rsidR="00AF6DF9" w:rsidRPr="00AF6DF9" w:rsidRDefault="00AF6DF9" w:rsidP="00AF6DF9">
      <w:pPr>
        <w:spacing w:after="0" w:line="240" w:lineRule="auto"/>
        <w:ind w:left="284" w:hanging="284"/>
        <w:jc w:val="both"/>
        <w:rPr>
          <w:rFonts w:cs="Arial"/>
        </w:rPr>
      </w:pPr>
    </w:p>
    <w:p w:rsidR="00AF6DF9" w:rsidRPr="00AF6DF9" w:rsidRDefault="00AF6DF9" w:rsidP="00D712DC">
      <w:pPr>
        <w:numPr>
          <w:ilvl w:val="0"/>
          <w:numId w:val="178"/>
        </w:numPr>
        <w:spacing w:after="0" w:line="240" w:lineRule="auto"/>
        <w:ind w:left="284" w:hanging="284"/>
        <w:jc w:val="both"/>
        <w:rPr>
          <w:rFonts w:cs="Arial"/>
        </w:rPr>
      </w:pPr>
      <w:r w:rsidRPr="00AF6DF9">
        <w:rPr>
          <w:rFonts w:cs="Arial"/>
        </w:rPr>
        <w:t>Como resultado de la asistencia técnica, se estableció que los departamentos de Atlántico, Bolívar, Caldas, Caquetá, Cauca, Casanare, Chocó, Córdoba, Huila, Magdalena, Nariño, Putumayo, Tolima y Vaupés cuentan con Planes de Seguridad Alimentaria reconocidos mediante ordenanza departamental, con un comité activo liderado por la entidad territorial, realizan gestión permanente para una efectiva ejecución y está posicionado en la agenda pública; se encuentran en proceso de construcción los Planes de Seguridad Alimentaria en los departamentos de Meta, Vichada, Norte de Santander, Santander y San Andrés, los cuales requieren de un acompañamiento directo que dinamice el proceso de articulación interinstitucional y la participación social.</w:t>
      </w:r>
    </w:p>
    <w:p w:rsidR="00AF6DF9" w:rsidRPr="00AF6DF9" w:rsidRDefault="00AF6DF9" w:rsidP="00AF6DF9">
      <w:pPr>
        <w:spacing w:after="0" w:line="240" w:lineRule="auto"/>
        <w:ind w:hanging="284"/>
        <w:jc w:val="both"/>
        <w:rPr>
          <w:rFonts w:cs="Arial"/>
        </w:rPr>
      </w:pPr>
    </w:p>
    <w:p w:rsidR="00AF6DF9" w:rsidRPr="00AF6DF9" w:rsidRDefault="00AF6DF9" w:rsidP="00D712DC">
      <w:pPr>
        <w:numPr>
          <w:ilvl w:val="0"/>
          <w:numId w:val="178"/>
        </w:numPr>
        <w:spacing w:after="0" w:line="240" w:lineRule="auto"/>
        <w:ind w:left="284" w:hanging="284"/>
        <w:jc w:val="both"/>
        <w:rPr>
          <w:rFonts w:cs="Arial"/>
        </w:rPr>
      </w:pPr>
      <w:r w:rsidRPr="00AF6DF9">
        <w:rPr>
          <w:rFonts w:cs="Arial"/>
        </w:rPr>
        <w:t xml:space="preserve">Participar en las mesas de trabajo del rediseño del Conpes 113 de 2008 (Política Nacional de SAN), planteando un nuevo enfoque sobre la garantía del derecho a la alimentación en el marco de los acuerdos de La Habana. (Equipo redactor: DNP-DPS-MSPS-MADR-ICBF; lidera DNP). </w:t>
      </w:r>
    </w:p>
    <w:p w:rsidR="00AF6DF9" w:rsidRPr="00AF6DF9" w:rsidRDefault="00AF6DF9" w:rsidP="00AF6DF9">
      <w:pPr>
        <w:spacing w:after="0" w:line="240" w:lineRule="auto"/>
        <w:ind w:hanging="284"/>
        <w:jc w:val="both"/>
        <w:rPr>
          <w:rFonts w:cs="Arial"/>
        </w:rPr>
      </w:pPr>
    </w:p>
    <w:p w:rsidR="00AF6DF9" w:rsidRPr="00AF6DF9" w:rsidRDefault="00AF6DF9" w:rsidP="00D712DC">
      <w:pPr>
        <w:numPr>
          <w:ilvl w:val="0"/>
          <w:numId w:val="178"/>
        </w:numPr>
        <w:autoSpaceDE w:val="0"/>
        <w:autoSpaceDN w:val="0"/>
        <w:adjustRightInd w:val="0"/>
        <w:spacing w:after="0" w:line="240" w:lineRule="auto"/>
        <w:ind w:left="284" w:hanging="284"/>
        <w:contextualSpacing/>
        <w:jc w:val="both"/>
        <w:rPr>
          <w:rFonts w:eastAsia="Times New Roman" w:cs="Arial"/>
          <w:lang w:eastAsia="es-MX"/>
        </w:rPr>
      </w:pPr>
      <w:r w:rsidRPr="00AF6DF9">
        <w:rPr>
          <w:rFonts w:eastAsia="Times New Roman" w:cs="Arial"/>
          <w:lang w:eastAsia="es-MX"/>
        </w:rPr>
        <w:t xml:space="preserve">En el desarrollo de las sesiones de la Mesa Técnica de la Comisión Intersectorial de Seguridad Alimentaria y Nutricional - CISAN, se contemplaron temas en los cuales el ICBF tiene competencia directa como la validación del Lineamiento Nacional de Educación Alimentaria y Nutricional, la meta para el indicador de subalimentación en cumplimiento del compromiso establecido en  plan de desarrollo 2014 – 2018 y también se viene participando en la revisión de los documentos técnicos de alistamiento al post-acuerdo de la Habana </w:t>
      </w:r>
      <w:r w:rsidRPr="00AF6DF9">
        <w:rPr>
          <w:rFonts w:cs="Arial"/>
        </w:rPr>
        <w:t>y en la propuesta de proyecto de Ley sobre seguridad alimentaria proceso liderado por el Departamento para la Prosperidad Social.</w:t>
      </w:r>
    </w:p>
    <w:p w:rsidR="00802120" w:rsidRDefault="00802120" w:rsidP="00802120">
      <w:pPr>
        <w:ind w:firstLine="708"/>
        <w:rPr>
          <w:rFonts w:eastAsia="Times New Roman"/>
          <w:b/>
          <w:lang w:val="es-CO" w:eastAsia="es-ES"/>
        </w:rPr>
      </w:pPr>
      <w:bookmarkStart w:id="85" w:name="_Toc469470691"/>
      <w:bookmarkStart w:id="86" w:name="_Toc472519264"/>
    </w:p>
    <w:p w:rsidR="002D2615" w:rsidRDefault="002D2615" w:rsidP="00802120">
      <w:pPr>
        <w:ind w:firstLine="708"/>
        <w:rPr>
          <w:rFonts w:eastAsia="Times New Roman"/>
          <w:b/>
          <w:lang w:val="es-CO" w:eastAsia="es-ES"/>
        </w:rPr>
      </w:pPr>
    </w:p>
    <w:p w:rsidR="002D2615" w:rsidRDefault="002D2615" w:rsidP="00802120">
      <w:pPr>
        <w:ind w:firstLine="708"/>
        <w:rPr>
          <w:rFonts w:eastAsia="Times New Roman"/>
          <w:b/>
          <w:lang w:val="es-CO" w:eastAsia="es-ES"/>
        </w:rPr>
      </w:pPr>
    </w:p>
    <w:p w:rsidR="00AF6DF9" w:rsidRPr="00E81A77" w:rsidRDefault="00AF6DF9" w:rsidP="00802120">
      <w:pPr>
        <w:ind w:firstLine="708"/>
        <w:rPr>
          <w:rFonts w:eastAsia="Times New Roman"/>
          <w:b/>
          <w:lang w:val="es-CO" w:eastAsia="es-ES"/>
        </w:rPr>
      </w:pPr>
      <w:r w:rsidRPr="00E81A77">
        <w:rPr>
          <w:rFonts w:eastAsia="Times New Roman"/>
          <w:b/>
          <w:lang w:val="es-CO" w:eastAsia="es-ES"/>
        </w:rPr>
        <w:lastRenderedPageBreak/>
        <w:t>Metrología</w:t>
      </w:r>
      <w:bookmarkEnd w:id="85"/>
      <w:bookmarkEnd w:id="86"/>
      <w:r w:rsidRPr="00E81A77">
        <w:rPr>
          <w:rFonts w:eastAsia="Times New Roman"/>
          <w:b/>
          <w:lang w:val="es-CO" w:eastAsia="es-ES"/>
        </w:rPr>
        <w:t xml:space="preserve"> </w:t>
      </w:r>
    </w:p>
    <w:p w:rsidR="00AF6DF9" w:rsidRPr="00AF6DF9" w:rsidRDefault="00AF6DF9" w:rsidP="00AF6DF9">
      <w:pPr>
        <w:spacing w:after="0" w:line="240" w:lineRule="auto"/>
        <w:jc w:val="both"/>
        <w:rPr>
          <w:rFonts w:cs="Arial"/>
        </w:rPr>
      </w:pPr>
      <w:r w:rsidRPr="00AF6DF9">
        <w:rPr>
          <w:rFonts w:cs="Arial"/>
        </w:rPr>
        <w:t>El ICBF, requiere contar con elementos de medición en perfecto funcionamiento y debidamente calibrados que permitan cumplir sus labores de seguimiento nutricional, basado en datos confiables que garanticen evidenciar la eficacia y los resultados de las acciones que se ejecutan para mejorar las condiciones nutricionales de la población objetivo y el fortalecimiento de la adecuada formación de hábitos y estilos de vida saludables en los programas del ICBF. Para esto la Dirección de Nutrición adelantó las siguientes acciones:</w:t>
      </w:r>
    </w:p>
    <w:p w:rsidR="00AF6DF9" w:rsidRPr="00AF6DF9" w:rsidRDefault="00AF6DF9" w:rsidP="00AF6DF9">
      <w:pPr>
        <w:spacing w:after="0" w:line="240" w:lineRule="auto"/>
        <w:jc w:val="both"/>
        <w:rPr>
          <w:rFonts w:cs="Arial"/>
        </w:rPr>
      </w:pPr>
    </w:p>
    <w:p w:rsidR="00AF6DF9" w:rsidRPr="00AF6DF9" w:rsidRDefault="00AF6DF9" w:rsidP="00D712DC">
      <w:pPr>
        <w:numPr>
          <w:ilvl w:val="0"/>
          <w:numId w:val="179"/>
        </w:numPr>
        <w:spacing w:after="0" w:line="240" w:lineRule="auto"/>
        <w:ind w:left="284" w:hanging="284"/>
        <w:jc w:val="both"/>
        <w:rPr>
          <w:rFonts w:cs="Arial"/>
        </w:rPr>
      </w:pPr>
      <w:r w:rsidRPr="00AF6DF9">
        <w:rPr>
          <w:rFonts w:cs="Arial"/>
        </w:rPr>
        <w:t>Adquirir y entregar equipos de medición de acuerdo con los términos establecidos en el contrato 1590 de 2015 suscrito con ANALYTICA S.A.S, conformado por 945 balanzas de pie, 945 infantómetros, 945 tallímetros, 945 cintas métricas y 15 masas patrón, con una inversión de $3.527 millones, para la atención en las defensorías de familia de las 33 regionales y centros zonales, con el fin de hacer evaluación y seguimiento del estado nutricional de los beneficiarios del ICBF.</w:t>
      </w:r>
    </w:p>
    <w:p w:rsidR="00AF6DF9" w:rsidRPr="00AF6DF9" w:rsidRDefault="00AF6DF9" w:rsidP="00AF6DF9">
      <w:pPr>
        <w:spacing w:after="0" w:line="240" w:lineRule="auto"/>
        <w:ind w:left="284" w:hanging="284"/>
        <w:jc w:val="both"/>
        <w:rPr>
          <w:rFonts w:cs="Arial"/>
        </w:rPr>
      </w:pPr>
    </w:p>
    <w:p w:rsidR="00AF6DF9" w:rsidRPr="00AF6DF9" w:rsidRDefault="00AF6DF9" w:rsidP="00D712DC">
      <w:pPr>
        <w:numPr>
          <w:ilvl w:val="0"/>
          <w:numId w:val="179"/>
        </w:numPr>
        <w:spacing w:after="0" w:line="240" w:lineRule="auto"/>
        <w:ind w:left="284" w:hanging="284"/>
        <w:jc w:val="both"/>
        <w:rPr>
          <w:rFonts w:cs="Arial"/>
        </w:rPr>
      </w:pPr>
      <w:r w:rsidRPr="00AF6DF9">
        <w:rPr>
          <w:rFonts w:cs="Arial"/>
        </w:rPr>
        <w:t>Hacer seguimiento al contrato 1716 de 2013 suscrito con ANALYTICA S.A.S., que suministró equipos de medición para la atención a la Primera Infancia, conformados por termómetro para alimentos, balanza para alimentos, tallímetros, balanzas de pie portátil, infantómetros portátil, balanza patrón para verificación de balanzas de pie, así como, pesas patrón para verificación de balanzas pesa alimentos, para lo cual se  realizó el primer mantenimiento y calibración en las 33 regionales y centros zonales.</w:t>
      </w:r>
    </w:p>
    <w:p w:rsidR="00AF6DF9" w:rsidRPr="00AF6DF9" w:rsidRDefault="00AF6DF9" w:rsidP="009B6BC9"/>
    <w:p w:rsidR="00AF6DF9" w:rsidRPr="00E81A77" w:rsidRDefault="00AF6DF9" w:rsidP="009B6BC9">
      <w:pPr>
        <w:ind w:firstLine="708"/>
        <w:rPr>
          <w:rFonts w:eastAsia="Times New Roman"/>
          <w:b/>
          <w:lang w:val="es-CO" w:eastAsia="es-ES"/>
        </w:rPr>
      </w:pPr>
      <w:bookmarkStart w:id="87" w:name="_Toc469470692"/>
      <w:bookmarkStart w:id="88" w:name="_Toc472519265"/>
      <w:r w:rsidRPr="00E81A77">
        <w:rPr>
          <w:rFonts w:eastAsia="Times New Roman"/>
          <w:b/>
          <w:lang w:val="es-CO" w:eastAsia="es-ES"/>
        </w:rPr>
        <w:t>Enfoque Diferencial</w:t>
      </w:r>
      <w:bookmarkEnd w:id="87"/>
      <w:bookmarkEnd w:id="88"/>
    </w:p>
    <w:p w:rsidR="00AF6DF9" w:rsidRPr="00AF6DF9" w:rsidRDefault="00AF6DF9" w:rsidP="00AF6DF9">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En el modelo de enfoque diferencial de derechos, la protección integral es efectiva con la articulación permanente que dé respuesta oportuna a las necesidades de los niños, niñas, adolescentes y las familias; teniendo en cuenta sus particularidades, como aspectos incluyentes con especificidades para su atención. El enfoque establece grupos poblacionales basados en el reconocimiento de la pertenencia étnica, el género y la discapacidad, a los cuales se ha dado respuesta por medio de las siguientes actividades:</w:t>
      </w:r>
    </w:p>
    <w:p w:rsidR="00AF6DF9" w:rsidRPr="00AF6DF9" w:rsidRDefault="00AF6DF9" w:rsidP="00AF6DF9">
      <w:pPr>
        <w:autoSpaceDE w:val="0"/>
        <w:autoSpaceDN w:val="0"/>
        <w:adjustRightInd w:val="0"/>
        <w:spacing w:after="0" w:line="240" w:lineRule="auto"/>
        <w:contextualSpacing/>
        <w:jc w:val="both"/>
        <w:rPr>
          <w:rFonts w:cs="Arial"/>
        </w:rPr>
      </w:pPr>
    </w:p>
    <w:p w:rsid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Socializar la </w:t>
      </w:r>
      <w:r w:rsidRPr="00AF6DF9">
        <w:rPr>
          <w:rFonts w:eastAsia="Times New Roman" w:cs="Arial"/>
          <w:i/>
          <w:lang w:eastAsia="es-MX"/>
        </w:rPr>
        <w:t>Guía técnica</w:t>
      </w:r>
      <w:r w:rsidRPr="00AF6DF9">
        <w:rPr>
          <w:rFonts w:eastAsia="Times New Roman" w:cs="Arial"/>
          <w:lang w:eastAsia="es-MX"/>
        </w:rPr>
        <w:t xml:space="preserve"> aprobada y validada del componente de alimentación y nutrición para la población con discapacidad.</w:t>
      </w:r>
    </w:p>
    <w:p w:rsidR="0081395D" w:rsidRPr="00AF6DF9" w:rsidRDefault="0081395D" w:rsidP="0081395D">
      <w:pPr>
        <w:autoSpaceDE w:val="0"/>
        <w:autoSpaceDN w:val="0"/>
        <w:adjustRightInd w:val="0"/>
        <w:spacing w:after="0" w:line="240" w:lineRule="auto"/>
        <w:ind w:left="360"/>
        <w:contextualSpacing/>
        <w:jc w:val="both"/>
        <w:rPr>
          <w:rFonts w:eastAsia="Times New Roman" w:cs="Arial"/>
          <w:lang w:eastAsia="es-MX"/>
        </w:rPr>
      </w:pPr>
    </w:p>
    <w:p w:rsid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Realizar capacitación presencial a 369 nutricionistas de las Regionales </w:t>
      </w:r>
      <w:r w:rsidRPr="00AF6DF9">
        <w:rPr>
          <w:rFonts w:cs="Arial"/>
        </w:rPr>
        <w:t>Amazonas, Antioquia, Atlántico, Bogotá, Caquetá, Cesar, Cundinamarca, Guaviare, Magdalena, Meta, Nariño, Norte de Santander, Putumayo, San Andrés, Casanare, Cauca y Huila</w:t>
      </w:r>
      <w:r w:rsidRPr="00AF6DF9">
        <w:rPr>
          <w:rFonts w:eastAsia="Times New Roman" w:cs="Arial"/>
          <w:lang w:eastAsia="es-MX"/>
        </w:rPr>
        <w:t xml:space="preserve"> y Sede de la Dirección General.</w:t>
      </w:r>
    </w:p>
    <w:p w:rsidR="0081395D" w:rsidRPr="00AF6DF9" w:rsidRDefault="0081395D" w:rsidP="0081395D">
      <w:pPr>
        <w:autoSpaceDE w:val="0"/>
        <w:autoSpaceDN w:val="0"/>
        <w:adjustRightInd w:val="0"/>
        <w:spacing w:after="0" w:line="240" w:lineRule="auto"/>
        <w:contextualSpacing/>
        <w:jc w:val="both"/>
        <w:rPr>
          <w:rFonts w:eastAsia="Times New Roman" w:cs="Arial"/>
          <w:lang w:eastAsia="es-MX"/>
        </w:rPr>
      </w:pPr>
    </w:p>
    <w:p w:rsidR="00AF6DF9" w:rsidRDefault="00AF6DF9" w:rsidP="00D712DC">
      <w:pPr>
        <w:numPr>
          <w:ilvl w:val="0"/>
          <w:numId w:val="17"/>
        </w:num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Avanzar en los Sistemas de Información (CUENTAME y SIM), para realizar la valoración nutricional específica de la población con discapacidad teniendo en cuenta las orientaciones de la </w:t>
      </w:r>
      <w:r w:rsidRPr="00AF6DF9">
        <w:rPr>
          <w:rFonts w:eastAsia="Times New Roman" w:cs="Arial"/>
          <w:i/>
          <w:lang w:eastAsia="es-MX"/>
        </w:rPr>
        <w:t>Guía técnica del componente de alimentación y nutrición para la población con discapacidad</w:t>
      </w:r>
      <w:r w:rsidR="0081395D">
        <w:rPr>
          <w:rFonts w:eastAsia="Times New Roman" w:cs="Arial"/>
          <w:lang w:eastAsia="es-MX"/>
        </w:rPr>
        <w:t>.</w:t>
      </w:r>
    </w:p>
    <w:p w:rsidR="0081395D" w:rsidRPr="00AF6DF9" w:rsidRDefault="0081395D" w:rsidP="0081395D">
      <w:pPr>
        <w:autoSpaceDE w:val="0"/>
        <w:autoSpaceDN w:val="0"/>
        <w:adjustRightInd w:val="0"/>
        <w:spacing w:after="0" w:line="240" w:lineRule="auto"/>
        <w:contextualSpacing/>
        <w:jc w:val="both"/>
        <w:rPr>
          <w:rFonts w:eastAsia="Times New Roman" w:cs="Arial"/>
          <w:lang w:eastAsia="es-MX"/>
        </w:rPr>
      </w:pPr>
    </w:p>
    <w:p w:rsidR="00AF6DF9" w:rsidRDefault="00AF6DF9" w:rsidP="00D712DC">
      <w:pPr>
        <w:numPr>
          <w:ilvl w:val="0"/>
          <w:numId w:val="17"/>
        </w:numPr>
        <w:autoSpaceDE w:val="0"/>
        <w:autoSpaceDN w:val="0"/>
        <w:adjustRightInd w:val="0"/>
        <w:spacing w:after="0" w:line="240" w:lineRule="auto"/>
        <w:contextualSpacing/>
        <w:jc w:val="both"/>
        <w:rPr>
          <w:rFonts w:cs="Arial"/>
        </w:rPr>
      </w:pPr>
      <w:r w:rsidRPr="00AF6DF9">
        <w:rPr>
          <w:rFonts w:cs="Arial"/>
        </w:rPr>
        <w:lastRenderedPageBreak/>
        <w:t>Sistematizar la información referente a la implementación de minutas con enfoque diferencial que aportaron las regionales Amazonas, Arauca, Atlántico, Boyacá, Caldas, Caquetá, Casanare, Cauca, Cesar, Choco, Córdoba, Cundinamarca, Huila, La Guajira, Magdalena, Meta, Nariño, Norte de Santander, Putumayo, Risaralda, Sucre, Tolima, Valle del Cauca, Vaupés y Vichada.</w:t>
      </w:r>
    </w:p>
    <w:p w:rsidR="009B6BC9" w:rsidRPr="00AF6DF9" w:rsidRDefault="009B6BC9" w:rsidP="009B6BC9">
      <w:pPr>
        <w:autoSpaceDE w:val="0"/>
        <w:autoSpaceDN w:val="0"/>
        <w:adjustRightInd w:val="0"/>
        <w:spacing w:after="0" w:line="240" w:lineRule="auto"/>
        <w:contextualSpacing/>
        <w:jc w:val="both"/>
        <w:rPr>
          <w:rFonts w:cs="Arial"/>
        </w:rPr>
      </w:pPr>
    </w:p>
    <w:p w:rsidR="00AF6DF9" w:rsidRPr="00AF6DF9" w:rsidRDefault="00AF6DF9" w:rsidP="00D712DC">
      <w:pPr>
        <w:numPr>
          <w:ilvl w:val="0"/>
          <w:numId w:val="17"/>
        </w:numPr>
        <w:autoSpaceDE w:val="0"/>
        <w:autoSpaceDN w:val="0"/>
        <w:adjustRightInd w:val="0"/>
        <w:spacing w:after="0" w:line="240" w:lineRule="auto"/>
        <w:contextualSpacing/>
        <w:jc w:val="both"/>
        <w:rPr>
          <w:rFonts w:cs="Arial"/>
        </w:rPr>
      </w:pPr>
      <w:r w:rsidRPr="00AF6DF9">
        <w:rPr>
          <w:rFonts w:cs="Arial"/>
        </w:rPr>
        <w:t>Apoyar técnicamente en el proceso de diálogo intercultural con autoridades tradicionales y miembros de la comunidad tendientes al tránsito en el servicio de educación inicial para la primera infancia perteneciente a minorías étnicas en los municipios de Hatonuevo, Fonseca, Albania, Maicao, Manaure, Uribia y Riohacha, en el Departamento de La Guajira.</w:t>
      </w:r>
    </w:p>
    <w:p w:rsidR="0058119B" w:rsidRPr="00D23FA4" w:rsidRDefault="0058119B" w:rsidP="0058119B">
      <w:pPr>
        <w:spacing w:after="0" w:line="240" w:lineRule="auto"/>
        <w:rPr>
          <w:rFonts w:cs="Arial"/>
        </w:rPr>
      </w:pPr>
    </w:p>
    <w:p w:rsidR="0058119B" w:rsidRPr="00B25961" w:rsidRDefault="0058119B" w:rsidP="007342CF">
      <w:pPr>
        <w:pStyle w:val="Prrafodelista"/>
        <w:keepNext/>
        <w:keepLines/>
        <w:numPr>
          <w:ilvl w:val="2"/>
          <w:numId w:val="242"/>
        </w:numPr>
        <w:spacing w:after="0" w:line="240" w:lineRule="auto"/>
        <w:outlineLvl w:val="1"/>
        <w:rPr>
          <w:rFonts w:eastAsiaTheme="majorEastAsia" w:cs="Arial"/>
          <w:b/>
        </w:rPr>
      </w:pPr>
      <w:bookmarkStart w:id="89" w:name="_Toc473581421"/>
      <w:r w:rsidRPr="00B25961">
        <w:rPr>
          <w:rFonts w:eastAsia="Times New Roman" w:cs="Arial"/>
          <w:b/>
          <w:bCs/>
          <w:kern w:val="32"/>
        </w:rPr>
        <w:t>Estrategia de Recuperación Nutricional</w:t>
      </w:r>
      <w:bookmarkEnd w:id="89"/>
    </w:p>
    <w:p w:rsidR="0058119B" w:rsidRPr="00802120" w:rsidRDefault="0058119B" w:rsidP="0058119B">
      <w:pPr>
        <w:rPr>
          <w:rFonts w:eastAsiaTheme="majorEastAsia" w:cs="Arial"/>
          <w:b/>
        </w:rPr>
      </w:pPr>
      <w:r w:rsidRPr="00802120">
        <w:rPr>
          <w:rFonts w:eastAsiaTheme="majorEastAsia" w:cs="Arial"/>
          <w:b/>
        </w:rPr>
        <w:t xml:space="preserve"> </w:t>
      </w:r>
    </w:p>
    <w:p w:rsidR="00AF6DF9" w:rsidRPr="00AF6DF9" w:rsidRDefault="00AF6DF9" w:rsidP="00AF6DF9">
      <w:pPr>
        <w:autoSpaceDE w:val="0"/>
        <w:autoSpaceDN w:val="0"/>
        <w:adjustRightInd w:val="0"/>
        <w:spacing w:after="0" w:line="240" w:lineRule="auto"/>
        <w:jc w:val="both"/>
        <w:rPr>
          <w:rFonts w:cs="Arial"/>
          <w:lang w:val="es-CO"/>
        </w:rPr>
      </w:pPr>
      <w:r w:rsidRPr="00AF6DF9">
        <w:rPr>
          <w:rFonts w:cs="Arial"/>
          <w:lang w:val="es-CO"/>
        </w:rPr>
        <w:t xml:space="preserve">En el marco de la Política de Seguridad Alimentaria y Nutricional, en 2016 se desarrolló la Estrategia de Recuperación Nutricional con sus modalidades </w:t>
      </w:r>
      <w:r w:rsidRPr="00AF6DF9">
        <w:rPr>
          <w:rFonts w:cs="Arial"/>
          <w:i/>
          <w:lang w:val="es-CO"/>
        </w:rPr>
        <w:t>Centros de Recuperación Nutricional</w:t>
      </w:r>
      <w:r w:rsidRPr="00AF6DF9">
        <w:rPr>
          <w:rFonts w:cs="Arial"/>
          <w:lang w:val="es-CO"/>
        </w:rPr>
        <w:t xml:space="preserve">, </w:t>
      </w:r>
      <w:r w:rsidRPr="00AF6DF9">
        <w:rPr>
          <w:rFonts w:cs="Arial"/>
          <w:i/>
          <w:lang w:val="es-CO"/>
        </w:rPr>
        <w:t>Recuperación Nutricional con Enfoque Comunitario</w:t>
      </w:r>
      <w:r w:rsidRPr="00AF6DF9">
        <w:rPr>
          <w:rFonts w:cs="Arial"/>
          <w:lang w:val="es-CO"/>
        </w:rPr>
        <w:t xml:space="preserve"> y </w:t>
      </w:r>
      <w:r w:rsidRPr="00AF6DF9">
        <w:rPr>
          <w:rFonts w:cs="Arial"/>
          <w:i/>
          <w:lang w:val="es-CO"/>
        </w:rPr>
        <w:t>Recuperación Nutricional con Énfasis en los primeros Mil Días</w:t>
      </w:r>
      <w:r w:rsidRPr="00AF6DF9">
        <w:rPr>
          <w:rFonts w:cs="Arial"/>
          <w:lang w:val="es-CO"/>
        </w:rPr>
        <w:t>.</w:t>
      </w:r>
    </w:p>
    <w:p w:rsidR="00AF6DF9" w:rsidRPr="00AF6DF9" w:rsidRDefault="00AF6DF9" w:rsidP="00AF6DF9">
      <w:pPr>
        <w:autoSpaceDE w:val="0"/>
        <w:autoSpaceDN w:val="0"/>
        <w:adjustRightInd w:val="0"/>
        <w:spacing w:after="0" w:line="240" w:lineRule="auto"/>
        <w:jc w:val="both"/>
        <w:rPr>
          <w:rFonts w:cs="Arial"/>
          <w:lang w:val="es-CO"/>
        </w:rPr>
      </w:pPr>
    </w:p>
    <w:p w:rsidR="00AF6DF9" w:rsidRPr="00AF6DF9" w:rsidRDefault="00AF6DF9" w:rsidP="00AF6DF9">
      <w:pPr>
        <w:autoSpaceDE w:val="0"/>
        <w:autoSpaceDN w:val="0"/>
        <w:adjustRightInd w:val="0"/>
        <w:spacing w:after="0" w:line="240" w:lineRule="auto"/>
        <w:jc w:val="both"/>
        <w:rPr>
          <w:rFonts w:cs="Arial"/>
          <w:lang w:val="es-CO"/>
        </w:rPr>
      </w:pPr>
      <w:r w:rsidRPr="00AF6DF9">
        <w:rPr>
          <w:rFonts w:cs="Arial"/>
          <w:lang w:val="es-CO"/>
        </w:rPr>
        <w:t>Para la ejecución de la Estrategia se realizó el proceso de contratación, basado en el Banco de Oferentes conformado en la vigencia 2015, bajo la Resolución 10725 del 9 de diciembre del 2015. En este sentido, se suscribieron 112 contratos con 45 operadores, para la atención de 48.352 beneficiarios, entre mujeres gestantes y madres en periodo de lactancia con bajo peso y niños y niñas menores de 5 años en situación de desnutrición</w:t>
      </w:r>
      <w:r w:rsidRPr="00AF6DF9">
        <w:rPr>
          <w:rFonts w:cs="Arial"/>
          <w:b/>
          <w:lang w:val="es-CO"/>
        </w:rPr>
        <w:t xml:space="preserve">. </w:t>
      </w:r>
    </w:p>
    <w:p w:rsidR="00AF6DF9" w:rsidRPr="00AF6DF9" w:rsidRDefault="00AF6DF9" w:rsidP="00AF6DF9">
      <w:pPr>
        <w:autoSpaceDE w:val="0"/>
        <w:autoSpaceDN w:val="0"/>
        <w:adjustRightInd w:val="0"/>
        <w:spacing w:after="0" w:line="240" w:lineRule="auto"/>
        <w:jc w:val="both"/>
        <w:rPr>
          <w:rFonts w:cs="Arial"/>
          <w:lang w:val="es-CO"/>
        </w:rPr>
      </w:pPr>
    </w:p>
    <w:p w:rsidR="00AF6DF9" w:rsidRPr="00AF6DF9" w:rsidRDefault="00AF6DF9" w:rsidP="00AF6DF9">
      <w:pPr>
        <w:autoSpaceDE w:val="0"/>
        <w:autoSpaceDN w:val="0"/>
        <w:adjustRightInd w:val="0"/>
        <w:spacing w:after="0" w:line="240" w:lineRule="auto"/>
        <w:jc w:val="both"/>
        <w:rPr>
          <w:rFonts w:cs="Arial"/>
          <w:lang w:val="es-CO"/>
        </w:rPr>
      </w:pPr>
      <w:r w:rsidRPr="00AF6DF9">
        <w:rPr>
          <w:rFonts w:cs="Arial"/>
          <w:lang w:val="es-CO"/>
        </w:rPr>
        <w:t>En este contexto las acciones adelantadas en las modalidades de la Estrategia de Recuperación Nutricional fueron:</w:t>
      </w:r>
    </w:p>
    <w:p w:rsidR="00AF6DF9" w:rsidRPr="00AF6DF9" w:rsidRDefault="00AF6DF9" w:rsidP="00AF6DF9">
      <w:pPr>
        <w:autoSpaceDE w:val="0"/>
        <w:autoSpaceDN w:val="0"/>
        <w:adjustRightInd w:val="0"/>
        <w:spacing w:after="0" w:line="240" w:lineRule="auto"/>
        <w:jc w:val="both"/>
        <w:rPr>
          <w:rFonts w:cs="Arial"/>
          <w:lang w:val="es-CO"/>
        </w:rPr>
      </w:pPr>
    </w:p>
    <w:p w:rsidR="00AF6DF9" w:rsidRPr="00AF6DF9" w:rsidRDefault="00AF6DF9" w:rsidP="00D712DC">
      <w:pPr>
        <w:numPr>
          <w:ilvl w:val="0"/>
          <w:numId w:val="18"/>
        </w:numPr>
        <w:autoSpaceDE w:val="0"/>
        <w:autoSpaceDN w:val="0"/>
        <w:spacing w:after="0" w:line="240" w:lineRule="auto"/>
        <w:ind w:left="284" w:hanging="284"/>
        <w:contextualSpacing/>
        <w:jc w:val="both"/>
        <w:rPr>
          <w:rFonts w:cs="Arial"/>
          <w:lang w:val="es-CO" w:eastAsia="es-CO"/>
        </w:rPr>
      </w:pPr>
      <w:r w:rsidRPr="00AF6DF9">
        <w:rPr>
          <w:rFonts w:cs="Arial"/>
        </w:rPr>
        <w:t>Atender 3.171</w:t>
      </w:r>
      <w:r w:rsidRPr="00AF6DF9">
        <w:rPr>
          <w:rFonts w:cs="Arial"/>
          <w:vertAlign w:val="superscript"/>
        </w:rPr>
        <w:footnoteReference w:id="11"/>
      </w:r>
      <w:r w:rsidRPr="00AF6DF9">
        <w:rPr>
          <w:rFonts w:cs="Arial"/>
        </w:rPr>
        <w:t xml:space="preserve"> niñas y niños menores de 5 años</w:t>
      </w:r>
      <w:r w:rsidRPr="00AF6DF9">
        <w:rPr>
          <w:rFonts w:cs="Arial"/>
          <w:b/>
        </w:rPr>
        <w:t xml:space="preserve"> </w:t>
      </w:r>
      <w:r w:rsidRPr="00AF6DF9">
        <w:rPr>
          <w:rFonts w:cs="Arial"/>
        </w:rPr>
        <w:t>con desnutrición aguda severa en 19 Centros de Recuperación Nutricional en 10 departamentos, lográndose la recuperación del 73% de los beneficiarios</w:t>
      </w:r>
      <w:r w:rsidRPr="00AF6DF9">
        <w:rPr>
          <w:rFonts w:cs="Arial"/>
          <w:vertAlign w:val="superscript"/>
        </w:rPr>
        <w:footnoteReference w:id="12"/>
      </w:r>
      <w:r w:rsidRPr="00AF6DF9">
        <w:rPr>
          <w:rFonts w:cs="Arial"/>
        </w:rPr>
        <w:t>.</w:t>
      </w:r>
    </w:p>
    <w:p w:rsidR="00AF6DF9" w:rsidRPr="00AF6DF9" w:rsidRDefault="00AF6DF9" w:rsidP="00AF6DF9">
      <w:pPr>
        <w:autoSpaceDE w:val="0"/>
        <w:autoSpaceDN w:val="0"/>
        <w:spacing w:after="0" w:line="240" w:lineRule="auto"/>
        <w:ind w:left="284" w:hanging="284"/>
        <w:contextualSpacing/>
        <w:jc w:val="both"/>
        <w:rPr>
          <w:rFonts w:cs="Arial"/>
          <w:lang w:val="es-CO" w:eastAsia="es-CO"/>
        </w:rPr>
      </w:pPr>
    </w:p>
    <w:p w:rsidR="00AF6DF9" w:rsidRPr="00AF6DF9" w:rsidRDefault="00AF6DF9" w:rsidP="00D712DC">
      <w:pPr>
        <w:numPr>
          <w:ilvl w:val="0"/>
          <w:numId w:val="18"/>
        </w:numPr>
        <w:spacing w:after="0" w:line="240" w:lineRule="auto"/>
        <w:ind w:left="284" w:hanging="284"/>
        <w:jc w:val="both"/>
        <w:rPr>
          <w:rFonts w:cs="Arial"/>
          <w:lang w:val="es-CO" w:eastAsia="es-CO"/>
        </w:rPr>
      </w:pPr>
      <w:r w:rsidRPr="00AF6DF9">
        <w:rPr>
          <w:rFonts w:cs="Arial"/>
          <w:lang w:val="es-CO" w:eastAsia="es-CO"/>
        </w:rPr>
        <w:t xml:space="preserve">Con el fin de atender las zonas más dispersas del territorio nacional, con altas prevalencias de desnutrición, brindando atención a las niñas y niños en situación de desnutrición en su contexto familiar, la modalidad Recuperación Nutricional con Enfoque Comunitario, se contó con 45 unidades para la atención de </w:t>
      </w:r>
      <w:r w:rsidRPr="00AF6DF9">
        <w:rPr>
          <w:rFonts w:cs="Arial"/>
          <w:b/>
          <w:lang w:val="es-CO" w:eastAsia="es-CO"/>
        </w:rPr>
        <w:t xml:space="preserve">10.880 beneficiarios </w:t>
      </w:r>
      <w:r w:rsidRPr="00AF6DF9">
        <w:rPr>
          <w:rFonts w:cs="Arial"/>
          <w:lang w:val="es-CO" w:eastAsia="es-CO"/>
        </w:rPr>
        <w:t>en el 2016, de los cuales se logró el mejoramiento nutricional del 77%</w:t>
      </w:r>
      <w:r w:rsidRPr="00AF6DF9">
        <w:rPr>
          <w:rFonts w:cs="Arial"/>
          <w:vertAlign w:val="superscript"/>
          <w:lang w:val="es-CO" w:eastAsia="es-CO"/>
        </w:rPr>
        <w:footnoteReference w:id="13"/>
      </w:r>
      <w:r w:rsidRPr="00AF6DF9">
        <w:rPr>
          <w:rFonts w:cs="Arial"/>
          <w:lang w:val="es-CO" w:eastAsia="es-CO"/>
        </w:rPr>
        <w:t xml:space="preserve"> de los beneficiarios atendidos en la modalidad.</w:t>
      </w:r>
    </w:p>
    <w:p w:rsidR="00AF6DF9" w:rsidRPr="00AF6DF9" w:rsidRDefault="00AF6DF9" w:rsidP="00AF6DF9">
      <w:pPr>
        <w:spacing w:after="0" w:line="240" w:lineRule="auto"/>
        <w:ind w:left="284"/>
        <w:jc w:val="both"/>
        <w:rPr>
          <w:rFonts w:cs="Arial"/>
          <w:lang w:val="es-CO" w:eastAsia="es-CO"/>
        </w:rPr>
      </w:pPr>
    </w:p>
    <w:p w:rsidR="00AF6DF9" w:rsidRPr="00AF6DF9" w:rsidRDefault="00AF6DF9" w:rsidP="00D712DC">
      <w:pPr>
        <w:numPr>
          <w:ilvl w:val="0"/>
          <w:numId w:val="18"/>
        </w:numPr>
        <w:spacing w:after="0" w:line="240" w:lineRule="auto"/>
        <w:ind w:left="284" w:hanging="284"/>
        <w:jc w:val="both"/>
        <w:rPr>
          <w:rFonts w:cs="Arial"/>
          <w:lang w:val="es-CO" w:eastAsia="es-CO"/>
        </w:rPr>
      </w:pPr>
      <w:r w:rsidRPr="00AF6DF9">
        <w:rPr>
          <w:rFonts w:cs="Arial"/>
          <w:lang w:val="es-CO" w:eastAsia="es-CO"/>
        </w:rPr>
        <w:t>En la modalidad Recuperación Nutricional con Énfasis en los Primeros Mil Días, atender 28.926 beneficiarios en 26 departamentos, de los cuales 15.631 niñas y niños menores de 2 años en situación de desnutrición y 13.295 mujeres gestantes y madres en periodo de lactancia con bajo peso. De los beneficiarios atendidos se logró el mejoramiento nutricional del 80%</w:t>
      </w:r>
      <w:r w:rsidRPr="00AF6DF9">
        <w:rPr>
          <w:rFonts w:cs="Arial"/>
          <w:vertAlign w:val="superscript"/>
          <w:lang w:val="es-CO" w:eastAsia="es-CO"/>
        </w:rPr>
        <w:footnoteReference w:id="14"/>
      </w:r>
      <w:r w:rsidRPr="00AF6DF9">
        <w:rPr>
          <w:rFonts w:cs="Arial"/>
          <w:lang w:val="es-CO" w:eastAsia="es-CO"/>
        </w:rPr>
        <w:t xml:space="preserve">. </w:t>
      </w:r>
    </w:p>
    <w:p w:rsidR="00AF6DF9" w:rsidRPr="00AF6DF9" w:rsidRDefault="00AF6DF9" w:rsidP="00D712DC">
      <w:pPr>
        <w:numPr>
          <w:ilvl w:val="0"/>
          <w:numId w:val="18"/>
        </w:numPr>
        <w:autoSpaceDE w:val="0"/>
        <w:autoSpaceDN w:val="0"/>
        <w:adjustRightInd w:val="0"/>
        <w:spacing w:after="0" w:line="240" w:lineRule="auto"/>
        <w:ind w:left="284" w:hanging="284"/>
        <w:contextualSpacing/>
        <w:jc w:val="both"/>
        <w:rPr>
          <w:rFonts w:cs="Arial"/>
          <w:lang w:val="es-CO"/>
        </w:rPr>
      </w:pPr>
      <w:r w:rsidRPr="00AF6DF9">
        <w:rPr>
          <w:rFonts w:cs="Arial"/>
          <w:lang w:val="es-CO"/>
        </w:rPr>
        <w:lastRenderedPageBreak/>
        <w:t xml:space="preserve">Teniendo en cuenta la necesidad de ajustar nuestro quehacer institucional relacionado con la atención de la desnutrición aguda por parte de las entidades de atención en salud, a partir de la Resolución 5406 del 28 de diciembre de 2015 del Ministerio de Salud y Protección Social, durante el año 2016 se realizó el diseño de una nueva modalidad denominada </w:t>
      </w:r>
      <w:r w:rsidRPr="00AF6DF9">
        <w:rPr>
          <w:rFonts w:cs="Arial"/>
          <w:i/>
          <w:lang w:val="es-CO"/>
        </w:rPr>
        <w:t>1.000 días para cambiar el mundo</w:t>
      </w:r>
      <w:r w:rsidRPr="00AF6DF9">
        <w:rPr>
          <w:rFonts w:cs="Arial"/>
          <w:lang w:val="es-CO"/>
        </w:rPr>
        <w:t xml:space="preserve">, con el fin de atender a las niñas y niños desde la gestación hasta los dos años de edad, la cual busca evolucionar de la atención de la desnutrición aguda hacía la </w:t>
      </w:r>
      <w:r w:rsidRPr="00AF6DF9">
        <w:rPr>
          <w:rFonts w:cs="Arial"/>
          <w:b/>
          <w:lang w:val="es-CO"/>
        </w:rPr>
        <w:t>prevención de la desnutrición crónica</w:t>
      </w:r>
      <w:r w:rsidRPr="00AF6DF9">
        <w:rPr>
          <w:rFonts w:cs="Arial"/>
          <w:lang w:val="es-CO"/>
        </w:rPr>
        <w:t>.</w:t>
      </w:r>
    </w:p>
    <w:p w:rsidR="00AF6DF9" w:rsidRPr="00AF6DF9" w:rsidRDefault="00AF6DF9" w:rsidP="00AF6DF9">
      <w:pPr>
        <w:autoSpaceDE w:val="0"/>
        <w:autoSpaceDN w:val="0"/>
        <w:adjustRightInd w:val="0"/>
        <w:spacing w:after="0" w:line="240" w:lineRule="auto"/>
        <w:ind w:left="284" w:hanging="284"/>
        <w:contextualSpacing/>
        <w:jc w:val="both"/>
        <w:rPr>
          <w:rFonts w:cs="Arial"/>
          <w:lang w:val="es-CO"/>
        </w:rPr>
      </w:pPr>
    </w:p>
    <w:p w:rsidR="00AF6DF9" w:rsidRPr="00AF6DF9" w:rsidRDefault="00AF6DF9" w:rsidP="00AF6DF9">
      <w:pPr>
        <w:autoSpaceDE w:val="0"/>
        <w:autoSpaceDN w:val="0"/>
        <w:adjustRightInd w:val="0"/>
        <w:spacing w:after="0" w:line="240" w:lineRule="auto"/>
        <w:ind w:left="284"/>
        <w:contextualSpacing/>
        <w:jc w:val="both"/>
        <w:rPr>
          <w:rFonts w:cs="Arial"/>
          <w:lang w:val="es-CO"/>
        </w:rPr>
      </w:pPr>
      <w:r w:rsidRPr="00AF6DF9">
        <w:rPr>
          <w:rFonts w:cs="Arial"/>
          <w:lang w:val="es-CO"/>
        </w:rPr>
        <w:t xml:space="preserve">La modalidad </w:t>
      </w:r>
      <w:r w:rsidRPr="00AF6DF9">
        <w:rPr>
          <w:rFonts w:cs="Arial"/>
          <w:i/>
          <w:lang w:val="es-CO"/>
        </w:rPr>
        <w:t>1.000 días para cambiar el mundo</w:t>
      </w:r>
      <w:r w:rsidRPr="00AF6DF9">
        <w:rPr>
          <w:rFonts w:cs="Arial"/>
          <w:lang w:val="es-CO"/>
        </w:rPr>
        <w:t xml:space="preserve"> busca contribuir a una adecuada nutrición desde la gestación hasta los 2 años de edad, en el marco de la atención integral, para potenciar el desarrollo de capacidades de las niñas y los niños y sus familias. Para ello, se definieron acciones en tres componentes: alimentación y nutrición, atención y gestión familiar y procesos educativos. Cada uno de los componentes abarca acciones basadas en la Ruta Integrar de Atenciones (RAI) a la Primera Infancia, para mantener un adecuado estado nutricional, el fortalecimiento familiar, las buenas prácticas de crianza y expresiones de afecto y desarrollo infantil. Estas acciones se complementan con la gestión y articulación que permitirá la concurrencia de los demás sectores, en especial con el sector salud, y de esta forma encaminarse hacia la garantía y goce efectivo los derechos. El punto de partida de la construcción de esta nueva modalidad fue la </w:t>
      </w:r>
      <w:r w:rsidRPr="00AF6DF9">
        <w:rPr>
          <w:rFonts w:cs="Arial"/>
          <w:i/>
          <w:lang w:val="es-CO"/>
        </w:rPr>
        <w:t>Estrategia de Atención Integral a la Primera Infancia “De Cero a Siempre”</w:t>
      </w:r>
      <w:r w:rsidRPr="00AF6DF9">
        <w:rPr>
          <w:rFonts w:cs="Arial"/>
          <w:lang w:val="es-CO"/>
        </w:rPr>
        <w:t xml:space="preserve"> y la reglamentación expedida por el sector salud para la atención de la desnutrición aguda entre otros.</w:t>
      </w:r>
    </w:p>
    <w:p w:rsidR="00AF6DF9" w:rsidRPr="00AF6DF9" w:rsidRDefault="00AF6DF9" w:rsidP="00AF6DF9">
      <w:pPr>
        <w:autoSpaceDE w:val="0"/>
        <w:autoSpaceDN w:val="0"/>
        <w:adjustRightInd w:val="0"/>
        <w:spacing w:after="0" w:line="240" w:lineRule="auto"/>
        <w:ind w:left="284"/>
        <w:contextualSpacing/>
        <w:jc w:val="both"/>
        <w:rPr>
          <w:rFonts w:cs="Arial"/>
          <w:lang w:val="es-CO"/>
        </w:rPr>
      </w:pPr>
    </w:p>
    <w:p w:rsidR="00AF6DF9" w:rsidRPr="00AF6DF9" w:rsidRDefault="00AF6DF9" w:rsidP="00D712DC">
      <w:pPr>
        <w:numPr>
          <w:ilvl w:val="0"/>
          <w:numId w:val="18"/>
        </w:numPr>
        <w:autoSpaceDE w:val="0"/>
        <w:autoSpaceDN w:val="0"/>
        <w:adjustRightInd w:val="0"/>
        <w:spacing w:after="0" w:line="240" w:lineRule="auto"/>
        <w:ind w:left="284" w:hanging="284"/>
        <w:contextualSpacing/>
        <w:jc w:val="both"/>
        <w:rPr>
          <w:rFonts w:cs="Arial"/>
          <w:lang w:val="es-CO"/>
        </w:rPr>
      </w:pPr>
      <w:r w:rsidRPr="00AF6DF9">
        <w:rPr>
          <w:rFonts w:cs="Arial"/>
          <w:lang w:val="es-CO"/>
        </w:rPr>
        <w:t xml:space="preserve">Teniendo en cuenta lo establecido en la Resolución 5406 de diciembre del 2015, se articuló con el Ministerio de Salud y Protección Social la evolución de la atención de la desnutrición aguda a la prevención de la desnutrición crónica, en busca de una complementariedad para mejorar las atenciones en salud de los beneficiarios (niñas, niños y mujeres gestantes). </w:t>
      </w:r>
    </w:p>
    <w:p w:rsidR="00AF6DF9" w:rsidRPr="00AF6DF9" w:rsidRDefault="00AF6DF9" w:rsidP="00AF6DF9">
      <w:pPr>
        <w:autoSpaceDE w:val="0"/>
        <w:autoSpaceDN w:val="0"/>
        <w:adjustRightInd w:val="0"/>
        <w:spacing w:after="0" w:line="240" w:lineRule="auto"/>
        <w:ind w:left="284"/>
        <w:contextualSpacing/>
        <w:jc w:val="both"/>
        <w:rPr>
          <w:rFonts w:cs="Arial"/>
          <w:lang w:val="es-CO"/>
        </w:rPr>
      </w:pPr>
    </w:p>
    <w:p w:rsidR="00AF6DF9" w:rsidRPr="00AF6DF9" w:rsidRDefault="00AF6DF9" w:rsidP="00D712DC">
      <w:pPr>
        <w:numPr>
          <w:ilvl w:val="0"/>
          <w:numId w:val="18"/>
        </w:numPr>
        <w:autoSpaceDE w:val="0"/>
        <w:autoSpaceDN w:val="0"/>
        <w:adjustRightInd w:val="0"/>
        <w:spacing w:after="0" w:line="240" w:lineRule="auto"/>
        <w:ind w:left="284" w:hanging="284"/>
        <w:contextualSpacing/>
        <w:jc w:val="both"/>
        <w:rPr>
          <w:rFonts w:cs="Arial"/>
          <w:lang w:val="es-CO"/>
        </w:rPr>
      </w:pPr>
      <w:r w:rsidRPr="00AF6DF9">
        <w:rPr>
          <w:rFonts w:cs="Arial"/>
          <w:lang w:val="es-CO"/>
        </w:rPr>
        <w:t>Articulación con el Ministerio de Educación Nacional, para definir acciones complementarias para el componente de expresiones de afecto y desarrollo infantil en el marco de la modalidad 1.000 días para Cambiar el Mundo.</w:t>
      </w:r>
    </w:p>
    <w:p w:rsidR="00AF6DF9" w:rsidRPr="00AF6DF9" w:rsidRDefault="00AF6DF9" w:rsidP="00AF6DF9">
      <w:pPr>
        <w:autoSpaceDE w:val="0"/>
        <w:autoSpaceDN w:val="0"/>
        <w:adjustRightInd w:val="0"/>
        <w:spacing w:after="0" w:line="240" w:lineRule="auto"/>
        <w:ind w:left="284"/>
        <w:contextualSpacing/>
        <w:jc w:val="both"/>
        <w:rPr>
          <w:rFonts w:cs="Arial"/>
          <w:lang w:val="es-CO"/>
        </w:rPr>
      </w:pPr>
    </w:p>
    <w:p w:rsidR="00AF6DF9" w:rsidRPr="00AF6DF9" w:rsidRDefault="00AF6DF9" w:rsidP="00AF6DF9">
      <w:pPr>
        <w:autoSpaceDE w:val="0"/>
        <w:autoSpaceDN w:val="0"/>
        <w:adjustRightInd w:val="0"/>
        <w:spacing w:after="0" w:line="240" w:lineRule="auto"/>
        <w:ind w:left="284"/>
        <w:contextualSpacing/>
        <w:jc w:val="both"/>
        <w:rPr>
          <w:rFonts w:cs="Arial"/>
          <w:lang w:val="es-CO"/>
        </w:rPr>
      </w:pPr>
      <w:r w:rsidRPr="00AF6DF9">
        <w:rPr>
          <w:rFonts w:cs="Arial"/>
          <w:lang w:val="es-CO"/>
        </w:rPr>
        <w:t xml:space="preserve">Para el año 2017, se proyecta atender a 19.840 beneficiarios entre niñas y niños menores de dos años y mujeres en periodo de gestación en la modalidad </w:t>
      </w:r>
      <w:r w:rsidRPr="00AF6DF9">
        <w:rPr>
          <w:rFonts w:cs="Arial"/>
          <w:i/>
          <w:lang w:val="es-CO"/>
        </w:rPr>
        <w:t>1.000 días para cambiar el mundo</w:t>
      </w:r>
      <w:r w:rsidRPr="00AF6DF9">
        <w:rPr>
          <w:rFonts w:cs="Arial"/>
          <w:lang w:val="es-CO"/>
        </w:rPr>
        <w:t xml:space="preserve"> los cuales estarán ubicados en 28 Departamentos y 294municipios de todo el país.</w:t>
      </w:r>
    </w:p>
    <w:p w:rsidR="00AF6DF9" w:rsidRPr="00AF6DF9" w:rsidRDefault="00AF6DF9" w:rsidP="00AF6DF9">
      <w:pPr>
        <w:autoSpaceDE w:val="0"/>
        <w:autoSpaceDN w:val="0"/>
        <w:adjustRightInd w:val="0"/>
        <w:spacing w:after="0" w:line="240" w:lineRule="auto"/>
        <w:ind w:left="284"/>
        <w:contextualSpacing/>
        <w:jc w:val="both"/>
        <w:rPr>
          <w:rFonts w:cs="Arial"/>
          <w:lang w:val="es-CO"/>
        </w:rPr>
      </w:pPr>
    </w:p>
    <w:p w:rsidR="00AF6DF9" w:rsidRPr="00AF6DF9" w:rsidRDefault="00AF6DF9" w:rsidP="00D712DC">
      <w:pPr>
        <w:numPr>
          <w:ilvl w:val="0"/>
          <w:numId w:val="18"/>
        </w:numPr>
        <w:autoSpaceDE w:val="0"/>
        <w:autoSpaceDN w:val="0"/>
        <w:adjustRightInd w:val="0"/>
        <w:spacing w:after="0" w:line="240" w:lineRule="auto"/>
        <w:ind w:left="284" w:hanging="284"/>
        <w:contextualSpacing/>
        <w:jc w:val="both"/>
        <w:rPr>
          <w:rFonts w:cs="Arial"/>
          <w:lang w:val="es-CO"/>
        </w:rPr>
      </w:pPr>
      <w:r w:rsidRPr="00AF6DF9">
        <w:rPr>
          <w:rFonts w:cs="Arial"/>
          <w:lang w:val="es-CO"/>
        </w:rPr>
        <w:t xml:space="preserve">Articulación con la Comisión Intersectorial de Primera Infancia para complementar las acciones definidas en la modalidad </w:t>
      </w:r>
      <w:r w:rsidRPr="00AF6DF9">
        <w:rPr>
          <w:rFonts w:cs="Arial"/>
          <w:i/>
          <w:lang w:val="es-CO"/>
        </w:rPr>
        <w:t>1.000 días para cambiar el mundo</w:t>
      </w:r>
      <w:r w:rsidRPr="00AF6DF9">
        <w:rPr>
          <w:rFonts w:cs="Arial"/>
          <w:lang w:val="es-CO"/>
        </w:rPr>
        <w:t>.</w:t>
      </w:r>
    </w:p>
    <w:p w:rsidR="00AF6DF9" w:rsidRPr="00AF6DF9" w:rsidRDefault="00AF6DF9" w:rsidP="00C61441">
      <w:pPr>
        <w:rPr>
          <w:lang w:val="es-CO"/>
        </w:rPr>
      </w:pPr>
    </w:p>
    <w:p w:rsidR="00AF6DF9" w:rsidRPr="00E81A77" w:rsidRDefault="00AF6DF9" w:rsidP="00C61441">
      <w:pPr>
        <w:ind w:left="708"/>
        <w:jc w:val="both"/>
        <w:rPr>
          <w:rFonts w:eastAsia="Times New Roman"/>
          <w:b/>
          <w:lang w:val="es-CO" w:eastAsia="es-ES"/>
        </w:rPr>
      </w:pPr>
      <w:bookmarkStart w:id="90" w:name="_Toc472519267"/>
      <w:r w:rsidRPr="00E81A77">
        <w:rPr>
          <w:rFonts w:eastAsia="Times New Roman"/>
          <w:b/>
          <w:lang w:val="es-CO" w:eastAsia="es-ES"/>
        </w:rPr>
        <w:t>Atención en del departamento de La Guajira a partir de los datos de la Microfocalización</w:t>
      </w:r>
      <w:bookmarkEnd w:id="90"/>
    </w:p>
    <w:p w:rsidR="00AF6DF9" w:rsidRPr="00AF6DF9" w:rsidRDefault="00AF6DF9" w:rsidP="00AF6DF9">
      <w:pPr>
        <w:spacing w:after="0" w:line="240" w:lineRule="auto"/>
        <w:jc w:val="both"/>
        <w:rPr>
          <w:rFonts w:cs="Arial"/>
          <w:lang w:val="es-CO" w:eastAsia="es-CO"/>
        </w:rPr>
      </w:pPr>
      <w:r w:rsidRPr="00AF6DF9">
        <w:rPr>
          <w:rFonts w:cs="Arial"/>
          <w:lang w:val="es-CO" w:eastAsia="es-CO"/>
        </w:rPr>
        <w:t xml:space="preserve">Como respuesta a los resultados del proceso de microfocalización y por la situación de dispersión geográfica y condiciones de pobreza presente en el departamento de La Guajira, el ICBF durante la vigencia 2016 fortaleció la Estrategia de Recuperación Nutricional, con la apertura de un nuevo Centro de Recuperación Nutricional en el municipio de Manaure para la atención de los niños y </w:t>
      </w:r>
      <w:r w:rsidRPr="00AF6DF9">
        <w:rPr>
          <w:rFonts w:cs="Arial"/>
          <w:lang w:val="es-CO" w:eastAsia="es-CO"/>
        </w:rPr>
        <w:lastRenderedPageBreak/>
        <w:t>niñas menores de 5 años con desnutrición aguda severa e implementó una modalidad transitoria “mixta” que integró el componente técnico con costos diferenciales de las modalidades Recuperación Nutricional con Enfoque Comunitario y Recuperación nutricional con énfasis en los primeros mil días, con el fin de adaptar la oferta institucional relacionada con la atención de los niños y las niñas en situación de desnutrición y las mujeres gestantes y en periodo de lactancia con bajo peso.</w:t>
      </w:r>
    </w:p>
    <w:p w:rsidR="00AF6DF9" w:rsidRPr="00AF6DF9" w:rsidRDefault="00AF6DF9" w:rsidP="00AF6DF9">
      <w:pPr>
        <w:spacing w:after="0" w:line="240" w:lineRule="auto"/>
        <w:jc w:val="both"/>
        <w:rPr>
          <w:rFonts w:cs="Arial"/>
          <w:lang w:val="es-CO" w:eastAsia="es-CO"/>
        </w:rPr>
      </w:pPr>
    </w:p>
    <w:p w:rsidR="00AF6DF9" w:rsidRPr="00AF6DF9" w:rsidRDefault="00AF6DF9" w:rsidP="00AF6DF9">
      <w:pPr>
        <w:spacing w:after="0" w:line="240" w:lineRule="auto"/>
        <w:jc w:val="both"/>
        <w:rPr>
          <w:rFonts w:cs="Arial"/>
          <w:lang w:val="es-CO" w:eastAsia="es-CO"/>
        </w:rPr>
      </w:pPr>
      <w:r w:rsidRPr="00AF6DF9">
        <w:rPr>
          <w:rFonts w:cs="Arial"/>
          <w:lang w:val="es-CO" w:eastAsia="es-CO"/>
        </w:rPr>
        <w:t xml:space="preserve">Esta modalidad mixta se desarrolló en seis zonas del departamento, las cuales fueron conformadas por cercanía geográfica y problemáticas afines, a través de operadores idóneos de la región así: </w:t>
      </w:r>
    </w:p>
    <w:p w:rsidR="00AF6DF9" w:rsidRPr="00AF6DF9" w:rsidRDefault="00AF6DF9" w:rsidP="00AF6DF9">
      <w:pPr>
        <w:spacing w:after="0" w:line="240" w:lineRule="auto"/>
        <w:jc w:val="both"/>
        <w:rPr>
          <w:rFonts w:cs="Arial"/>
          <w:lang w:val="es-CO" w:eastAsia="es-CO"/>
        </w:rPr>
      </w:pPr>
    </w:p>
    <w:tbl>
      <w:tblPr>
        <w:tblW w:w="8784"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707"/>
        <w:gridCol w:w="3824"/>
        <w:gridCol w:w="1540"/>
        <w:gridCol w:w="2713"/>
      </w:tblGrid>
      <w:tr w:rsidR="00AF6DF9" w:rsidRPr="00AF6DF9" w:rsidTr="0081395D">
        <w:trPr>
          <w:trHeight w:val="20"/>
          <w:tblHeader/>
          <w:jc w:val="center"/>
        </w:trPr>
        <w:tc>
          <w:tcPr>
            <w:tcW w:w="707" w:type="dxa"/>
            <w:shd w:val="clear" w:color="auto" w:fill="76923C" w:themeFill="accent3" w:themeFillShade="BF"/>
            <w:vAlign w:val="center"/>
            <w:hideMark/>
          </w:tcPr>
          <w:p w:rsidR="00AF6DF9" w:rsidRPr="0081395D" w:rsidRDefault="0081395D" w:rsidP="00AF6DF9">
            <w:pPr>
              <w:spacing w:after="0" w:line="240" w:lineRule="auto"/>
              <w:jc w:val="center"/>
              <w:rPr>
                <w:rFonts w:eastAsia="Times New Roman" w:cs="Arial"/>
                <w:b/>
                <w:bCs/>
                <w:color w:val="FFFFFF" w:themeColor="background1"/>
                <w:sz w:val="18"/>
                <w:szCs w:val="20"/>
                <w:lang w:val="es-CO" w:eastAsia="es-CO"/>
              </w:rPr>
            </w:pPr>
            <w:r w:rsidRPr="0081395D">
              <w:rPr>
                <w:rFonts w:eastAsia="Times New Roman" w:cs="Arial"/>
                <w:b/>
                <w:bCs/>
                <w:color w:val="FFFFFF" w:themeColor="background1"/>
                <w:sz w:val="18"/>
                <w:szCs w:val="20"/>
                <w:lang w:val="es-CO" w:eastAsia="es-CO"/>
              </w:rPr>
              <w:t>Zona</w:t>
            </w:r>
          </w:p>
        </w:tc>
        <w:tc>
          <w:tcPr>
            <w:tcW w:w="3824" w:type="dxa"/>
            <w:shd w:val="clear" w:color="auto" w:fill="76923C" w:themeFill="accent3" w:themeFillShade="BF"/>
            <w:vAlign w:val="center"/>
            <w:hideMark/>
          </w:tcPr>
          <w:p w:rsidR="00AF6DF9" w:rsidRPr="0081395D" w:rsidRDefault="0081395D" w:rsidP="00AF6DF9">
            <w:pPr>
              <w:spacing w:after="0" w:line="240" w:lineRule="auto"/>
              <w:jc w:val="center"/>
              <w:rPr>
                <w:rFonts w:eastAsia="Times New Roman" w:cs="Arial"/>
                <w:b/>
                <w:bCs/>
                <w:color w:val="FFFFFF" w:themeColor="background1"/>
                <w:sz w:val="18"/>
                <w:szCs w:val="20"/>
                <w:lang w:val="es-CO" w:eastAsia="es-CO"/>
              </w:rPr>
            </w:pPr>
            <w:r w:rsidRPr="0081395D">
              <w:rPr>
                <w:rFonts w:eastAsia="Times New Roman" w:cs="Arial"/>
                <w:b/>
                <w:bCs/>
                <w:color w:val="FFFFFF" w:themeColor="background1"/>
                <w:sz w:val="18"/>
                <w:szCs w:val="20"/>
                <w:lang w:val="es-CO" w:eastAsia="es-CO"/>
              </w:rPr>
              <w:t>Municipios</w:t>
            </w:r>
          </w:p>
        </w:tc>
        <w:tc>
          <w:tcPr>
            <w:tcW w:w="1540" w:type="dxa"/>
            <w:shd w:val="clear" w:color="auto" w:fill="76923C" w:themeFill="accent3" w:themeFillShade="BF"/>
            <w:vAlign w:val="center"/>
            <w:hideMark/>
          </w:tcPr>
          <w:p w:rsidR="00AF6DF9" w:rsidRPr="0081395D" w:rsidRDefault="0081395D" w:rsidP="0081395D">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Total Cupos A</w:t>
            </w:r>
            <w:r w:rsidRPr="0081395D">
              <w:rPr>
                <w:rFonts w:eastAsia="Times New Roman" w:cs="Arial"/>
                <w:b/>
                <w:bCs/>
                <w:color w:val="FFFFFF" w:themeColor="background1"/>
                <w:sz w:val="18"/>
                <w:szCs w:val="20"/>
                <w:lang w:val="es-CO" w:eastAsia="es-CO"/>
              </w:rPr>
              <w:t>tendidos</w:t>
            </w:r>
          </w:p>
        </w:tc>
        <w:tc>
          <w:tcPr>
            <w:tcW w:w="2713" w:type="dxa"/>
            <w:shd w:val="clear" w:color="auto" w:fill="76923C" w:themeFill="accent3" w:themeFillShade="BF"/>
            <w:vAlign w:val="center"/>
          </w:tcPr>
          <w:p w:rsidR="00AF6DF9" w:rsidRPr="0081395D" w:rsidRDefault="0081395D" w:rsidP="00AF6DF9">
            <w:pPr>
              <w:spacing w:after="0" w:line="240" w:lineRule="auto"/>
              <w:jc w:val="center"/>
              <w:rPr>
                <w:rFonts w:eastAsia="Times New Roman" w:cs="Arial"/>
                <w:b/>
                <w:bCs/>
                <w:color w:val="FFFFFF" w:themeColor="background1"/>
                <w:sz w:val="18"/>
                <w:szCs w:val="20"/>
                <w:lang w:val="es-CO" w:eastAsia="es-CO"/>
              </w:rPr>
            </w:pPr>
            <w:r w:rsidRPr="0081395D">
              <w:rPr>
                <w:rFonts w:eastAsia="Times New Roman" w:cs="Arial"/>
                <w:b/>
                <w:bCs/>
                <w:color w:val="FFFFFF" w:themeColor="background1"/>
                <w:sz w:val="18"/>
                <w:szCs w:val="20"/>
                <w:lang w:val="es-CO" w:eastAsia="es-CO"/>
              </w:rPr>
              <w:t>Operador</w:t>
            </w:r>
          </w:p>
        </w:tc>
      </w:tr>
      <w:tr w:rsidR="00AF6DF9" w:rsidRPr="00AF6DF9" w:rsidTr="0081395D">
        <w:trPr>
          <w:trHeight w:val="20"/>
          <w:jc w:val="center"/>
        </w:trPr>
        <w:tc>
          <w:tcPr>
            <w:tcW w:w="707"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1</w:t>
            </w:r>
          </w:p>
        </w:tc>
        <w:tc>
          <w:tcPr>
            <w:tcW w:w="3824" w:type="dxa"/>
            <w:shd w:val="clear" w:color="auto" w:fill="auto"/>
            <w:noWrap/>
            <w:vAlign w:val="center"/>
            <w:hideMark/>
          </w:tcPr>
          <w:p w:rsidR="00AF6DF9" w:rsidRPr="00AF6DF9" w:rsidRDefault="00AF6DF9" w:rsidP="00AF6DF9">
            <w:pPr>
              <w:spacing w:after="0" w:line="240" w:lineRule="auto"/>
              <w:rPr>
                <w:rFonts w:eastAsia="Times New Roman" w:cs="Arial"/>
                <w:sz w:val="18"/>
                <w:szCs w:val="20"/>
                <w:lang w:val="es-CO" w:eastAsia="es-CO"/>
              </w:rPr>
            </w:pPr>
            <w:r w:rsidRPr="00AF6DF9">
              <w:rPr>
                <w:rFonts w:eastAsia="Times New Roman" w:cs="Arial"/>
                <w:sz w:val="18"/>
                <w:szCs w:val="20"/>
                <w:lang w:val="es-CO" w:eastAsia="es-CO"/>
              </w:rPr>
              <w:t xml:space="preserve">Albania, Maicao </w:t>
            </w:r>
          </w:p>
        </w:tc>
        <w:tc>
          <w:tcPr>
            <w:tcW w:w="1540"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837</w:t>
            </w:r>
          </w:p>
        </w:tc>
        <w:tc>
          <w:tcPr>
            <w:tcW w:w="2713" w:type="dxa"/>
            <w:shd w:val="clear" w:color="auto" w:fill="auto"/>
            <w:vAlign w:val="center"/>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cs="Arial"/>
                <w:sz w:val="18"/>
                <w:szCs w:val="20"/>
                <w:lang w:val="es-CO"/>
              </w:rPr>
              <w:t>IPS I AYULEEPALA</w:t>
            </w:r>
          </w:p>
        </w:tc>
      </w:tr>
      <w:tr w:rsidR="00AF6DF9" w:rsidRPr="00AF6DF9" w:rsidTr="0081395D">
        <w:trPr>
          <w:trHeight w:val="294"/>
          <w:jc w:val="center"/>
        </w:trPr>
        <w:tc>
          <w:tcPr>
            <w:tcW w:w="707"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2</w:t>
            </w:r>
          </w:p>
        </w:tc>
        <w:tc>
          <w:tcPr>
            <w:tcW w:w="3824" w:type="dxa"/>
            <w:shd w:val="clear" w:color="auto" w:fill="auto"/>
            <w:noWrap/>
            <w:vAlign w:val="center"/>
            <w:hideMark/>
          </w:tcPr>
          <w:p w:rsidR="00AF6DF9" w:rsidRPr="00AF6DF9" w:rsidRDefault="00AF6DF9" w:rsidP="00AF6DF9">
            <w:pPr>
              <w:spacing w:after="0" w:line="240" w:lineRule="auto"/>
              <w:rPr>
                <w:rFonts w:eastAsia="Times New Roman" w:cs="Arial"/>
                <w:sz w:val="18"/>
                <w:szCs w:val="20"/>
                <w:lang w:val="es-CO" w:eastAsia="es-CO"/>
              </w:rPr>
            </w:pPr>
            <w:r w:rsidRPr="00AF6DF9">
              <w:rPr>
                <w:rFonts w:eastAsia="Times New Roman" w:cs="Arial"/>
                <w:sz w:val="18"/>
                <w:szCs w:val="20"/>
                <w:lang w:val="es-CO" w:eastAsia="es-CO"/>
              </w:rPr>
              <w:t>Dibulla, Riohacha</w:t>
            </w:r>
          </w:p>
        </w:tc>
        <w:tc>
          <w:tcPr>
            <w:tcW w:w="1540"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187</w:t>
            </w:r>
          </w:p>
        </w:tc>
        <w:tc>
          <w:tcPr>
            <w:tcW w:w="2713" w:type="dxa"/>
            <w:shd w:val="clear" w:color="auto" w:fill="auto"/>
            <w:vAlign w:val="center"/>
          </w:tcPr>
          <w:p w:rsidR="00AF6DF9" w:rsidRPr="00AF6DF9" w:rsidRDefault="00AF6DF9" w:rsidP="00AF6DF9">
            <w:pPr>
              <w:spacing w:after="0" w:line="240" w:lineRule="auto"/>
              <w:jc w:val="center"/>
              <w:rPr>
                <w:rFonts w:cs="Arial"/>
                <w:sz w:val="18"/>
                <w:szCs w:val="20"/>
                <w:lang w:val="es-CO"/>
              </w:rPr>
            </w:pPr>
            <w:r w:rsidRPr="00AF6DF9">
              <w:rPr>
                <w:rFonts w:cs="Arial"/>
                <w:sz w:val="18"/>
                <w:szCs w:val="20"/>
                <w:lang w:val="es-CO"/>
              </w:rPr>
              <w:t>ESE Hospital de Riohacha</w:t>
            </w:r>
          </w:p>
        </w:tc>
      </w:tr>
      <w:tr w:rsidR="00AF6DF9" w:rsidRPr="00AF6DF9" w:rsidTr="0081395D">
        <w:trPr>
          <w:trHeight w:val="503"/>
          <w:jc w:val="center"/>
        </w:trPr>
        <w:tc>
          <w:tcPr>
            <w:tcW w:w="707"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3</w:t>
            </w:r>
          </w:p>
        </w:tc>
        <w:tc>
          <w:tcPr>
            <w:tcW w:w="3824" w:type="dxa"/>
            <w:shd w:val="clear" w:color="auto" w:fill="auto"/>
            <w:noWrap/>
            <w:vAlign w:val="center"/>
            <w:hideMark/>
          </w:tcPr>
          <w:p w:rsidR="00AF6DF9" w:rsidRPr="00AF6DF9" w:rsidRDefault="00AF6DF9" w:rsidP="00AF6DF9">
            <w:pPr>
              <w:spacing w:after="0" w:line="240" w:lineRule="auto"/>
              <w:rPr>
                <w:rFonts w:eastAsia="Times New Roman" w:cs="Arial"/>
                <w:sz w:val="18"/>
                <w:szCs w:val="20"/>
                <w:lang w:val="es-CO" w:eastAsia="es-CO"/>
              </w:rPr>
            </w:pPr>
            <w:r w:rsidRPr="00AF6DF9">
              <w:rPr>
                <w:rFonts w:eastAsia="Times New Roman" w:cs="Arial"/>
                <w:sz w:val="18"/>
                <w:szCs w:val="20"/>
                <w:lang w:val="es-CO" w:eastAsia="es-CO"/>
              </w:rPr>
              <w:t>Barrancas, Distracción, Fonseca, Hatonuevo, La Jagua, San Juan, Urumita, Villanueva</w:t>
            </w:r>
          </w:p>
        </w:tc>
        <w:tc>
          <w:tcPr>
            <w:tcW w:w="1540"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593</w:t>
            </w:r>
          </w:p>
        </w:tc>
        <w:tc>
          <w:tcPr>
            <w:tcW w:w="2713" w:type="dxa"/>
            <w:shd w:val="clear" w:color="auto" w:fill="auto"/>
            <w:vAlign w:val="center"/>
          </w:tcPr>
          <w:p w:rsidR="00AF6DF9" w:rsidRPr="00AF6DF9" w:rsidRDefault="00AF6DF9" w:rsidP="00AF6DF9">
            <w:pPr>
              <w:spacing w:after="0" w:line="240" w:lineRule="auto"/>
              <w:jc w:val="center"/>
              <w:rPr>
                <w:rFonts w:cs="Arial"/>
                <w:sz w:val="18"/>
                <w:szCs w:val="20"/>
                <w:lang w:val="es-CO"/>
              </w:rPr>
            </w:pPr>
            <w:r w:rsidRPr="00AF6DF9">
              <w:rPr>
                <w:rFonts w:cs="Arial"/>
                <w:sz w:val="18"/>
                <w:szCs w:val="20"/>
                <w:lang w:val="es-CO"/>
              </w:rPr>
              <w:t>IPS Fundación Aporta Tu Granito</w:t>
            </w:r>
          </w:p>
        </w:tc>
      </w:tr>
      <w:tr w:rsidR="00AF6DF9" w:rsidRPr="00AF6DF9" w:rsidTr="0081395D">
        <w:trPr>
          <w:trHeight w:val="20"/>
          <w:jc w:val="center"/>
        </w:trPr>
        <w:tc>
          <w:tcPr>
            <w:tcW w:w="707"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4</w:t>
            </w:r>
          </w:p>
        </w:tc>
        <w:tc>
          <w:tcPr>
            <w:tcW w:w="3824" w:type="dxa"/>
            <w:shd w:val="clear" w:color="auto" w:fill="auto"/>
            <w:noWrap/>
            <w:vAlign w:val="center"/>
            <w:hideMark/>
          </w:tcPr>
          <w:p w:rsidR="00AF6DF9" w:rsidRPr="00AF6DF9" w:rsidRDefault="00AF6DF9" w:rsidP="00AF6DF9">
            <w:pPr>
              <w:spacing w:after="0" w:line="240" w:lineRule="auto"/>
              <w:rPr>
                <w:rFonts w:eastAsia="Times New Roman" w:cs="Arial"/>
                <w:sz w:val="18"/>
                <w:szCs w:val="20"/>
                <w:lang w:val="es-CO" w:eastAsia="es-CO"/>
              </w:rPr>
            </w:pPr>
            <w:r w:rsidRPr="00AF6DF9">
              <w:rPr>
                <w:rFonts w:eastAsia="Times New Roman" w:cs="Arial"/>
                <w:sz w:val="18"/>
                <w:szCs w:val="20"/>
                <w:lang w:val="es-CO" w:eastAsia="es-CO"/>
              </w:rPr>
              <w:t>Manaure</w:t>
            </w:r>
          </w:p>
        </w:tc>
        <w:tc>
          <w:tcPr>
            <w:tcW w:w="1540"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1458</w:t>
            </w:r>
          </w:p>
        </w:tc>
        <w:tc>
          <w:tcPr>
            <w:tcW w:w="2713" w:type="dxa"/>
            <w:shd w:val="clear" w:color="auto" w:fill="auto"/>
            <w:vAlign w:val="center"/>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cs="Arial"/>
                <w:sz w:val="18"/>
                <w:szCs w:val="20"/>
                <w:lang w:val="es-CO"/>
              </w:rPr>
              <w:t>IPS COMFAGUAJIRA</w:t>
            </w:r>
          </w:p>
        </w:tc>
      </w:tr>
      <w:tr w:rsidR="00AF6DF9" w:rsidRPr="00AF6DF9" w:rsidTr="0081395D">
        <w:trPr>
          <w:trHeight w:val="20"/>
          <w:jc w:val="center"/>
        </w:trPr>
        <w:tc>
          <w:tcPr>
            <w:tcW w:w="707"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5 y 6</w:t>
            </w:r>
          </w:p>
        </w:tc>
        <w:tc>
          <w:tcPr>
            <w:tcW w:w="3824" w:type="dxa"/>
            <w:shd w:val="clear" w:color="auto" w:fill="auto"/>
            <w:noWrap/>
            <w:vAlign w:val="center"/>
            <w:hideMark/>
          </w:tcPr>
          <w:p w:rsidR="00AF6DF9" w:rsidRPr="00AF6DF9" w:rsidRDefault="00AF6DF9" w:rsidP="00AF6DF9">
            <w:pPr>
              <w:spacing w:after="0" w:line="240" w:lineRule="auto"/>
              <w:rPr>
                <w:rFonts w:eastAsia="Times New Roman" w:cs="Arial"/>
                <w:sz w:val="18"/>
                <w:szCs w:val="20"/>
                <w:lang w:val="es-CO" w:eastAsia="es-CO"/>
              </w:rPr>
            </w:pPr>
            <w:r w:rsidRPr="00AF6DF9">
              <w:rPr>
                <w:rFonts w:eastAsia="Times New Roman" w:cs="Arial"/>
                <w:sz w:val="18"/>
                <w:szCs w:val="20"/>
                <w:lang w:val="es-CO" w:eastAsia="es-CO"/>
              </w:rPr>
              <w:t>Uribia (media-baja y Nazaret)</w:t>
            </w:r>
          </w:p>
        </w:tc>
        <w:tc>
          <w:tcPr>
            <w:tcW w:w="1540" w:type="dxa"/>
            <w:shd w:val="clear" w:color="auto" w:fill="auto"/>
            <w:noWrap/>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sz w:val="18"/>
                <w:szCs w:val="20"/>
                <w:lang w:val="es-CO" w:eastAsia="es-CO"/>
              </w:rPr>
              <w:t>2.300</w:t>
            </w:r>
          </w:p>
        </w:tc>
        <w:tc>
          <w:tcPr>
            <w:tcW w:w="2713" w:type="dxa"/>
            <w:shd w:val="clear" w:color="auto" w:fill="auto"/>
            <w:vAlign w:val="center"/>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cs="Arial"/>
                <w:sz w:val="18"/>
                <w:szCs w:val="20"/>
                <w:lang w:val="es-CO"/>
              </w:rPr>
              <w:t>IPS I PALAIMA y ESE Hospital de Nazaret</w:t>
            </w:r>
          </w:p>
        </w:tc>
      </w:tr>
      <w:tr w:rsidR="00AF6DF9" w:rsidRPr="00AF6DF9" w:rsidTr="000D6E44">
        <w:trPr>
          <w:trHeight w:val="210"/>
          <w:jc w:val="center"/>
        </w:trPr>
        <w:tc>
          <w:tcPr>
            <w:tcW w:w="4531" w:type="dxa"/>
            <w:gridSpan w:val="2"/>
            <w:shd w:val="clear" w:color="auto" w:fill="E2EFDA"/>
            <w:vAlign w:val="center"/>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b/>
                <w:bCs/>
                <w:sz w:val="18"/>
                <w:szCs w:val="20"/>
                <w:lang w:val="es-CO" w:eastAsia="es-CO"/>
              </w:rPr>
              <w:t>TOTAL</w:t>
            </w:r>
          </w:p>
        </w:tc>
        <w:tc>
          <w:tcPr>
            <w:tcW w:w="1540" w:type="dxa"/>
            <w:shd w:val="clear" w:color="auto" w:fill="E2EFDA"/>
            <w:vAlign w:val="center"/>
            <w:hideMark/>
          </w:tcPr>
          <w:p w:rsidR="00AF6DF9" w:rsidRPr="00AF6DF9" w:rsidRDefault="00AF6DF9" w:rsidP="00AF6DF9">
            <w:pPr>
              <w:spacing w:after="0" w:line="240" w:lineRule="auto"/>
              <w:jc w:val="center"/>
              <w:rPr>
                <w:rFonts w:eastAsia="Times New Roman" w:cs="Arial"/>
                <w:sz w:val="18"/>
                <w:szCs w:val="20"/>
                <w:lang w:val="es-CO" w:eastAsia="es-CO"/>
              </w:rPr>
            </w:pPr>
            <w:r w:rsidRPr="00AF6DF9">
              <w:rPr>
                <w:rFonts w:eastAsia="Times New Roman" w:cs="Arial"/>
                <w:b/>
                <w:bCs/>
                <w:sz w:val="18"/>
                <w:szCs w:val="20"/>
                <w:lang w:val="es-CO" w:eastAsia="es-CO"/>
              </w:rPr>
              <w:t xml:space="preserve"> 5.375</w:t>
            </w:r>
          </w:p>
        </w:tc>
        <w:tc>
          <w:tcPr>
            <w:tcW w:w="2713" w:type="dxa"/>
            <w:shd w:val="clear" w:color="auto" w:fill="E2EFDA"/>
            <w:vAlign w:val="center"/>
          </w:tcPr>
          <w:p w:rsidR="00AF6DF9" w:rsidRPr="00AF6DF9" w:rsidRDefault="00AF6DF9" w:rsidP="00AF6DF9">
            <w:pPr>
              <w:spacing w:after="0" w:line="240" w:lineRule="auto"/>
              <w:jc w:val="center"/>
              <w:rPr>
                <w:rFonts w:eastAsia="Times New Roman" w:cs="Arial"/>
                <w:b/>
                <w:bCs/>
                <w:sz w:val="18"/>
                <w:szCs w:val="20"/>
                <w:lang w:val="es-CO" w:eastAsia="es-CO"/>
              </w:rPr>
            </w:pPr>
          </w:p>
        </w:tc>
      </w:tr>
    </w:tbl>
    <w:p w:rsidR="00AF6DF9" w:rsidRPr="00AF6DF9" w:rsidRDefault="00A57ED9" w:rsidP="00A57ED9">
      <w:pPr>
        <w:spacing w:after="0" w:line="240" w:lineRule="auto"/>
        <w:jc w:val="both"/>
        <w:rPr>
          <w:rFonts w:cs="Arial"/>
          <w:sz w:val="20"/>
          <w:lang w:val="es-CO" w:eastAsia="es-CO"/>
        </w:rPr>
      </w:pPr>
      <w:r>
        <w:rPr>
          <w:rFonts w:cs="Arial"/>
          <w:b/>
          <w:sz w:val="16"/>
          <w:lang w:val="es-CO" w:eastAsia="es-CO"/>
        </w:rPr>
        <w:t xml:space="preserve">       </w:t>
      </w:r>
      <w:r w:rsidR="00AF6DF9" w:rsidRPr="00DD06B2">
        <w:rPr>
          <w:rFonts w:cs="Arial"/>
          <w:b/>
          <w:sz w:val="16"/>
          <w:lang w:val="es-CO" w:eastAsia="es-CO"/>
        </w:rPr>
        <w:t>Fuente:</w:t>
      </w:r>
      <w:r w:rsidR="00AF6DF9" w:rsidRPr="00AF6DF9">
        <w:rPr>
          <w:rFonts w:cs="Arial"/>
          <w:sz w:val="16"/>
          <w:lang w:val="es-CO" w:eastAsia="es-CO"/>
        </w:rPr>
        <w:t xml:space="preserve"> Metas sociales y financieras a diciembre de 2016 Preliminar</w:t>
      </w:r>
    </w:p>
    <w:p w:rsidR="00B95837" w:rsidRPr="00D21160" w:rsidRDefault="00A57ED9" w:rsidP="00B95837">
      <w:pPr>
        <w:rPr>
          <w:rFonts w:ascii="Calibri" w:hAnsi="Calibri"/>
          <w:i/>
          <w:iCs/>
          <w:sz w:val="16"/>
          <w:lang w:val="es-CO"/>
        </w:rPr>
      </w:pPr>
      <w:r>
        <w:rPr>
          <w:i/>
          <w:iCs/>
          <w:sz w:val="16"/>
        </w:rPr>
        <w:t xml:space="preserve">      </w:t>
      </w:r>
      <w:r w:rsidR="00B95837" w:rsidRPr="00D21160">
        <w:rPr>
          <w:i/>
          <w:iCs/>
          <w:sz w:val="16"/>
        </w:rPr>
        <w:t>Nota: Información preliminar, sujeta a actualización del cierre oficial de metas sociales y financieras.</w:t>
      </w:r>
    </w:p>
    <w:p w:rsidR="00B95837" w:rsidRPr="00D21160" w:rsidRDefault="00B95837" w:rsidP="00B95837">
      <w:pPr>
        <w:spacing w:after="0" w:line="240" w:lineRule="auto"/>
        <w:jc w:val="both"/>
        <w:rPr>
          <w:rFonts w:cs="Arial"/>
          <w:sz w:val="16"/>
          <w:lang w:val="es-CO" w:eastAsia="es-ES"/>
        </w:rPr>
      </w:pPr>
    </w:p>
    <w:p w:rsidR="00AF6DF9" w:rsidRPr="00AF6DF9" w:rsidRDefault="00AF6DF9" w:rsidP="00AF6DF9">
      <w:pPr>
        <w:spacing w:after="0" w:line="240" w:lineRule="auto"/>
        <w:jc w:val="both"/>
        <w:rPr>
          <w:rFonts w:cs="Arial"/>
          <w:lang w:val="es-CO" w:eastAsia="es-CO"/>
        </w:rPr>
      </w:pPr>
      <w:r w:rsidRPr="00AF6DF9">
        <w:rPr>
          <w:rFonts w:cs="Arial"/>
          <w:lang w:val="es-CO" w:eastAsia="es-CO"/>
        </w:rPr>
        <w:t>Así, se contó con 4 Centros de Recuperación Nutricional (CRN) y la atención de 576 cupos, distribuidos así: 2 en Riohacha, 1 en San Juan del Cesar y 1 en Manaure (que inició operación el 14 de junio de 2016).</w:t>
      </w:r>
    </w:p>
    <w:p w:rsidR="00AF6DF9" w:rsidRPr="00AF6DF9" w:rsidRDefault="00AF6DF9" w:rsidP="00AF6DF9">
      <w:pPr>
        <w:spacing w:after="0" w:line="240" w:lineRule="auto"/>
        <w:jc w:val="both"/>
        <w:rPr>
          <w:rFonts w:cs="Arial"/>
          <w:lang w:val="es-CO" w:eastAsia="es-CO"/>
        </w:rPr>
      </w:pPr>
    </w:p>
    <w:p w:rsidR="00AF6DF9" w:rsidRPr="00AF6DF9" w:rsidRDefault="00AF6DF9" w:rsidP="00AF6DF9">
      <w:pPr>
        <w:spacing w:after="0" w:line="240" w:lineRule="auto"/>
        <w:jc w:val="both"/>
        <w:rPr>
          <w:rFonts w:cs="Arial"/>
          <w:lang w:val="es-CO" w:eastAsia="es-CO"/>
        </w:rPr>
      </w:pPr>
      <w:r w:rsidRPr="00AF6DF9">
        <w:rPr>
          <w:rFonts w:cs="Arial"/>
          <w:lang w:val="es-CO" w:eastAsia="es-CO"/>
        </w:rPr>
        <w:t xml:space="preserve">La atención a diciembre de 2016, de estas modalidades en la siguiente: </w:t>
      </w:r>
    </w:p>
    <w:p w:rsidR="00AF6DF9" w:rsidRPr="00AF6DF9" w:rsidRDefault="00AF6DF9" w:rsidP="00AF6DF9">
      <w:pPr>
        <w:spacing w:after="0" w:line="240" w:lineRule="auto"/>
        <w:jc w:val="both"/>
        <w:rPr>
          <w:rFonts w:cs="Arial"/>
          <w:lang w:val="es-CO" w:eastAsia="es-CO"/>
        </w:rPr>
      </w:pPr>
    </w:p>
    <w:p w:rsidR="00AF6DF9" w:rsidRDefault="00AF6DF9" w:rsidP="00A57ED9">
      <w:pPr>
        <w:numPr>
          <w:ilvl w:val="0"/>
          <w:numId w:val="260"/>
        </w:numPr>
        <w:spacing w:after="0" w:line="240" w:lineRule="auto"/>
        <w:jc w:val="both"/>
        <w:rPr>
          <w:rFonts w:cs="Arial"/>
          <w:lang w:val="es-CO" w:eastAsia="es-CO"/>
        </w:rPr>
      </w:pPr>
      <w:r w:rsidRPr="00AF6DF9">
        <w:rPr>
          <w:rFonts w:cs="Arial"/>
          <w:lang w:val="es-CO" w:eastAsia="es-CO"/>
        </w:rPr>
        <w:t>576 niños y niñas menores de 5 años atendidos en los Centro</w:t>
      </w:r>
      <w:r w:rsidR="00DD06B2">
        <w:rPr>
          <w:rFonts w:cs="Arial"/>
          <w:lang w:val="es-CO" w:eastAsia="es-CO"/>
        </w:rPr>
        <w:t>s de Recuperación Nutricional.</w:t>
      </w:r>
    </w:p>
    <w:p w:rsidR="00DD06B2" w:rsidRPr="00AF6DF9" w:rsidRDefault="00DD06B2" w:rsidP="00DD06B2">
      <w:pPr>
        <w:spacing w:after="0" w:line="240" w:lineRule="auto"/>
        <w:ind w:left="720"/>
        <w:jc w:val="both"/>
        <w:rPr>
          <w:rFonts w:cs="Arial"/>
          <w:lang w:val="es-CO" w:eastAsia="es-CO"/>
        </w:rPr>
      </w:pPr>
    </w:p>
    <w:p w:rsidR="00AF6DF9" w:rsidRPr="00AF6DF9" w:rsidRDefault="00AF6DF9" w:rsidP="00A57ED9">
      <w:pPr>
        <w:numPr>
          <w:ilvl w:val="0"/>
          <w:numId w:val="260"/>
        </w:numPr>
        <w:spacing w:after="0" w:line="240" w:lineRule="auto"/>
        <w:jc w:val="both"/>
        <w:rPr>
          <w:rFonts w:cs="Arial"/>
          <w:lang w:val="es-CO" w:eastAsia="es-CO"/>
        </w:rPr>
      </w:pPr>
      <w:r w:rsidRPr="00AF6DF9">
        <w:rPr>
          <w:rFonts w:cs="Arial"/>
          <w:lang w:val="es-CO" w:eastAsia="es-CO"/>
        </w:rPr>
        <w:t>4.296 niños y niñas menores de 5 años en situación de desnutrición, 1.079 mujeres gestantes y madres en periodo de lactancia con bajo peso en la modalidad mixta.</w:t>
      </w:r>
    </w:p>
    <w:p w:rsidR="00AF6DF9" w:rsidRPr="00AF6DF9" w:rsidRDefault="00AF6DF9" w:rsidP="00AF6DF9">
      <w:pPr>
        <w:spacing w:after="0" w:line="240" w:lineRule="auto"/>
        <w:jc w:val="both"/>
        <w:rPr>
          <w:rFonts w:cs="Arial"/>
          <w:lang w:val="es-CO" w:eastAsia="es-CO"/>
        </w:rPr>
      </w:pPr>
    </w:p>
    <w:p w:rsidR="00AF6DF9" w:rsidRPr="00AF6DF9" w:rsidRDefault="00AF6DF9" w:rsidP="00AF6DF9">
      <w:pPr>
        <w:spacing w:after="0" w:line="240" w:lineRule="auto"/>
        <w:jc w:val="both"/>
        <w:rPr>
          <w:rFonts w:cs="Arial"/>
          <w:lang w:val="es-CO" w:eastAsia="es-CO"/>
        </w:rPr>
      </w:pPr>
      <w:r w:rsidRPr="00AF6DF9">
        <w:rPr>
          <w:rFonts w:cs="Arial"/>
          <w:lang w:val="es-CO" w:eastAsia="es-CO"/>
        </w:rPr>
        <w:t xml:space="preserve">Por otra parte, los resultados del trabajo de microfocalización, realizada únicamente en el departamento de La Guajira, han sido compartidos con otras entidades del Gobierno Nacional en el marco de la </w:t>
      </w:r>
      <w:r w:rsidRPr="00AF6DF9">
        <w:rPr>
          <w:rFonts w:cs="Arial"/>
          <w:i/>
          <w:lang w:val="es-CO" w:eastAsia="es-CO"/>
        </w:rPr>
        <w:t>Alianza por la Vida y el Agua en La Guajira</w:t>
      </w:r>
      <w:r w:rsidRPr="00AF6DF9">
        <w:rPr>
          <w:rFonts w:cs="Arial"/>
          <w:lang w:val="es-CO" w:eastAsia="es-CO"/>
        </w:rPr>
        <w:t>, para promover la atención efectiva y el mejoramiento de las condiciones de vida en estas zonas. De igual forma, reportes parciales e informes finales han sido puestos a consideración de la Procuraduría General de la Nación, la Defensoría del Pueblo y miembros del Congreso de la República.</w:t>
      </w:r>
    </w:p>
    <w:p w:rsidR="00AF6DF9" w:rsidRPr="00AF6DF9" w:rsidRDefault="00AF6DF9" w:rsidP="00AF6DF9">
      <w:pPr>
        <w:spacing w:after="0" w:line="240" w:lineRule="auto"/>
        <w:jc w:val="both"/>
        <w:rPr>
          <w:rFonts w:cs="Arial"/>
          <w:lang w:val="es-CO" w:eastAsia="es-CO"/>
        </w:rPr>
      </w:pPr>
    </w:p>
    <w:p w:rsidR="00AF6DF9" w:rsidRDefault="00AF6DF9" w:rsidP="00AF6DF9">
      <w:pPr>
        <w:spacing w:after="0" w:line="240" w:lineRule="auto"/>
        <w:jc w:val="both"/>
        <w:rPr>
          <w:rFonts w:cs="Arial"/>
          <w:lang w:val="es-CO" w:eastAsia="es-CO"/>
        </w:rPr>
      </w:pPr>
      <w:r w:rsidRPr="00AF6DF9">
        <w:rPr>
          <w:rFonts w:cs="Arial"/>
          <w:lang w:val="es-CO" w:eastAsia="es-CO"/>
        </w:rPr>
        <w:t xml:space="preserve">En concordancia y para promover el debido cuidado de los niños y niñas , se diseñó e implementó “la ruta integral para la atención a la desnutrición aguda en la población menor de 5 años”, estrategia de articulación con el Ministerio de Salud y Protección Social en cabeza del sector salud, la cual permitió que una vez identificado un niño o niña menor de 5 años en situación de </w:t>
      </w:r>
      <w:r w:rsidRPr="00AF6DF9">
        <w:rPr>
          <w:rFonts w:cs="Arial"/>
          <w:lang w:val="es-CO" w:eastAsia="es-CO"/>
        </w:rPr>
        <w:lastRenderedPageBreak/>
        <w:t>desnutrición aguda, se canalizara de inmediato al sector salud para su atención y posterior vinculación a una de las modalidades de la Estrategia de Recuperación Nutricional o de Primera Infancia del ICBF, para así lograr la recuperación y el mantenimiento de su estado nutricional.</w:t>
      </w:r>
    </w:p>
    <w:p w:rsidR="00036700" w:rsidRPr="00AF6DF9" w:rsidRDefault="00036700" w:rsidP="00AF6DF9">
      <w:pPr>
        <w:spacing w:after="0" w:line="240" w:lineRule="auto"/>
        <w:jc w:val="both"/>
        <w:rPr>
          <w:rFonts w:cs="Arial"/>
          <w:lang w:val="es-CO" w:eastAsia="es-CO"/>
        </w:rPr>
      </w:pPr>
    </w:p>
    <w:p w:rsidR="0058119B" w:rsidRPr="00D23FA4" w:rsidRDefault="0058119B" w:rsidP="0058119B">
      <w:pPr>
        <w:spacing w:after="0" w:line="240" w:lineRule="auto"/>
        <w:rPr>
          <w:rFonts w:cs="Arial"/>
        </w:rPr>
      </w:pPr>
    </w:p>
    <w:p w:rsidR="0058119B" w:rsidRPr="00B25961" w:rsidRDefault="0058119B" w:rsidP="007342CF">
      <w:pPr>
        <w:pStyle w:val="Prrafodelista"/>
        <w:keepNext/>
        <w:keepLines/>
        <w:numPr>
          <w:ilvl w:val="2"/>
          <w:numId w:val="242"/>
        </w:numPr>
        <w:spacing w:after="0" w:line="240" w:lineRule="auto"/>
        <w:outlineLvl w:val="1"/>
        <w:rPr>
          <w:rFonts w:eastAsiaTheme="majorEastAsia" w:cs="Arial"/>
          <w:b/>
        </w:rPr>
      </w:pPr>
      <w:bookmarkStart w:id="91" w:name="_Toc473581422"/>
      <w:r w:rsidRPr="00B25961">
        <w:rPr>
          <w:rFonts w:eastAsia="Times New Roman" w:cs="Arial"/>
          <w:b/>
          <w:bCs/>
          <w:kern w:val="32"/>
        </w:rPr>
        <w:t>Sistema de Seguimiento Nutricional – SSN</w:t>
      </w:r>
      <w:bookmarkEnd w:id="91"/>
      <w:r w:rsidRPr="00B25961">
        <w:rPr>
          <w:rFonts w:eastAsia="Times New Roman" w:cs="Arial"/>
          <w:b/>
          <w:bCs/>
          <w:kern w:val="32"/>
        </w:rPr>
        <w:t xml:space="preserve"> </w:t>
      </w:r>
    </w:p>
    <w:p w:rsidR="0058119B" w:rsidRPr="00802120" w:rsidRDefault="0058119B" w:rsidP="0058119B">
      <w:pPr>
        <w:rPr>
          <w:rFonts w:eastAsiaTheme="majorEastAsia" w:cs="Arial"/>
          <w:b/>
        </w:rPr>
      </w:pPr>
      <w:r w:rsidRPr="00802120">
        <w:rPr>
          <w:rFonts w:eastAsiaTheme="majorEastAsia" w:cs="Arial"/>
          <w:b/>
        </w:rPr>
        <w:t xml:space="preserve"> </w:t>
      </w:r>
    </w:p>
    <w:p w:rsidR="00AF6DF9" w:rsidRDefault="00AF6DF9" w:rsidP="00AF6DF9">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Se logró aumentar el registro de los datos de seguimiento nutricional a través del aplicativo Cuéntame para los trimestres definidos, recibiendo información de las 33 Regionales ICBF, y consolidándose más de 6´502.951 datos como se relaciona a continuación:</w:t>
      </w:r>
    </w:p>
    <w:p w:rsidR="004D5D73" w:rsidRDefault="004D5D73" w:rsidP="00AF6DF9">
      <w:pPr>
        <w:autoSpaceDE w:val="0"/>
        <w:autoSpaceDN w:val="0"/>
        <w:adjustRightInd w:val="0"/>
        <w:spacing w:after="0" w:line="240" w:lineRule="auto"/>
        <w:contextualSpacing/>
        <w:jc w:val="both"/>
        <w:rPr>
          <w:rFonts w:eastAsia="Times New Roman" w:cs="Arial"/>
          <w:lang w:eastAsia="es-MX"/>
        </w:rPr>
      </w:pPr>
    </w:p>
    <w:tbl>
      <w:tblPr>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961"/>
        <w:gridCol w:w="941"/>
        <w:gridCol w:w="1201"/>
      </w:tblGrid>
      <w:tr w:rsidR="002D07F2" w:rsidRPr="00AF6DF9" w:rsidTr="007D544E">
        <w:trPr>
          <w:trHeight w:val="315"/>
          <w:jc w:val="center"/>
        </w:trPr>
        <w:tc>
          <w:tcPr>
            <w:tcW w:w="0" w:type="auto"/>
            <w:shd w:val="clear" w:color="auto" w:fill="76923C" w:themeFill="accent3" w:themeFillShade="BF"/>
            <w:noWrap/>
            <w:vAlign w:val="center"/>
            <w:hideMark/>
          </w:tcPr>
          <w:p w:rsidR="002D07F2" w:rsidRPr="00DD06B2" w:rsidRDefault="002D07F2" w:rsidP="007D544E">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Trimestre</w:t>
            </w:r>
          </w:p>
        </w:tc>
        <w:tc>
          <w:tcPr>
            <w:tcW w:w="0" w:type="auto"/>
            <w:shd w:val="clear" w:color="auto" w:fill="76923C" w:themeFill="accent3" w:themeFillShade="BF"/>
            <w:noWrap/>
            <w:vAlign w:val="center"/>
            <w:hideMark/>
          </w:tcPr>
          <w:p w:rsidR="002D07F2" w:rsidRPr="00DD06B2" w:rsidRDefault="002D07F2" w:rsidP="007D544E">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Reporte</w:t>
            </w:r>
          </w:p>
        </w:tc>
        <w:tc>
          <w:tcPr>
            <w:tcW w:w="0" w:type="auto"/>
            <w:shd w:val="clear" w:color="auto" w:fill="76923C" w:themeFill="accent3" w:themeFillShade="BF"/>
            <w:noWrap/>
            <w:vAlign w:val="center"/>
            <w:hideMark/>
          </w:tcPr>
          <w:p w:rsidR="002D07F2" w:rsidRPr="00DD06B2" w:rsidRDefault="002D07F2" w:rsidP="007D544E">
            <w:pPr>
              <w:spacing w:after="0" w:line="240" w:lineRule="auto"/>
              <w:jc w:val="center"/>
              <w:rPr>
                <w:rFonts w:eastAsia="Times New Roman" w:cs="Arial"/>
                <w:b/>
                <w:bCs/>
                <w:color w:val="FFFFFF" w:themeColor="background1"/>
                <w:sz w:val="18"/>
                <w:szCs w:val="18"/>
                <w:lang w:val="es-CO" w:eastAsia="es-CO"/>
              </w:rPr>
            </w:pPr>
            <w:r w:rsidRPr="00DD06B2">
              <w:rPr>
                <w:rFonts w:eastAsia="Times New Roman" w:cs="Arial"/>
                <w:b/>
                <w:bCs/>
                <w:color w:val="FFFFFF" w:themeColor="background1"/>
                <w:sz w:val="18"/>
                <w:szCs w:val="18"/>
                <w:lang w:eastAsia="es-CO"/>
              </w:rPr>
              <w:t>% Ejecución</w:t>
            </w:r>
          </w:p>
        </w:tc>
      </w:tr>
      <w:tr w:rsidR="002D07F2" w:rsidRPr="00AF6DF9" w:rsidTr="007D544E">
        <w:trPr>
          <w:trHeight w:val="315"/>
          <w:jc w:val="center"/>
        </w:trPr>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2016 - 1</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1.533.441</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85%</w:t>
            </w:r>
          </w:p>
        </w:tc>
      </w:tr>
      <w:tr w:rsidR="002D07F2" w:rsidRPr="00AF6DF9" w:rsidTr="007D544E">
        <w:trPr>
          <w:trHeight w:val="315"/>
          <w:jc w:val="center"/>
        </w:trPr>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2016 - 2</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1.666.294</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93%</w:t>
            </w:r>
          </w:p>
        </w:tc>
      </w:tr>
      <w:tr w:rsidR="002D07F2" w:rsidRPr="00AF6DF9" w:rsidTr="007D544E">
        <w:trPr>
          <w:trHeight w:val="315"/>
          <w:jc w:val="center"/>
        </w:trPr>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2016 - 3</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1.710.255</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eastAsia="es-CO"/>
              </w:rPr>
              <w:t>95%</w:t>
            </w:r>
          </w:p>
        </w:tc>
      </w:tr>
      <w:tr w:rsidR="002D07F2" w:rsidRPr="00AF6DF9" w:rsidTr="007D544E">
        <w:trPr>
          <w:trHeight w:val="315"/>
          <w:jc w:val="center"/>
        </w:trPr>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2016 - 4</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1.592.961</w:t>
            </w:r>
          </w:p>
        </w:tc>
        <w:tc>
          <w:tcPr>
            <w:tcW w:w="0" w:type="auto"/>
            <w:shd w:val="clear" w:color="auto" w:fill="auto"/>
            <w:noWrap/>
            <w:vAlign w:val="center"/>
            <w:hideMark/>
          </w:tcPr>
          <w:p w:rsidR="002D07F2" w:rsidRPr="00AF6DF9" w:rsidRDefault="002D07F2" w:rsidP="007D544E">
            <w:pPr>
              <w:spacing w:after="0" w:line="240" w:lineRule="auto"/>
              <w:jc w:val="center"/>
              <w:rPr>
                <w:rFonts w:eastAsia="Times New Roman" w:cs="Arial"/>
                <w:color w:val="000000"/>
                <w:sz w:val="18"/>
                <w:szCs w:val="18"/>
                <w:lang w:val="es-CO" w:eastAsia="es-CO"/>
              </w:rPr>
            </w:pPr>
            <w:r w:rsidRPr="00AF6DF9">
              <w:rPr>
                <w:rFonts w:eastAsia="Times New Roman" w:cs="Arial"/>
                <w:color w:val="000000"/>
                <w:sz w:val="18"/>
                <w:szCs w:val="18"/>
                <w:lang w:val="es-CO" w:eastAsia="es-CO"/>
              </w:rPr>
              <w:t>89%</w:t>
            </w:r>
          </w:p>
        </w:tc>
      </w:tr>
    </w:tbl>
    <w:p w:rsidR="00AF6DF9" w:rsidRPr="00AF6DF9" w:rsidRDefault="004D5D73" w:rsidP="004D5D73">
      <w:pPr>
        <w:spacing w:after="0" w:line="240" w:lineRule="auto"/>
        <w:ind w:left="2268"/>
        <w:rPr>
          <w:rFonts w:eastAsia="Times New Roman" w:cs="Arial"/>
          <w:sz w:val="16"/>
          <w:lang w:eastAsia="es-ES"/>
        </w:rPr>
      </w:pPr>
      <w:r>
        <w:rPr>
          <w:rFonts w:eastAsia="Times New Roman" w:cs="Arial"/>
          <w:sz w:val="16"/>
          <w:lang w:eastAsia="es-ES"/>
        </w:rPr>
        <w:t xml:space="preserve">           </w:t>
      </w:r>
      <w:r w:rsidR="00AF6DF9" w:rsidRPr="00AF6DF9">
        <w:rPr>
          <w:rFonts w:eastAsia="Times New Roman" w:cs="Arial"/>
          <w:sz w:val="16"/>
          <w:lang w:eastAsia="es-ES"/>
        </w:rPr>
        <w:t>Fuente: Sistema de Seguimiento Nutricional, ICBF 2016.</w:t>
      </w:r>
    </w:p>
    <w:p w:rsidR="00B95837" w:rsidRPr="00B95837" w:rsidRDefault="00B95837" w:rsidP="00B95837">
      <w:pPr>
        <w:ind w:left="2124" w:firstLine="144"/>
        <w:rPr>
          <w:rFonts w:ascii="Calibri" w:hAnsi="Calibri"/>
          <w:i/>
          <w:iCs/>
          <w:sz w:val="14"/>
          <w:lang w:val="es-CO"/>
        </w:rPr>
      </w:pPr>
      <w:r w:rsidRPr="00B95837">
        <w:rPr>
          <w:i/>
          <w:iCs/>
          <w:sz w:val="14"/>
        </w:rPr>
        <w:t>Nota: Información preliminar, sujeta a actualización del cierre oficial de metas sociales y financieras.</w:t>
      </w:r>
    </w:p>
    <w:p w:rsidR="00AF6DF9" w:rsidRPr="00AF6DF9" w:rsidRDefault="00AF6DF9" w:rsidP="00AF6DF9">
      <w:pPr>
        <w:spacing w:after="0" w:line="240" w:lineRule="auto"/>
        <w:jc w:val="both"/>
        <w:rPr>
          <w:rFonts w:cs="Arial"/>
        </w:rPr>
      </w:pPr>
      <w:r w:rsidRPr="00AF6DF9">
        <w:rPr>
          <w:rFonts w:cs="Arial"/>
        </w:rPr>
        <w:t xml:space="preserve">En términos de vigilancia nutricional, los niños y niñas entre 6 meses y 59 meses, de edad presentaron una disminución significativa de la prevalencia de desnutrición aguda, pasando de 3,1% a 1,5% en el tercer trimestre, logrando una reducción de 48,5% en el número de casos. </w:t>
      </w:r>
    </w:p>
    <w:p w:rsidR="00AF6DF9" w:rsidRPr="00AF6DF9" w:rsidRDefault="00AF6DF9" w:rsidP="00AF6DF9">
      <w:pPr>
        <w:spacing w:after="0" w:line="240" w:lineRule="auto"/>
        <w:jc w:val="both"/>
        <w:rPr>
          <w:rFonts w:cs="Arial"/>
        </w:rPr>
      </w:pPr>
    </w:p>
    <w:p w:rsidR="00AF6DF9" w:rsidRPr="00AF6DF9" w:rsidRDefault="00AF6DF9" w:rsidP="00AF6DF9">
      <w:pPr>
        <w:spacing w:after="0" w:line="240" w:lineRule="auto"/>
        <w:jc w:val="both"/>
        <w:rPr>
          <w:rFonts w:eastAsia="Times New Roman" w:cs="Arial"/>
          <w:highlight w:val="yellow"/>
          <w:lang w:eastAsia="es-ES"/>
        </w:rPr>
      </w:pPr>
      <w:r w:rsidRPr="00AF6DF9">
        <w:rPr>
          <w:rFonts w:cs="Arial"/>
        </w:rPr>
        <w:t xml:space="preserve">Así mismo, la desnutrición global, </w:t>
      </w:r>
      <w:r w:rsidRPr="00AF6DF9">
        <w:rPr>
          <w:rFonts w:eastAsia="Times New Roman" w:cs="Arial"/>
          <w:lang w:eastAsia="es-MX"/>
        </w:rPr>
        <w:t xml:space="preserve">presentó un comportamiento similar, mostrando una tendencia descendente al tercer trimestre en donde la prevalencia pasó a 4,8% disminuyéndose en 1.7 puntos porcentuales respecto al primer trimestre (3,1%), </w:t>
      </w:r>
      <w:r w:rsidRPr="00AF6DF9">
        <w:rPr>
          <w:rFonts w:cs="Arial"/>
        </w:rPr>
        <w:t>ubicándose por debajo del promedio nacional (3,4%) reportado por la ENSIN 2010.</w:t>
      </w:r>
    </w:p>
    <w:p w:rsidR="00AF6DF9" w:rsidRPr="00AF6DF9" w:rsidRDefault="00AF6DF9" w:rsidP="00AF6DF9">
      <w:pPr>
        <w:spacing w:after="0" w:line="240" w:lineRule="auto"/>
        <w:jc w:val="both"/>
        <w:rPr>
          <w:rFonts w:cs="Arial"/>
          <w:lang w:eastAsia="es-ES"/>
        </w:rPr>
      </w:pPr>
    </w:p>
    <w:p w:rsidR="00AF6DF9" w:rsidRPr="00AF6DF9" w:rsidRDefault="00AF6DF9" w:rsidP="00AF6DF9">
      <w:pPr>
        <w:spacing w:after="0" w:line="240" w:lineRule="auto"/>
        <w:jc w:val="both"/>
        <w:rPr>
          <w:rFonts w:cs="Arial"/>
          <w:lang w:eastAsia="es-ES"/>
        </w:rPr>
      </w:pPr>
      <w:r w:rsidRPr="00AF6DF9">
        <w:rPr>
          <w:rFonts w:cs="Arial"/>
          <w:lang w:eastAsia="es-CO"/>
        </w:rPr>
        <w:t xml:space="preserve">Las tendencias descendentes de la desnutrición global y aguda de los niños y niñas beneficiarios de Primera Infancia supone una incidencia positiva de los programas y las acciones que se generan a partir de la formulación y ejecución de los planes de intervenciones colectivas, que fueron desarrollados por las 33 Regionales ICBF y favorecen la promoción de hábitos y estilos saludables a través de herramientas como la educación alimentaria y nutricional, el mejoramiento de las prácticas alimentarias y </w:t>
      </w:r>
      <w:r w:rsidRPr="00AF6DF9">
        <w:rPr>
          <w:rFonts w:cs="Arial"/>
          <w:lang w:eastAsia="es-ES"/>
        </w:rPr>
        <w:t>gestión en la articulación intersectorial para la promoción de la salud y atenciones que inciden en el cumplimiento de la garantía de derechos de los niños y las niñas, en corresponsabilidad con el Sistema Nacional de Bienestar Familiar (SNBF) y las familias.</w:t>
      </w:r>
    </w:p>
    <w:p w:rsidR="00AF6DF9" w:rsidRPr="00AF6DF9" w:rsidRDefault="00AF6DF9" w:rsidP="00AF6DF9">
      <w:pPr>
        <w:tabs>
          <w:tab w:val="left" w:pos="34"/>
        </w:tabs>
        <w:spacing w:after="0" w:line="240" w:lineRule="auto"/>
        <w:ind w:firstLine="34"/>
        <w:jc w:val="both"/>
        <w:rPr>
          <w:rFonts w:cs="Arial"/>
          <w:lang w:eastAsia="es-ES"/>
        </w:rPr>
      </w:pPr>
    </w:p>
    <w:p w:rsidR="00AF6DF9" w:rsidRPr="00AF6DF9" w:rsidRDefault="00AF6DF9" w:rsidP="00AF6DF9">
      <w:pPr>
        <w:tabs>
          <w:tab w:val="left" w:pos="34"/>
        </w:tabs>
        <w:spacing w:after="0" w:line="240" w:lineRule="auto"/>
        <w:ind w:firstLine="34"/>
        <w:jc w:val="both"/>
        <w:rPr>
          <w:rFonts w:eastAsia="Times New Roman" w:cs="Arial"/>
          <w:lang w:eastAsia="es-ES"/>
        </w:rPr>
      </w:pPr>
      <w:r w:rsidRPr="00AF6DF9">
        <w:rPr>
          <w:rFonts w:cs="Arial"/>
          <w:lang w:eastAsia="es-ES"/>
        </w:rPr>
        <w:t xml:space="preserve">De igual forma, se ha logrado la optimización y actualización de la herramienta de captura </w:t>
      </w:r>
      <w:r w:rsidRPr="00AF6DF9">
        <w:rPr>
          <w:rFonts w:eastAsia="Times New Roman" w:cs="Arial"/>
          <w:lang w:eastAsia="es-ES"/>
        </w:rPr>
        <w:t>(Sistema de Información Misional Cuéntame) con la implementación de la normatividad vigente y la modificación de las funcionalidades que permiten el seguimiento y vigilancia de la situación nutricional de la población atendida.</w:t>
      </w:r>
    </w:p>
    <w:p w:rsidR="00AF6DF9" w:rsidRPr="00AF6DF9" w:rsidRDefault="00AF6DF9" w:rsidP="00AF6DF9">
      <w:pPr>
        <w:autoSpaceDE w:val="0"/>
        <w:autoSpaceDN w:val="0"/>
        <w:adjustRightInd w:val="0"/>
        <w:spacing w:after="0" w:line="240" w:lineRule="auto"/>
        <w:contextualSpacing/>
        <w:jc w:val="both"/>
        <w:rPr>
          <w:rFonts w:eastAsia="Times New Roman" w:cs="Arial"/>
        </w:rPr>
      </w:pPr>
    </w:p>
    <w:p w:rsidR="00AF6DF9" w:rsidRDefault="00AF6DF9" w:rsidP="00AF6DF9">
      <w:pPr>
        <w:autoSpaceDE w:val="0"/>
        <w:autoSpaceDN w:val="0"/>
        <w:adjustRightInd w:val="0"/>
        <w:spacing w:after="0" w:line="240" w:lineRule="auto"/>
        <w:contextualSpacing/>
        <w:jc w:val="both"/>
        <w:rPr>
          <w:rFonts w:eastAsia="Times New Roman" w:cs="Arial"/>
          <w:lang w:eastAsia="es-MX"/>
        </w:rPr>
      </w:pPr>
      <w:r w:rsidRPr="00AF6DF9">
        <w:rPr>
          <w:rFonts w:eastAsia="Times New Roman" w:cs="Arial"/>
          <w:lang w:eastAsia="es-MX"/>
        </w:rPr>
        <w:t xml:space="preserve">Adicionalmente, se hizo fortalecimiento de la capacidad técnica en temas de Seguimiento Nutricional a las Regionales ICBF de Cundinamarca, Bogotá, Santander, Caquetá, Magdalena, </w:t>
      </w:r>
      <w:r w:rsidRPr="00AF6DF9">
        <w:rPr>
          <w:rFonts w:eastAsia="Times New Roman" w:cs="Arial"/>
          <w:lang w:eastAsia="es-MX"/>
        </w:rPr>
        <w:lastRenderedPageBreak/>
        <w:t>Antioquia, Amazonas, Meta, Nariño, Cesar, Guaviare, San Andrés y Atlántico y en la Sede de la Dirección General.</w:t>
      </w:r>
    </w:p>
    <w:p w:rsidR="00036700" w:rsidRDefault="00036700" w:rsidP="00AF6DF9">
      <w:pPr>
        <w:autoSpaceDE w:val="0"/>
        <w:autoSpaceDN w:val="0"/>
        <w:adjustRightInd w:val="0"/>
        <w:spacing w:after="0" w:line="240" w:lineRule="auto"/>
        <w:contextualSpacing/>
        <w:jc w:val="both"/>
        <w:rPr>
          <w:rFonts w:eastAsia="Times New Roman" w:cs="Arial"/>
          <w:lang w:eastAsia="es-MX"/>
        </w:rPr>
      </w:pPr>
    </w:p>
    <w:p w:rsidR="00DB6C07" w:rsidRDefault="00DB6C07" w:rsidP="00AF6DF9">
      <w:pPr>
        <w:autoSpaceDE w:val="0"/>
        <w:autoSpaceDN w:val="0"/>
        <w:adjustRightInd w:val="0"/>
        <w:spacing w:after="0" w:line="240" w:lineRule="auto"/>
        <w:contextualSpacing/>
        <w:jc w:val="both"/>
        <w:rPr>
          <w:rFonts w:eastAsia="Times New Roman" w:cs="Arial"/>
          <w:lang w:eastAsia="es-MX"/>
        </w:rPr>
      </w:pPr>
    </w:p>
    <w:p w:rsidR="00817E2C" w:rsidRPr="00B25961" w:rsidRDefault="00817E2C" w:rsidP="007342CF">
      <w:pPr>
        <w:pStyle w:val="Prrafodelista"/>
        <w:keepNext/>
        <w:keepLines/>
        <w:numPr>
          <w:ilvl w:val="2"/>
          <w:numId w:val="242"/>
        </w:numPr>
        <w:spacing w:after="0" w:line="240" w:lineRule="auto"/>
        <w:outlineLvl w:val="1"/>
        <w:rPr>
          <w:rFonts w:eastAsiaTheme="majorEastAsia" w:cs="Arial"/>
          <w:b/>
        </w:rPr>
      </w:pPr>
      <w:bookmarkStart w:id="92" w:name="_Toc473581423"/>
      <w:r w:rsidRPr="00B25961">
        <w:rPr>
          <w:rFonts w:eastAsia="Times New Roman" w:cs="Arial"/>
          <w:b/>
          <w:bCs/>
          <w:kern w:val="32"/>
        </w:rPr>
        <w:t>Alimentos de Alto Valor Nutricional</w:t>
      </w:r>
      <w:bookmarkEnd w:id="92"/>
      <w:r w:rsidRPr="00B25961">
        <w:rPr>
          <w:rFonts w:eastAsia="Times New Roman" w:cs="Arial"/>
          <w:b/>
          <w:bCs/>
          <w:kern w:val="32"/>
        </w:rPr>
        <w:t xml:space="preserve"> </w:t>
      </w:r>
    </w:p>
    <w:p w:rsidR="00817E2C" w:rsidRPr="00802120" w:rsidRDefault="00817E2C" w:rsidP="00817E2C">
      <w:pPr>
        <w:rPr>
          <w:rFonts w:eastAsiaTheme="majorEastAsia" w:cs="Arial"/>
          <w:b/>
        </w:rPr>
      </w:pPr>
      <w:r w:rsidRPr="00802120">
        <w:rPr>
          <w:rFonts w:eastAsiaTheme="majorEastAsia" w:cs="Arial"/>
          <w:b/>
        </w:rPr>
        <w:t xml:space="preserve"> </w:t>
      </w: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En el marco del derecho a la alimentación y como parte de la complementación alimentaria que brinda el ICBF a los niños, niñas, adolescentes, mujeres gestantes y madres en periodo de lactancia y familias beneficiarias, se cuenta con tres alimentos de alto valor nutricional: Bienestarina Más, Bienestarina® Líquida y Nutrigest, alimentos que son fortificados con vitaminas y minerales y que contribuyen a la prevención de deficiencias por micronutrientes. </w:t>
      </w: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rPr>
      </w:pPr>
      <w:r w:rsidRPr="00AF6DF9">
        <w:rPr>
          <w:rFonts w:cs="Arial"/>
          <w:lang w:val="es-MX"/>
        </w:rPr>
        <w:t>El ICBF cuenta con dos (2) plantas de producción ubicadas en Cartago - Valle del Cauca y Sabanagrande - Atlántico,</w:t>
      </w:r>
      <w:r w:rsidRPr="00AF6DF9">
        <w:rPr>
          <w:rFonts w:cs="Arial"/>
        </w:rPr>
        <w:t xml:space="preserve"> l</w:t>
      </w:r>
      <w:r w:rsidRPr="00AF6DF9">
        <w:rPr>
          <w:rFonts w:cs="Arial"/>
          <w:lang w:val="es-CO" w:eastAsia="es-ES"/>
        </w:rPr>
        <w:t xml:space="preserve">a Dirección de Nutrición está a cargo del seguimiento a la producción y distribución de estos alimentos, y el desarrollo de nuevos productos que se realizan bajo el contrato 1606/2015 y la interventoría del contratista, realizada bajo el contrato 1675/2015. </w:t>
      </w:r>
    </w:p>
    <w:p w:rsidR="00AF6DF9" w:rsidRPr="00AF6DF9" w:rsidRDefault="00AF6DF9" w:rsidP="00AF6DF9">
      <w:pPr>
        <w:spacing w:after="0" w:line="240" w:lineRule="auto"/>
        <w:jc w:val="both"/>
        <w:rPr>
          <w:rFonts w:cs="Arial"/>
        </w:rPr>
      </w:pPr>
    </w:p>
    <w:p w:rsidR="00AF6DF9" w:rsidRDefault="00AF6DF9" w:rsidP="00AF6DF9">
      <w:pPr>
        <w:spacing w:after="0" w:line="240" w:lineRule="auto"/>
        <w:jc w:val="both"/>
        <w:rPr>
          <w:rFonts w:cs="Arial"/>
          <w:lang w:val="es-CO" w:eastAsia="es-ES"/>
        </w:rPr>
      </w:pPr>
      <w:r w:rsidRPr="00AF6DF9">
        <w:rPr>
          <w:rFonts w:cs="Arial"/>
          <w:lang w:val="es-CO" w:eastAsia="es-ES"/>
        </w:rPr>
        <w:t>Adicionalmente para la vigencia 2016 se realizó la distribución del Alimento de Alto Valor Nutricional, en el marco de los contratos 1045, 10</w:t>
      </w:r>
      <w:r w:rsidR="00DD06B2">
        <w:rPr>
          <w:rFonts w:cs="Arial"/>
          <w:lang w:val="es-CO" w:eastAsia="es-ES"/>
        </w:rPr>
        <w:t>48, 1046 y 1047 con Colombina.</w:t>
      </w:r>
    </w:p>
    <w:p w:rsidR="00AF6DF9" w:rsidRPr="00AF6DF9" w:rsidRDefault="00AF6DF9" w:rsidP="00DB6C07">
      <w:pPr>
        <w:rPr>
          <w:lang w:val="es-CO" w:eastAsia="es-ES"/>
        </w:rPr>
      </w:pPr>
    </w:p>
    <w:p w:rsidR="00AF6DF9" w:rsidRPr="00E81A77" w:rsidRDefault="00AF6DF9" w:rsidP="00DB6C07">
      <w:pPr>
        <w:ind w:firstLine="708"/>
        <w:rPr>
          <w:rFonts w:eastAsia="Times New Roman"/>
          <w:b/>
          <w:lang w:val="es-CO" w:eastAsia="es-ES"/>
        </w:rPr>
      </w:pPr>
      <w:bookmarkStart w:id="93" w:name="_Toc469470696"/>
      <w:bookmarkStart w:id="94" w:name="_Toc472519270"/>
      <w:r w:rsidRPr="00E81A77">
        <w:rPr>
          <w:rFonts w:eastAsia="Times New Roman"/>
          <w:b/>
          <w:lang w:val="es-CO" w:eastAsia="es-ES"/>
        </w:rPr>
        <w:t xml:space="preserve">Producción y </w:t>
      </w:r>
      <w:r w:rsidRPr="00E81A77">
        <w:rPr>
          <w:rFonts w:eastAsia="Times New Roman"/>
          <w:b/>
          <w:lang w:val="es-CO" w:eastAsia="es-ES"/>
          <w14:numSpacing w14:val="proportional"/>
        </w:rPr>
        <w:t>distribución</w:t>
      </w:r>
      <w:bookmarkEnd w:id="93"/>
      <w:bookmarkEnd w:id="94"/>
      <w:r w:rsidRPr="00E81A77">
        <w:rPr>
          <w:rFonts w:eastAsia="Times New Roman"/>
          <w:b/>
          <w:lang w:val="es-CO" w:eastAsia="es-ES"/>
        </w:rPr>
        <w:t xml:space="preserve"> </w:t>
      </w:r>
    </w:p>
    <w:p w:rsidR="00AF6DF9" w:rsidRPr="00AF6DF9" w:rsidRDefault="00AF6DF9" w:rsidP="00AF6DF9">
      <w:pPr>
        <w:spacing w:after="0" w:line="240" w:lineRule="auto"/>
        <w:jc w:val="both"/>
        <w:rPr>
          <w:rFonts w:cs="Arial"/>
          <w:lang w:val="es-CO" w:eastAsia="es-ES"/>
        </w:rPr>
      </w:pPr>
      <w:r w:rsidRPr="00AF6DF9">
        <w:rPr>
          <w:rFonts w:cs="Arial"/>
          <w:lang w:val="es-CO" w:eastAsia="es-ES"/>
        </w:rPr>
        <w:t>Durante la vigencia se presentó el siguiente panorama a nivel nacional:</w:t>
      </w:r>
    </w:p>
    <w:p w:rsidR="00AF6DF9" w:rsidRPr="00AF6DF9" w:rsidRDefault="00AF6DF9" w:rsidP="00AF6DF9">
      <w:pPr>
        <w:spacing w:after="0" w:line="240" w:lineRule="auto"/>
        <w:jc w:val="center"/>
        <w:rPr>
          <w:rFonts w:cs="Arial"/>
          <w:lang w:val="es-CO" w:eastAsia="es-ES"/>
        </w:rPr>
      </w:pPr>
      <w:r w:rsidRPr="00AF6DF9">
        <w:rPr>
          <w:noProof/>
          <w:lang w:val="es-CO" w:eastAsia="es-CO"/>
        </w:rPr>
        <w:drawing>
          <wp:inline distT="0" distB="0" distL="0" distR="0" wp14:anchorId="6E5368A6" wp14:editId="10E2A823">
            <wp:extent cx="3990975" cy="1095007"/>
            <wp:effectExtent l="57150" t="0" r="47625" b="0"/>
            <wp:docPr id="57" name="Diagrama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AF6DF9" w:rsidRPr="00AF6DF9" w:rsidRDefault="00AF6DF9" w:rsidP="00D712DC">
      <w:pPr>
        <w:numPr>
          <w:ilvl w:val="0"/>
          <w:numId w:val="21"/>
        </w:numPr>
        <w:spacing w:after="0" w:line="240" w:lineRule="auto"/>
        <w:jc w:val="both"/>
        <w:rPr>
          <w:rFonts w:cs="Arial"/>
          <w:b/>
          <w:lang w:val="es-CO" w:eastAsia="es-ES"/>
        </w:rPr>
      </w:pPr>
      <w:r w:rsidRPr="00AF6DF9">
        <w:rPr>
          <w:rFonts w:cs="Arial"/>
          <w:b/>
          <w:lang w:val="es-CO" w:eastAsia="es-ES"/>
        </w:rPr>
        <w:t>Bienestarina Más®</w:t>
      </w:r>
    </w:p>
    <w:p w:rsidR="00AF6DF9" w:rsidRPr="00AF6DF9" w:rsidRDefault="00AF6DF9" w:rsidP="00AF6DF9">
      <w:pPr>
        <w:spacing w:after="0" w:line="240" w:lineRule="auto"/>
        <w:ind w:left="360"/>
        <w:jc w:val="both"/>
        <w:rPr>
          <w:rFonts w:cs="Arial"/>
          <w:b/>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Es un complemento nutricional diseñado especialmente para los niños y niñas menores de 5 años, fortificado con vitaminas, minerales y ácidos grasos esenciales. </w:t>
      </w: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Para la vigencia 2016 se produjeron 15.734 y se han distribuido </w:t>
      </w:r>
      <w:r w:rsidRPr="00AF6DF9">
        <w:rPr>
          <w:lang w:val="es-CO" w:eastAsia="es-ES"/>
        </w:rPr>
        <w:t>15.993</w:t>
      </w:r>
      <w:r w:rsidRPr="00AF6DF9">
        <w:rPr>
          <w:rFonts w:cs="Arial"/>
          <w:vertAlign w:val="superscript"/>
          <w:lang w:val="es-CO" w:eastAsia="es-ES"/>
        </w:rPr>
        <w:footnoteReference w:id="15"/>
      </w:r>
      <w:r w:rsidRPr="00AF6DF9">
        <w:rPr>
          <w:rFonts w:cs="Arial"/>
          <w:lang w:val="es-CO" w:eastAsia="es-ES"/>
        </w:rPr>
        <w:t xml:space="preserve"> toneladas para la atención de las modalidades del ICBF, entregas especiales por atención de emergencias y/o convenios firmados con otras entidades, logrando la atención de aproximadamente </w:t>
      </w:r>
      <w:r w:rsidRPr="00AF6DF9">
        <w:rPr>
          <w:lang w:val="es-CO" w:eastAsia="es-ES"/>
        </w:rPr>
        <w:t xml:space="preserve">2.700.000 </w:t>
      </w:r>
      <w:r w:rsidRPr="00AF6DF9">
        <w:rPr>
          <w:rFonts w:cs="Arial"/>
          <w:lang w:val="es-CO" w:eastAsia="es-ES"/>
        </w:rPr>
        <w:t>beneficiarios, en alrededor de 4.200 puntos de entrega.</w:t>
      </w:r>
    </w:p>
    <w:p w:rsidR="00AF6DF9" w:rsidRPr="00AF6DF9" w:rsidRDefault="00AF6DF9" w:rsidP="00AF6DF9">
      <w:pPr>
        <w:spacing w:after="0" w:line="240" w:lineRule="auto"/>
        <w:jc w:val="both"/>
        <w:rPr>
          <w:rFonts w:cs="Arial"/>
          <w:lang w:val="es-CO" w:eastAsia="es-ES"/>
        </w:rPr>
      </w:pPr>
    </w:p>
    <w:p w:rsidR="00A57ED9" w:rsidRDefault="00A57ED9" w:rsidP="00AF6DF9">
      <w:pPr>
        <w:spacing w:after="0" w:line="240" w:lineRule="auto"/>
        <w:jc w:val="both"/>
        <w:rPr>
          <w:rFonts w:cs="Arial"/>
          <w:lang w:val="es-CO" w:eastAsia="es-ES"/>
        </w:rPr>
      </w:pPr>
    </w:p>
    <w:p w:rsidR="00A57ED9" w:rsidRDefault="00A57ED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lastRenderedPageBreak/>
        <w:t>La Bienestarina Más® distribuida y los beneficiarios atendidos por modalidades de atención son:</w:t>
      </w:r>
    </w:p>
    <w:p w:rsidR="00AF6DF9" w:rsidRPr="00AF6DF9" w:rsidRDefault="00AF6DF9" w:rsidP="00AF6DF9">
      <w:pPr>
        <w:spacing w:after="0" w:line="240" w:lineRule="auto"/>
        <w:jc w:val="both"/>
        <w:rPr>
          <w:rFonts w:cs="Arial"/>
          <w:lang w:val="es-CO" w:eastAsia="es-ES"/>
        </w:rPr>
      </w:pPr>
    </w:p>
    <w:tbl>
      <w:tblPr>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6232"/>
        <w:gridCol w:w="1276"/>
        <w:gridCol w:w="1887"/>
      </w:tblGrid>
      <w:tr w:rsidR="00AF6DF9" w:rsidRPr="00872A46" w:rsidTr="00036700">
        <w:trPr>
          <w:trHeight w:val="20"/>
          <w:tblHeader/>
          <w:jc w:val="center"/>
        </w:trPr>
        <w:tc>
          <w:tcPr>
            <w:tcW w:w="3317" w:type="pct"/>
            <w:shd w:val="clear" w:color="auto" w:fill="76923C" w:themeFill="accent3" w:themeFillShade="BF"/>
            <w:vAlign w:val="center"/>
            <w:hideMark/>
          </w:tcPr>
          <w:p w:rsidR="00AF6DF9" w:rsidRPr="00DD06B2" w:rsidRDefault="00AF6DF9" w:rsidP="00AF6DF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Modalidad</w:t>
            </w:r>
          </w:p>
        </w:tc>
        <w:tc>
          <w:tcPr>
            <w:tcW w:w="679" w:type="pct"/>
            <w:shd w:val="clear" w:color="auto" w:fill="76923C" w:themeFill="accent3" w:themeFillShade="BF"/>
            <w:vAlign w:val="center"/>
            <w:hideMark/>
          </w:tcPr>
          <w:p w:rsidR="00AF6DF9" w:rsidRPr="00DD06B2" w:rsidRDefault="00AF6DF9" w:rsidP="00AF6DF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Cupos</w:t>
            </w:r>
          </w:p>
        </w:tc>
        <w:tc>
          <w:tcPr>
            <w:tcW w:w="1004" w:type="pct"/>
            <w:shd w:val="clear" w:color="auto" w:fill="76923C" w:themeFill="accent3" w:themeFillShade="BF"/>
            <w:vAlign w:val="center"/>
            <w:hideMark/>
          </w:tcPr>
          <w:p w:rsidR="00AF6DF9" w:rsidRPr="00DD06B2" w:rsidRDefault="00AF6DF9" w:rsidP="00AF6DF9">
            <w:pPr>
              <w:spacing w:after="0" w:line="240" w:lineRule="auto"/>
              <w:jc w:val="center"/>
              <w:rPr>
                <w:rFonts w:eastAsia="Times New Roman" w:cs="Arial"/>
                <w:b/>
                <w:color w:val="FFFFFF" w:themeColor="background1"/>
                <w:sz w:val="18"/>
                <w:szCs w:val="18"/>
                <w:lang w:val="es-CO" w:eastAsia="es-ES"/>
              </w:rPr>
            </w:pPr>
            <w:r w:rsidRPr="00DD06B2">
              <w:rPr>
                <w:rFonts w:eastAsia="Times New Roman" w:cs="Arial"/>
                <w:b/>
                <w:color w:val="FFFFFF" w:themeColor="background1"/>
                <w:sz w:val="18"/>
                <w:szCs w:val="18"/>
                <w:lang w:val="es-CO" w:eastAsia="es-ES"/>
              </w:rPr>
              <w:t>Toneladas de Bienestarina Más®</w:t>
            </w:r>
          </w:p>
        </w:tc>
      </w:tr>
      <w:tr w:rsidR="00AF6DF9" w:rsidRPr="00872A46" w:rsidTr="00036700">
        <w:trPr>
          <w:trHeight w:val="20"/>
          <w:jc w:val="center"/>
        </w:trPr>
        <w:tc>
          <w:tcPr>
            <w:tcW w:w="3317" w:type="pct"/>
            <w:shd w:val="clear" w:color="auto" w:fill="auto"/>
            <w:noWrap/>
            <w:vAlign w:val="center"/>
            <w:hideMark/>
          </w:tcPr>
          <w:p w:rsidR="00AF6DF9" w:rsidRPr="00872A46" w:rsidRDefault="00036700" w:rsidP="00036700">
            <w:pPr>
              <w:spacing w:after="0" w:line="240" w:lineRule="auto"/>
              <w:rPr>
                <w:rFonts w:eastAsia="Times New Roman" w:cs="Arial"/>
                <w:sz w:val="18"/>
                <w:szCs w:val="18"/>
                <w:lang w:val="es-CO" w:eastAsia="es-ES"/>
              </w:rPr>
            </w:pPr>
            <w:r>
              <w:rPr>
                <w:rFonts w:eastAsia="Times New Roman" w:cs="Arial"/>
                <w:sz w:val="18"/>
                <w:szCs w:val="18"/>
                <w:lang w:val="es-CO" w:eastAsia="es-ES"/>
              </w:rPr>
              <w:t xml:space="preserve">Atención a </w:t>
            </w:r>
            <w:r w:rsidR="00AF6DF9" w:rsidRPr="00872A46">
              <w:rPr>
                <w:rFonts w:eastAsia="Times New Roman" w:cs="Arial"/>
                <w:sz w:val="18"/>
                <w:szCs w:val="18"/>
                <w:lang w:val="es-CO" w:eastAsia="es-ES"/>
              </w:rPr>
              <w:t>niños hasta 3 años en establecimiento de reclusión de mujeres</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195</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Atención propia e intercultural</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4.347</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17,1</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adulto mayor</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83.041</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325,8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IRD</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220</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2,4</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organismos de salud</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465</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4,5</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otros</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6.263</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33,4</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PAE ETC</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679.676</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530,3</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 SENA</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250</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Bienestarina por convenios primera infancia</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1.212</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0,7</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Casa hogar</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598</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5,4</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CDI centro de desarrollo infantil</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271.955</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2.336,8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Centro de atención especializada</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1.776</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16,2</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Centros de emergencia</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1.036</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Desarrollo infantil en medio familiar</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532.130</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3.117,8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Entrega especial - tutela</w:t>
            </w:r>
          </w:p>
        </w:tc>
        <w:tc>
          <w:tcPr>
            <w:tcW w:w="679"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160</w:t>
            </w:r>
          </w:p>
        </w:tc>
        <w:tc>
          <w:tcPr>
            <w:tcW w:w="1004" w:type="pct"/>
            <w:shd w:val="clear" w:color="auto" w:fill="auto"/>
            <w:noWrap/>
            <w:vAlign w:val="center"/>
            <w:hideMark/>
          </w:tcPr>
          <w:p w:rsidR="00AF6DF9" w:rsidRPr="00872A46" w:rsidRDefault="00AF6DF9" w:rsidP="007E1A7A">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Entregas especiales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47.026</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42,0</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Externados - internados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26.394</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218,2</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Grado transición con atención integral</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6.711</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2,7</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comunitarios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628.262</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5.503,4</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FAMI</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131.797</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1.792,0</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gestores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8.764</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86,8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infantiles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103.482</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849,1</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sustituto</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14.430</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136,9</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Hogares tutores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152</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Inventario de seguridad</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393</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0,4</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Jardines sociales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7.268</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59,5</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Lactante y preescolar</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418</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Materno infantil</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9.475</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61,2</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Muestras ICBF</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0,0</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PMA</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25.541</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64,6</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 centros de Recuperación Nutricional</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305</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14,8</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 Enfoque Comunitario</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9.040</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89,9</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1.000 días -  mujer gestante y madre en periodo de lactancia</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12.309</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148,3</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Rn 1.000 días - tipo 2</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15.749</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149,6</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Sachet</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4.500</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0,5</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Stock de seguridad</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200</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0,2</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Territorios étnicos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16.362</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261,9</w:t>
            </w:r>
          </w:p>
        </w:tc>
      </w:tr>
      <w:tr w:rsidR="00AF6DF9" w:rsidRPr="00872A46" w:rsidTr="00036700">
        <w:trPr>
          <w:trHeight w:val="20"/>
          <w:jc w:val="center"/>
        </w:trPr>
        <w:tc>
          <w:tcPr>
            <w:tcW w:w="3317" w:type="pct"/>
            <w:shd w:val="clear" w:color="auto" w:fill="auto"/>
            <w:noWrap/>
            <w:vAlign w:val="center"/>
            <w:hideMark/>
          </w:tcPr>
          <w:p w:rsidR="00AF6DF9" w:rsidRPr="00872A46" w:rsidRDefault="00AF6DF9" w:rsidP="00AF6DF9">
            <w:pPr>
              <w:spacing w:after="0" w:line="240" w:lineRule="auto"/>
              <w:rPr>
                <w:rFonts w:eastAsia="Times New Roman" w:cs="Arial"/>
                <w:sz w:val="18"/>
                <w:szCs w:val="18"/>
                <w:lang w:val="es-CO" w:eastAsia="es-ES"/>
              </w:rPr>
            </w:pPr>
            <w:r w:rsidRPr="00872A46">
              <w:rPr>
                <w:rFonts w:eastAsia="Times New Roman" w:cs="Arial"/>
                <w:sz w:val="18"/>
                <w:szCs w:val="18"/>
                <w:lang w:val="es-CO" w:eastAsia="es-ES"/>
              </w:rPr>
              <w:t>Unidades móviles</w:t>
            </w:r>
          </w:p>
        </w:tc>
        <w:tc>
          <w:tcPr>
            <w:tcW w:w="679"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47.553</w:t>
            </w:r>
          </w:p>
        </w:tc>
        <w:tc>
          <w:tcPr>
            <w:tcW w:w="1004" w:type="pct"/>
            <w:shd w:val="clear" w:color="auto" w:fill="auto"/>
            <w:noWrap/>
            <w:vAlign w:val="center"/>
            <w:hideMark/>
          </w:tcPr>
          <w:p w:rsidR="00AF6DF9" w:rsidRPr="00872A46" w:rsidRDefault="00AF6DF9" w:rsidP="00AF6DF9">
            <w:pPr>
              <w:spacing w:after="0" w:line="240" w:lineRule="auto"/>
              <w:jc w:val="center"/>
              <w:rPr>
                <w:rFonts w:eastAsia="Times New Roman" w:cs="Arial"/>
                <w:sz w:val="18"/>
                <w:szCs w:val="18"/>
                <w:lang w:val="es-CO" w:eastAsia="es-ES"/>
              </w:rPr>
            </w:pPr>
            <w:r w:rsidRPr="00872A46">
              <w:rPr>
                <w:rFonts w:eastAsia="Times New Roman" w:cs="Arial"/>
                <w:sz w:val="18"/>
                <w:szCs w:val="18"/>
                <w:lang w:val="es-CO" w:eastAsia="es-ES"/>
              </w:rPr>
              <w:t>106,7</w:t>
            </w:r>
          </w:p>
        </w:tc>
      </w:tr>
      <w:tr w:rsidR="00AF6DF9" w:rsidRPr="00872A46" w:rsidTr="00036700">
        <w:trPr>
          <w:trHeight w:val="20"/>
          <w:jc w:val="center"/>
        </w:trPr>
        <w:tc>
          <w:tcPr>
            <w:tcW w:w="3317" w:type="pct"/>
            <w:shd w:val="clear" w:color="auto" w:fill="E2EFDA"/>
            <w:noWrap/>
            <w:vAlign w:val="center"/>
            <w:hideMark/>
          </w:tcPr>
          <w:p w:rsidR="00AF6DF9" w:rsidRPr="00DD06B2" w:rsidRDefault="00DD06B2" w:rsidP="00AF6DF9">
            <w:pPr>
              <w:spacing w:after="0" w:line="240" w:lineRule="auto"/>
              <w:rPr>
                <w:rFonts w:eastAsia="Times New Roman" w:cs="Arial"/>
                <w:b/>
                <w:sz w:val="18"/>
                <w:szCs w:val="18"/>
                <w:lang w:val="es-CO" w:eastAsia="es-ES"/>
              </w:rPr>
            </w:pPr>
            <w:r>
              <w:rPr>
                <w:rFonts w:eastAsia="Times New Roman" w:cs="Arial"/>
                <w:b/>
                <w:sz w:val="18"/>
                <w:szCs w:val="18"/>
                <w:lang w:val="es-CO" w:eastAsia="es-ES"/>
              </w:rPr>
              <w:t>Total G</w:t>
            </w:r>
            <w:r w:rsidR="00AF6DF9" w:rsidRPr="00DD06B2">
              <w:rPr>
                <w:rFonts w:eastAsia="Times New Roman" w:cs="Arial"/>
                <w:b/>
                <w:sz w:val="18"/>
                <w:szCs w:val="18"/>
                <w:lang w:val="es-CO" w:eastAsia="es-ES"/>
              </w:rPr>
              <w:t>eneral</w:t>
            </w:r>
          </w:p>
        </w:tc>
        <w:tc>
          <w:tcPr>
            <w:tcW w:w="679" w:type="pct"/>
            <w:shd w:val="clear" w:color="auto" w:fill="E2EFDA"/>
            <w:noWrap/>
            <w:vAlign w:val="center"/>
            <w:hideMark/>
          </w:tcPr>
          <w:p w:rsidR="00AF6DF9" w:rsidRPr="00DD06B2" w:rsidRDefault="00AF6DF9" w:rsidP="00AF6DF9">
            <w:pPr>
              <w:spacing w:after="0" w:line="240" w:lineRule="auto"/>
              <w:jc w:val="center"/>
              <w:rPr>
                <w:rFonts w:eastAsia="Times New Roman" w:cs="Arial"/>
                <w:b/>
                <w:sz w:val="18"/>
                <w:szCs w:val="18"/>
                <w:lang w:val="es-CO" w:eastAsia="es-ES"/>
              </w:rPr>
            </w:pPr>
            <w:r w:rsidRPr="00DD06B2">
              <w:rPr>
                <w:rFonts w:eastAsia="Times New Roman" w:cs="Arial"/>
                <w:b/>
                <w:sz w:val="18"/>
                <w:szCs w:val="18"/>
                <w:lang w:val="es-CO" w:eastAsia="es-ES"/>
              </w:rPr>
              <w:t>2.699.455</w:t>
            </w:r>
          </w:p>
        </w:tc>
        <w:tc>
          <w:tcPr>
            <w:tcW w:w="1004" w:type="pct"/>
            <w:shd w:val="clear" w:color="auto" w:fill="E2EFDA"/>
            <w:noWrap/>
            <w:vAlign w:val="center"/>
            <w:hideMark/>
          </w:tcPr>
          <w:p w:rsidR="00AF6DF9" w:rsidRPr="00DD06B2" w:rsidRDefault="00AF6DF9" w:rsidP="00AF6DF9">
            <w:pPr>
              <w:spacing w:after="0" w:line="240" w:lineRule="auto"/>
              <w:jc w:val="center"/>
              <w:rPr>
                <w:rFonts w:eastAsia="Times New Roman" w:cs="Arial"/>
                <w:b/>
                <w:sz w:val="18"/>
                <w:szCs w:val="18"/>
                <w:lang w:val="es-CO" w:eastAsia="es-ES"/>
              </w:rPr>
            </w:pPr>
            <w:r w:rsidRPr="00DD06B2">
              <w:rPr>
                <w:rFonts w:eastAsia="Times New Roman" w:cs="Arial"/>
                <w:b/>
                <w:sz w:val="18"/>
                <w:szCs w:val="18"/>
                <w:lang w:val="es-CO" w:eastAsia="es-ES"/>
              </w:rPr>
              <w:t>15.992,6</w:t>
            </w:r>
          </w:p>
        </w:tc>
      </w:tr>
    </w:tbl>
    <w:p w:rsidR="00AF6DF9" w:rsidRPr="00036700" w:rsidRDefault="00AF6DF9" w:rsidP="00AF6DF9">
      <w:pPr>
        <w:spacing w:after="0" w:line="240" w:lineRule="auto"/>
        <w:rPr>
          <w:rFonts w:cs="Arial"/>
          <w:sz w:val="16"/>
          <w:szCs w:val="16"/>
          <w:lang w:val="es-MX" w:eastAsia="es-ES"/>
        </w:rPr>
      </w:pPr>
      <w:r w:rsidRPr="00036700">
        <w:rPr>
          <w:rFonts w:cs="Arial"/>
          <w:b/>
          <w:sz w:val="16"/>
          <w:szCs w:val="16"/>
          <w:lang w:val="es-MX" w:eastAsia="es-ES"/>
        </w:rPr>
        <w:t>Fuente:</w:t>
      </w:r>
      <w:r w:rsidRPr="00036700">
        <w:rPr>
          <w:rFonts w:cs="Arial"/>
          <w:sz w:val="16"/>
          <w:szCs w:val="16"/>
          <w:lang w:val="es-MX" w:eastAsia="es-ES"/>
        </w:rPr>
        <w:t xml:space="preserve"> E-logistic – Sistema De Información De Entregas y Ficha técnica de programación – FT1, Dirección de Nutrición </w:t>
      </w:r>
    </w:p>
    <w:p w:rsidR="00B95837" w:rsidRPr="00036700" w:rsidRDefault="00B95837" w:rsidP="00B95837">
      <w:pPr>
        <w:rPr>
          <w:rFonts w:ascii="Calibri" w:hAnsi="Calibri"/>
          <w:i/>
          <w:iCs/>
          <w:sz w:val="16"/>
          <w:szCs w:val="16"/>
          <w:lang w:val="es-CO"/>
        </w:rPr>
      </w:pPr>
      <w:r w:rsidRPr="00036700">
        <w:rPr>
          <w:i/>
          <w:iCs/>
          <w:sz w:val="16"/>
          <w:szCs w:val="16"/>
        </w:rPr>
        <w:t>Nota: Información preliminar, sujeta a actualización del cierre oficial de metas sociales y financieras.</w:t>
      </w: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La Bienestarina Más® distribuida y los beneficiarios atendidos por Departamento son: </w:t>
      </w:r>
    </w:p>
    <w:p w:rsidR="00AF6DF9" w:rsidRPr="00AF6DF9" w:rsidRDefault="00AF6DF9" w:rsidP="00AF6DF9">
      <w:pPr>
        <w:spacing w:after="0" w:line="240" w:lineRule="auto"/>
        <w:jc w:val="both"/>
        <w:rPr>
          <w:rFonts w:cs="Arial"/>
          <w:lang w:val="es-MX"/>
        </w:rPr>
      </w:pPr>
    </w:p>
    <w:tbl>
      <w:tblPr>
        <w:tblW w:w="3883"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704"/>
        <w:gridCol w:w="2297"/>
        <w:gridCol w:w="2295"/>
      </w:tblGrid>
      <w:tr w:rsidR="00AF6DF9" w:rsidRPr="00872A46" w:rsidTr="00DD06B2">
        <w:trPr>
          <w:trHeight w:val="20"/>
          <w:tblHeader/>
          <w:jc w:val="center"/>
        </w:trPr>
        <w:tc>
          <w:tcPr>
            <w:tcW w:w="1853" w:type="pct"/>
            <w:shd w:val="clear" w:color="auto" w:fill="76923C" w:themeFill="accent3" w:themeFillShade="BF"/>
            <w:noWrap/>
            <w:vAlign w:val="center"/>
            <w:hideMark/>
          </w:tcPr>
          <w:p w:rsidR="00AF6DF9" w:rsidRPr="00DD06B2" w:rsidRDefault="00AF6DF9" w:rsidP="00AF6DF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Regional</w:t>
            </w:r>
          </w:p>
        </w:tc>
        <w:tc>
          <w:tcPr>
            <w:tcW w:w="1574" w:type="pct"/>
            <w:shd w:val="clear" w:color="auto" w:fill="76923C" w:themeFill="accent3" w:themeFillShade="BF"/>
            <w:noWrap/>
            <w:vAlign w:val="center"/>
            <w:hideMark/>
          </w:tcPr>
          <w:p w:rsidR="00AF6DF9" w:rsidRPr="00DD06B2" w:rsidRDefault="00AF6DF9" w:rsidP="00AF6DF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Beneficiarios</w:t>
            </w:r>
          </w:p>
        </w:tc>
        <w:tc>
          <w:tcPr>
            <w:tcW w:w="1573" w:type="pct"/>
            <w:shd w:val="clear" w:color="auto" w:fill="76923C" w:themeFill="accent3" w:themeFillShade="BF"/>
            <w:vAlign w:val="center"/>
            <w:hideMark/>
          </w:tcPr>
          <w:p w:rsidR="00AF6DF9" w:rsidRPr="00DD06B2" w:rsidRDefault="00DD06B2" w:rsidP="00AF6DF9">
            <w:pPr>
              <w:spacing w:after="0" w:line="240" w:lineRule="auto"/>
              <w:jc w:val="center"/>
              <w:rPr>
                <w:rFonts w:eastAsia="Times New Roman" w:cs="Arial"/>
                <w:b/>
                <w:bCs/>
                <w:color w:val="FFFFFF" w:themeColor="background1"/>
                <w:sz w:val="18"/>
                <w:szCs w:val="20"/>
              </w:rPr>
            </w:pPr>
            <w:r w:rsidRPr="00DD06B2">
              <w:rPr>
                <w:rFonts w:eastAsia="Times New Roman" w:cs="Arial"/>
                <w:b/>
                <w:bCs/>
                <w:color w:val="FFFFFF" w:themeColor="background1"/>
                <w:sz w:val="18"/>
                <w:szCs w:val="20"/>
              </w:rPr>
              <w:t>Distribución T</w:t>
            </w:r>
            <w:r w:rsidR="00AF6DF9" w:rsidRPr="00DD06B2">
              <w:rPr>
                <w:rFonts w:eastAsia="Times New Roman" w:cs="Arial"/>
                <w:b/>
                <w:bCs/>
                <w:color w:val="FFFFFF" w:themeColor="background1"/>
                <w:sz w:val="18"/>
                <w:szCs w:val="20"/>
              </w:rPr>
              <w:t>oneladas</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Amazonas</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val="es-CO" w:eastAsia="es-CO"/>
              </w:rPr>
            </w:pPr>
            <w:r w:rsidRPr="00872A46">
              <w:rPr>
                <w:rFonts w:cs="Arial"/>
                <w:sz w:val="18"/>
                <w:szCs w:val="18"/>
              </w:rPr>
              <w:t>6.202</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val="es-CO" w:eastAsia="es-CO"/>
              </w:rPr>
            </w:pPr>
            <w:r w:rsidRPr="00872A46">
              <w:rPr>
                <w:rFonts w:cs="Arial"/>
                <w:sz w:val="18"/>
                <w:szCs w:val="18"/>
              </w:rPr>
              <w:t>43,4</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Antioquia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162.430</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1.207,8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Arauca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15.729</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98,8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Atlántico</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277.380</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1.070,0</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Bogotá</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170.208</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1.224,9</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lastRenderedPageBreak/>
              <w:t>Bolívar</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141.539</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1.018,2</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Boyacá</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78.461</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519,4</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Caldas</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58.188</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377,1</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Caquetá</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20.595</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170,3</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Casanare</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12.014</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81,3</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Cauca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105.957</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685,3</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Cesar</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241.362</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689,4</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Chocó</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100.880</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416,7</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Córdoba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142.043</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986,5</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Cundinamarca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62.961</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461,7</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Guainía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3.593</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18,8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Guaviare</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6.971</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43,1</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Huila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66.561</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452,9</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La Guajira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206.716</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743,2</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Magdalena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94.030</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807,2</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Meta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33.920</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251,7</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Nariño</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103.183</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819,8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Norte de Santander</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69.648</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488,5</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Putumayo</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79.322</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148,7</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Quindío</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21.938</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148,4</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Risaralda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29.944</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195,5</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San Andrés</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2.776</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16,9</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Santander</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66.145</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553,3</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Sucre</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61.819</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509,8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Tolima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60.536</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540,0</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Valle del Cauca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188.939</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1.154,8</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Vaupés</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4.549</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30,2</w:t>
            </w:r>
          </w:p>
        </w:tc>
      </w:tr>
      <w:tr w:rsidR="00AF6DF9" w:rsidRPr="00872A46" w:rsidTr="00DD06B2">
        <w:trPr>
          <w:trHeight w:val="20"/>
          <w:jc w:val="center"/>
        </w:trPr>
        <w:tc>
          <w:tcPr>
            <w:tcW w:w="1853" w:type="pct"/>
            <w:shd w:val="clear" w:color="auto" w:fill="auto"/>
            <w:noWrap/>
            <w:vAlign w:val="center"/>
            <w:hideMark/>
          </w:tcPr>
          <w:p w:rsidR="00AF6DF9" w:rsidRPr="00872A46" w:rsidRDefault="00AF6DF9" w:rsidP="00AF6DF9">
            <w:pPr>
              <w:spacing w:after="0" w:line="240" w:lineRule="auto"/>
              <w:rPr>
                <w:rFonts w:eastAsia="Times New Roman" w:cs="Arial"/>
                <w:sz w:val="18"/>
                <w:szCs w:val="20"/>
              </w:rPr>
            </w:pPr>
            <w:r w:rsidRPr="00872A46">
              <w:rPr>
                <w:rFonts w:eastAsia="Times New Roman" w:cs="Arial"/>
                <w:sz w:val="18"/>
                <w:szCs w:val="20"/>
              </w:rPr>
              <w:t>Vichada</w:t>
            </w:r>
          </w:p>
        </w:tc>
        <w:tc>
          <w:tcPr>
            <w:tcW w:w="1574"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2.916</w:t>
            </w:r>
          </w:p>
        </w:tc>
        <w:tc>
          <w:tcPr>
            <w:tcW w:w="1573" w:type="pct"/>
            <w:shd w:val="clear" w:color="auto" w:fill="auto"/>
            <w:noWrap/>
            <w:vAlign w:val="center"/>
            <w:hideMark/>
          </w:tcPr>
          <w:p w:rsidR="00AF6DF9" w:rsidRPr="00872A46" w:rsidRDefault="00AF6DF9" w:rsidP="00AF6DF9">
            <w:pPr>
              <w:spacing w:after="0" w:line="240" w:lineRule="auto"/>
              <w:jc w:val="center"/>
              <w:rPr>
                <w:rFonts w:cs="Arial"/>
                <w:sz w:val="18"/>
                <w:szCs w:val="18"/>
                <w:lang w:eastAsia="es-ES"/>
              </w:rPr>
            </w:pPr>
            <w:r w:rsidRPr="00872A46">
              <w:rPr>
                <w:rFonts w:cs="Arial"/>
                <w:sz w:val="18"/>
                <w:szCs w:val="18"/>
              </w:rPr>
              <w:t>19,1</w:t>
            </w:r>
          </w:p>
        </w:tc>
      </w:tr>
      <w:tr w:rsidR="00AF6DF9" w:rsidRPr="00872A46" w:rsidTr="00DD06B2">
        <w:trPr>
          <w:trHeight w:val="20"/>
          <w:jc w:val="center"/>
        </w:trPr>
        <w:tc>
          <w:tcPr>
            <w:tcW w:w="1853" w:type="pct"/>
            <w:shd w:val="clear" w:color="auto" w:fill="E2EFDA"/>
            <w:noWrap/>
            <w:vAlign w:val="center"/>
            <w:hideMark/>
          </w:tcPr>
          <w:p w:rsidR="00AF6DF9" w:rsidRPr="00872A46" w:rsidRDefault="00AF6DF9" w:rsidP="00AF6DF9">
            <w:pPr>
              <w:spacing w:after="0" w:line="240" w:lineRule="auto"/>
              <w:rPr>
                <w:rFonts w:eastAsia="Times New Roman" w:cs="Arial"/>
                <w:b/>
                <w:bCs/>
                <w:sz w:val="18"/>
                <w:szCs w:val="20"/>
              </w:rPr>
            </w:pPr>
            <w:r w:rsidRPr="00872A46">
              <w:rPr>
                <w:rFonts w:eastAsia="Times New Roman" w:cs="Arial"/>
                <w:b/>
                <w:bCs/>
                <w:sz w:val="18"/>
                <w:szCs w:val="20"/>
              </w:rPr>
              <w:t>Total General</w:t>
            </w:r>
          </w:p>
        </w:tc>
        <w:tc>
          <w:tcPr>
            <w:tcW w:w="1574" w:type="pct"/>
            <w:shd w:val="clear" w:color="auto" w:fill="E2EFDA"/>
            <w:noWrap/>
            <w:vAlign w:val="center"/>
            <w:hideMark/>
          </w:tcPr>
          <w:p w:rsidR="00AF6DF9" w:rsidRPr="00872A46" w:rsidRDefault="00AF6DF9" w:rsidP="00AF6DF9">
            <w:pPr>
              <w:spacing w:after="0" w:line="240" w:lineRule="auto"/>
              <w:jc w:val="center"/>
              <w:rPr>
                <w:rFonts w:cs="Arial"/>
                <w:b/>
                <w:bCs/>
                <w:sz w:val="18"/>
                <w:szCs w:val="18"/>
                <w:lang w:eastAsia="es-ES"/>
              </w:rPr>
            </w:pPr>
            <w:r w:rsidRPr="00872A46">
              <w:rPr>
                <w:rFonts w:cs="Arial"/>
                <w:b/>
                <w:bCs/>
                <w:sz w:val="18"/>
                <w:szCs w:val="18"/>
              </w:rPr>
              <w:t>2.699.455</w:t>
            </w:r>
          </w:p>
        </w:tc>
        <w:tc>
          <w:tcPr>
            <w:tcW w:w="1573" w:type="pct"/>
            <w:shd w:val="clear" w:color="auto" w:fill="E2EFDA"/>
            <w:noWrap/>
            <w:vAlign w:val="center"/>
            <w:hideMark/>
          </w:tcPr>
          <w:p w:rsidR="00AF6DF9" w:rsidRPr="00872A46" w:rsidRDefault="00AF6DF9" w:rsidP="00AF6DF9">
            <w:pPr>
              <w:spacing w:after="0" w:line="240" w:lineRule="auto"/>
              <w:jc w:val="center"/>
              <w:rPr>
                <w:rFonts w:eastAsia="Times New Roman" w:cs="Arial"/>
                <w:b/>
                <w:bCs/>
                <w:sz w:val="18"/>
                <w:szCs w:val="18"/>
              </w:rPr>
            </w:pPr>
            <w:r w:rsidRPr="00872A46">
              <w:rPr>
                <w:rFonts w:cs="Arial"/>
                <w:b/>
                <w:bCs/>
                <w:sz w:val="18"/>
                <w:szCs w:val="18"/>
              </w:rPr>
              <w:t>15.992,6</w:t>
            </w:r>
          </w:p>
        </w:tc>
      </w:tr>
    </w:tbl>
    <w:p w:rsidR="00AF6DF9" w:rsidRPr="00A57ED9" w:rsidRDefault="00AF6DF9" w:rsidP="00AF6DF9">
      <w:pPr>
        <w:spacing w:after="0" w:line="240" w:lineRule="auto"/>
        <w:ind w:left="993" w:right="1041"/>
        <w:rPr>
          <w:rFonts w:cs="Arial"/>
          <w:sz w:val="16"/>
          <w:szCs w:val="16"/>
          <w:lang w:val="es-MX" w:eastAsia="es-ES"/>
        </w:rPr>
      </w:pPr>
      <w:r w:rsidRPr="00A57ED9">
        <w:rPr>
          <w:rFonts w:cs="Arial"/>
          <w:sz w:val="16"/>
          <w:szCs w:val="16"/>
          <w:lang w:val="es-MX" w:eastAsia="es-ES"/>
        </w:rPr>
        <w:t>Fuente: E-log</w:t>
      </w:r>
      <w:r w:rsidR="00036700">
        <w:rPr>
          <w:rFonts w:cs="Arial"/>
          <w:sz w:val="16"/>
          <w:szCs w:val="16"/>
          <w:lang w:val="es-MX" w:eastAsia="es-ES"/>
        </w:rPr>
        <w:t>istic – Sistema de Información de Entregas y Ficha técnica de P</w:t>
      </w:r>
      <w:r w:rsidRPr="00A57ED9">
        <w:rPr>
          <w:rFonts w:cs="Arial"/>
          <w:sz w:val="16"/>
          <w:szCs w:val="16"/>
          <w:lang w:val="es-MX" w:eastAsia="es-ES"/>
        </w:rPr>
        <w:t>rogramación – FT1, Dirección de Nutrición.</w:t>
      </w:r>
    </w:p>
    <w:p w:rsidR="00B95837" w:rsidRPr="00A57ED9" w:rsidRDefault="00B95837" w:rsidP="00B95837">
      <w:pPr>
        <w:rPr>
          <w:rFonts w:ascii="Calibri" w:hAnsi="Calibri"/>
          <w:i/>
          <w:iCs/>
          <w:sz w:val="16"/>
          <w:szCs w:val="16"/>
          <w:lang w:val="es-CO"/>
        </w:rPr>
      </w:pPr>
      <w:r w:rsidRPr="00A57ED9">
        <w:rPr>
          <w:i/>
          <w:iCs/>
          <w:sz w:val="16"/>
          <w:szCs w:val="16"/>
        </w:rPr>
        <w:t xml:space="preserve">                     </w:t>
      </w:r>
      <w:r w:rsidR="00A57ED9">
        <w:rPr>
          <w:i/>
          <w:iCs/>
          <w:sz w:val="16"/>
          <w:szCs w:val="16"/>
        </w:rPr>
        <w:t xml:space="preserve"> </w:t>
      </w:r>
      <w:r w:rsidRPr="00A57ED9">
        <w:rPr>
          <w:i/>
          <w:iCs/>
          <w:sz w:val="16"/>
          <w:szCs w:val="16"/>
        </w:rPr>
        <w:t>Nota: Información preliminar, sujeta a actualización del cierre oficial de metas sociales y financieras.</w:t>
      </w:r>
    </w:p>
    <w:p w:rsidR="00AF6DF9" w:rsidRPr="00AF6DF9" w:rsidRDefault="00AF6DF9" w:rsidP="00D712DC">
      <w:pPr>
        <w:numPr>
          <w:ilvl w:val="0"/>
          <w:numId w:val="21"/>
        </w:numPr>
        <w:spacing w:after="0" w:line="240" w:lineRule="auto"/>
        <w:jc w:val="both"/>
        <w:rPr>
          <w:rFonts w:cs="Arial"/>
          <w:b/>
          <w:lang w:val="es-CO" w:eastAsia="es-ES"/>
        </w:rPr>
      </w:pPr>
      <w:r w:rsidRPr="00AF6DF9">
        <w:rPr>
          <w:rFonts w:cs="Arial"/>
          <w:b/>
          <w:lang w:val="es-CO" w:eastAsia="es-ES"/>
        </w:rPr>
        <w:t>Bienestarina® Líquida</w:t>
      </w:r>
    </w:p>
    <w:p w:rsidR="00AF6DF9" w:rsidRPr="00AF6DF9" w:rsidRDefault="00AF6DF9" w:rsidP="00AF6DF9">
      <w:pPr>
        <w:spacing w:after="0" w:line="240" w:lineRule="auto"/>
        <w:ind w:left="360"/>
        <w:jc w:val="both"/>
        <w:rPr>
          <w:rFonts w:cs="Arial"/>
          <w:b/>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Es un Alimento De Alto Valor Nutricional Ultra Alta Temperatura UAT (UHT) larga vida elaborado a partir de la mezcla vegetal tradicional de Bienestarina, con leche líquida entera, fue diseñado especialmente para la población de aquellas regiones del país donde no cuentan con agua potable y para los casos donde se requiere un complemento nutricional listo para el consumo. </w:t>
      </w:r>
    </w:p>
    <w:p w:rsidR="00AF6DF9" w:rsidRPr="00AF6DF9" w:rsidRDefault="00AF6DF9" w:rsidP="00AF6DF9">
      <w:pPr>
        <w:spacing w:after="0" w:line="240" w:lineRule="auto"/>
        <w:jc w:val="both"/>
        <w:rPr>
          <w:rFonts w:cs="Arial"/>
          <w:b/>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Para la vigencia 2016 se produjeron </w:t>
      </w:r>
      <w:r w:rsidRPr="00AF6DF9">
        <w:rPr>
          <w:lang w:val="es-CO" w:eastAsia="es-ES"/>
        </w:rPr>
        <w:t xml:space="preserve">10.551.348 </w:t>
      </w:r>
      <w:r w:rsidRPr="00AF6DF9">
        <w:rPr>
          <w:rFonts w:cs="Arial"/>
          <w:lang w:val="es-CO" w:eastAsia="es-ES"/>
        </w:rPr>
        <w:t xml:space="preserve">toneladas y se han distribuido </w:t>
      </w:r>
      <w:r w:rsidRPr="00AF6DF9">
        <w:rPr>
          <w:lang w:val="es-CO" w:eastAsia="es-ES"/>
        </w:rPr>
        <w:t>14.744.448</w:t>
      </w:r>
      <w:r w:rsidRPr="00AF6DF9">
        <w:rPr>
          <w:rFonts w:cs="Arial"/>
          <w:vertAlign w:val="superscript"/>
          <w:lang w:val="es-CO" w:eastAsia="es-ES"/>
        </w:rPr>
        <w:footnoteReference w:id="16"/>
      </w:r>
      <w:r w:rsidRPr="00AF6DF9">
        <w:rPr>
          <w:rFonts w:cs="Arial"/>
          <w:lang w:val="es-CO" w:eastAsia="es-ES"/>
        </w:rPr>
        <w:t xml:space="preserve"> unidades de Bienestarina® Líquida, logrando brindar la atención de más de </w:t>
      </w:r>
      <w:r w:rsidRPr="00AF6DF9">
        <w:rPr>
          <w:lang w:val="es-CO" w:eastAsia="es-ES"/>
        </w:rPr>
        <w:t xml:space="preserve">449.283 </w:t>
      </w:r>
      <w:r w:rsidRPr="00AF6DF9">
        <w:rPr>
          <w:rFonts w:cs="Arial"/>
          <w:lang w:val="es-CO" w:eastAsia="es-ES"/>
        </w:rPr>
        <w:t xml:space="preserve">beneficiarios por entregas especiales y algunas modalidades ICBF a nivel nacional y especialmente en el departamento de La Guajira.  </w:t>
      </w:r>
    </w:p>
    <w:p w:rsidR="00AF6DF9" w:rsidRPr="00AF6DF9" w:rsidRDefault="00AF6DF9" w:rsidP="00AF6DF9">
      <w:pPr>
        <w:spacing w:after="0" w:line="240" w:lineRule="auto"/>
        <w:jc w:val="both"/>
        <w:rPr>
          <w:rFonts w:cs="Arial"/>
          <w:lang w:val="es-CO" w:eastAsia="es-ES"/>
        </w:rPr>
      </w:pPr>
    </w:p>
    <w:p w:rsidR="00A57ED9" w:rsidRDefault="00A57ED9" w:rsidP="00AF6DF9">
      <w:pPr>
        <w:spacing w:after="0" w:line="240" w:lineRule="auto"/>
        <w:jc w:val="both"/>
        <w:rPr>
          <w:rFonts w:cs="Arial"/>
          <w:lang w:val="es-CO" w:eastAsia="es-ES"/>
        </w:rPr>
      </w:pPr>
    </w:p>
    <w:p w:rsidR="00A57ED9" w:rsidRDefault="00A57ED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lastRenderedPageBreak/>
        <w:t xml:space="preserve">La Bienestarina® Líquida distribuida y los beneficiarios atendidos por modalidades de atención son:  </w:t>
      </w:r>
    </w:p>
    <w:p w:rsidR="00AF6DF9" w:rsidRDefault="00AF6DF9" w:rsidP="00AF6DF9">
      <w:pPr>
        <w:spacing w:after="0" w:line="240" w:lineRule="auto"/>
        <w:jc w:val="both"/>
        <w:rPr>
          <w:rFonts w:cs="Arial"/>
          <w:lang w:val="es-CO" w:eastAsia="es-ES"/>
        </w:rPr>
      </w:pPr>
    </w:p>
    <w:tbl>
      <w:tblPr>
        <w:tblW w:w="4994"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213"/>
        <w:gridCol w:w="2564"/>
        <w:gridCol w:w="2607"/>
      </w:tblGrid>
      <w:tr w:rsidR="00AF6DF9" w:rsidRPr="00AF6DF9" w:rsidTr="00DD06B2">
        <w:trPr>
          <w:trHeight w:val="20"/>
          <w:tblHeader/>
          <w:jc w:val="center"/>
        </w:trPr>
        <w:tc>
          <w:tcPr>
            <w:tcW w:w="2245" w:type="pct"/>
            <w:shd w:val="clear" w:color="auto" w:fill="76923C" w:themeFill="accent3" w:themeFillShade="BF"/>
            <w:noWrap/>
            <w:vAlign w:val="center"/>
            <w:hideMark/>
          </w:tcPr>
          <w:p w:rsidR="00AF6DF9" w:rsidRPr="00DD06B2" w:rsidRDefault="00AF6DF9" w:rsidP="00AF6DF9">
            <w:pPr>
              <w:spacing w:after="0" w:line="240" w:lineRule="auto"/>
              <w:jc w:val="center"/>
              <w:rPr>
                <w:rFonts w:cs="Arial"/>
                <w:b/>
                <w:color w:val="FFFFFF" w:themeColor="background1"/>
                <w:sz w:val="18"/>
                <w:szCs w:val="20"/>
              </w:rPr>
            </w:pPr>
            <w:r w:rsidRPr="00DD06B2">
              <w:rPr>
                <w:rFonts w:cs="Arial"/>
                <w:b/>
                <w:color w:val="FFFFFF" w:themeColor="background1"/>
                <w:sz w:val="18"/>
                <w:szCs w:val="20"/>
              </w:rPr>
              <w:t>Modalidad</w:t>
            </w:r>
          </w:p>
        </w:tc>
        <w:tc>
          <w:tcPr>
            <w:tcW w:w="1366" w:type="pct"/>
            <w:shd w:val="clear" w:color="auto" w:fill="76923C" w:themeFill="accent3" w:themeFillShade="BF"/>
            <w:vAlign w:val="center"/>
            <w:hideMark/>
          </w:tcPr>
          <w:p w:rsidR="00AF6DF9" w:rsidRPr="00DD06B2" w:rsidRDefault="00AF6DF9" w:rsidP="00AF6DF9">
            <w:pPr>
              <w:spacing w:after="0" w:line="240" w:lineRule="auto"/>
              <w:jc w:val="center"/>
              <w:rPr>
                <w:rFonts w:cs="Arial"/>
                <w:b/>
                <w:color w:val="FFFFFF" w:themeColor="background1"/>
                <w:sz w:val="18"/>
                <w:szCs w:val="20"/>
              </w:rPr>
            </w:pPr>
            <w:r w:rsidRPr="00DD06B2">
              <w:rPr>
                <w:rFonts w:cs="Arial"/>
                <w:b/>
                <w:color w:val="FFFFFF" w:themeColor="background1"/>
                <w:sz w:val="18"/>
                <w:szCs w:val="20"/>
              </w:rPr>
              <w:t>Beneficiarios</w:t>
            </w:r>
          </w:p>
        </w:tc>
        <w:tc>
          <w:tcPr>
            <w:tcW w:w="1389" w:type="pct"/>
            <w:shd w:val="clear" w:color="auto" w:fill="76923C" w:themeFill="accent3" w:themeFillShade="BF"/>
            <w:vAlign w:val="center"/>
            <w:hideMark/>
          </w:tcPr>
          <w:p w:rsidR="00AF6DF9" w:rsidRPr="00DD06B2" w:rsidRDefault="00AF6DF9" w:rsidP="00AF6DF9">
            <w:pPr>
              <w:spacing w:after="0" w:line="240" w:lineRule="auto"/>
              <w:jc w:val="center"/>
              <w:rPr>
                <w:rFonts w:cs="Arial"/>
                <w:b/>
                <w:color w:val="FFFFFF" w:themeColor="background1"/>
                <w:sz w:val="18"/>
                <w:szCs w:val="20"/>
              </w:rPr>
            </w:pPr>
            <w:r w:rsidRPr="00DD06B2">
              <w:rPr>
                <w:rFonts w:cs="Arial"/>
                <w:b/>
                <w:color w:val="FFFFFF" w:themeColor="background1"/>
                <w:sz w:val="18"/>
                <w:szCs w:val="20"/>
              </w:rPr>
              <w:t>Distribución unidades</w:t>
            </w:r>
          </w:p>
        </w:tc>
      </w:tr>
      <w:tr w:rsidR="00AF6DF9" w:rsidRPr="00AF6DF9" w:rsidTr="00DD06B2">
        <w:trPr>
          <w:trHeight w:val="20"/>
          <w:jc w:val="center"/>
        </w:trPr>
        <w:tc>
          <w:tcPr>
            <w:tcW w:w="2245" w:type="pct"/>
            <w:shd w:val="clear" w:color="auto" w:fill="auto"/>
            <w:noWrap/>
            <w:hideMark/>
          </w:tcPr>
          <w:p w:rsidR="00AF6DF9" w:rsidRPr="00AF6DF9" w:rsidRDefault="00AF6DF9" w:rsidP="00AF6DF9">
            <w:pPr>
              <w:spacing w:after="0" w:line="240" w:lineRule="auto"/>
              <w:jc w:val="both"/>
              <w:rPr>
                <w:rFonts w:cs="Arial"/>
                <w:sz w:val="18"/>
                <w:szCs w:val="18"/>
                <w:lang w:val="es-CO" w:eastAsia="es-CO"/>
              </w:rPr>
            </w:pPr>
            <w:r w:rsidRPr="00AF6DF9">
              <w:rPr>
                <w:rFonts w:cs="Arial"/>
                <w:sz w:val="18"/>
                <w:szCs w:val="18"/>
              </w:rPr>
              <w:t>Desarrollo infantil en medio familiar</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81.714</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7.243.384</w:t>
            </w:r>
          </w:p>
        </w:tc>
      </w:tr>
      <w:tr w:rsidR="00AF6DF9" w:rsidRPr="00AF6DF9" w:rsidTr="00DD06B2">
        <w:trPr>
          <w:trHeight w:val="20"/>
          <w:jc w:val="center"/>
        </w:trPr>
        <w:tc>
          <w:tcPr>
            <w:tcW w:w="2245" w:type="pct"/>
            <w:shd w:val="clear" w:color="auto" w:fill="auto"/>
            <w:noWrap/>
            <w:hideMark/>
          </w:tcPr>
          <w:p w:rsidR="00AF6DF9" w:rsidRPr="00AF6DF9" w:rsidRDefault="00AF6DF9" w:rsidP="00AF6DF9">
            <w:pPr>
              <w:spacing w:after="0" w:line="240" w:lineRule="auto"/>
              <w:jc w:val="both"/>
              <w:rPr>
                <w:rFonts w:cs="Arial"/>
                <w:sz w:val="18"/>
                <w:szCs w:val="18"/>
                <w:lang w:val="es-CO" w:eastAsia="es-CO"/>
              </w:rPr>
            </w:pPr>
            <w:r w:rsidRPr="00AF6DF9">
              <w:rPr>
                <w:rFonts w:cs="Arial"/>
                <w:sz w:val="18"/>
                <w:szCs w:val="18"/>
              </w:rPr>
              <w:t>Entrega Especiales</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241.477</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4.567.313</w:t>
            </w:r>
          </w:p>
        </w:tc>
      </w:tr>
      <w:tr w:rsidR="00AF6DF9" w:rsidRPr="00AF6DF9" w:rsidTr="00DD06B2">
        <w:trPr>
          <w:trHeight w:val="20"/>
          <w:jc w:val="center"/>
        </w:trPr>
        <w:tc>
          <w:tcPr>
            <w:tcW w:w="2245" w:type="pct"/>
            <w:shd w:val="clear" w:color="auto" w:fill="auto"/>
            <w:noWrap/>
            <w:hideMark/>
          </w:tcPr>
          <w:p w:rsidR="00AF6DF9" w:rsidRPr="00AF6DF9" w:rsidRDefault="00AF6DF9" w:rsidP="00AF6DF9">
            <w:pPr>
              <w:spacing w:after="0" w:line="240" w:lineRule="auto"/>
              <w:jc w:val="both"/>
              <w:rPr>
                <w:rFonts w:cs="Arial"/>
                <w:sz w:val="18"/>
                <w:szCs w:val="18"/>
                <w:lang w:val="es-CO" w:eastAsia="es-CO"/>
              </w:rPr>
            </w:pPr>
            <w:r w:rsidRPr="00AF6DF9">
              <w:rPr>
                <w:rFonts w:cs="Arial"/>
                <w:sz w:val="18"/>
                <w:szCs w:val="18"/>
              </w:rPr>
              <w:t>Entrega especial modalidades ICBF</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50.096</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517.504</w:t>
            </w:r>
          </w:p>
        </w:tc>
      </w:tr>
      <w:tr w:rsidR="00AF6DF9" w:rsidRPr="00AF6DF9" w:rsidTr="00DD06B2">
        <w:trPr>
          <w:trHeight w:val="20"/>
          <w:jc w:val="center"/>
        </w:trPr>
        <w:tc>
          <w:tcPr>
            <w:tcW w:w="2245" w:type="pct"/>
            <w:shd w:val="clear" w:color="auto" w:fill="auto"/>
            <w:noWrap/>
            <w:hideMark/>
          </w:tcPr>
          <w:p w:rsidR="00AF6DF9" w:rsidRPr="00AF6DF9" w:rsidRDefault="00AF6DF9" w:rsidP="00AF6DF9">
            <w:pPr>
              <w:spacing w:after="0" w:line="240" w:lineRule="auto"/>
              <w:jc w:val="both"/>
              <w:rPr>
                <w:rFonts w:cs="Arial"/>
                <w:sz w:val="18"/>
                <w:szCs w:val="18"/>
                <w:lang w:val="es-CO" w:eastAsia="es-CO"/>
              </w:rPr>
            </w:pPr>
            <w:r w:rsidRPr="00AF6DF9">
              <w:rPr>
                <w:rFonts w:cs="Arial"/>
                <w:sz w:val="18"/>
                <w:szCs w:val="18"/>
              </w:rPr>
              <w:t>Rn - Recuperación Nutricional</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18.299</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lang w:val="es-CO" w:eastAsia="es-CO"/>
              </w:rPr>
            </w:pPr>
            <w:r w:rsidRPr="00AF6DF9">
              <w:rPr>
                <w:color w:val="000000"/>
                <w:sz w:val="18"/>
                <w:szCs w:val="18"/>
              </w:rPr>
              <w:t>913.737</w:t>
            </w:r>
          </w:p>
        </w:tc>
      </w:tr>
      <w:tr w:rsidR="00AF6DF9" w:rsidRPr="00AF6DF9" w:rsidTr="00DD06B2">
        <w:trPr>
          <w:trHeight w:val="20"/>
          <w:jc w:val="center"/>
        </w:trPr>
        <w:tc>
          <w:tcPr>
            <w:tcW w:w="2245" w:type="pct"/>
            <w:shd w:val="clear" w:color="auto" w:fill="auto"/>
            <w:noWrap/>
          </w:tcPr>
          <w:p w:rsidR="00AF6DF9" w:rsidRPr="00AF6DF9" w:rsidRDefault="00AF6DF9" w:rsidP="00AF6DF9">
            <w:pPr>
              <w:spacing w:after="0" w:line="240" w:lineRule="auto"/>
              <w:jc w:val="both"/>
              <w:rPr>
                <w:rFonts w:cs="Arial"/>
                <w:sz w:val="18"/>
                <w:szCs w:val="18"/>
              </w:rPr>
            </w:pPr>
            <w:r w:rsidRPr="00AF6DF9">
              <w:rPr>
                <w:rFonts w:cs="Arial"/>
                <w:color w:val="000000"/>
                <w:sz w:val="18"/>
                <w:szCs w:val="18"/>
              </w:rPr>
              <w:t>Unidades móviles</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color w:val="000000"/>
                <w:sz w:val="18"/>
                <w:szCs w:val="18"/>
              </w:rPr>
              <w:t>56.209</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color w:val="000000"/>
                <w:sz w:val="18"/>
                <w:szCs w:val="18"/>
              </w:rPr>
              <w:t>1.489.510</w:t>
            </w:r>
          </w:p>
        </w:tc>
      </w:tr>
      <w:tr w:rsidR="00AF6DF9" w:rsidRPr="00AF6DF9" w:rsidTr="00DD06B2">
        <w:trPr>
          <w:trHeight w:val="20"/>
          <w:jc w:val="center"/>
        </w:trPr>
        <w:tc>
          <w:tcPr>
            <w:tcW w:w="2245" w:type="pct"/>
            <w:shd w:val="clear" w:color="auto" w:fill="auto"/>
            <w:noWrap/>
          </w:tcPr>
          <w:p w:rsidR="00AF6DF9" w:rsidRPr="00AF6DF9" w:rsidRDefault="00AF6DF9" w:rsidP="00AF6DF9">
            <w:pPr>
              <w:spacing w:after="0" w:line="240" w:lineRule="auto"/>
              <w:jc w:val="both"/>
              <w:rPr>
                <w:rFonts w:cs="Arial"/>
                <w:sz w:val="18"/>
                <w:szCs w:val="18"/>
              </w:rPr>
            </w:pPr>
            <w:r w:rsidRPr="00AF6DF9">
              <w:rPr>
                <w:rFonts w:cs="Arial"/>
                <w:color w:val="000000"/>
                <w:sz w:val="18"/>
                <w:szCs w:val="18"/>
              </w:rPr>
              <w:t>Stock de seguridad</w:t>
            </w:r>
          </w:p>
        </w:tc>
        <w:tc>
          <w:tcPr>
            <w:tcW w:w="136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color w:val="000000"/>
                <w:sz w:val="18"/>
                <w:szCs w:val="18"/>
              </w:rPr>
              <w:t>1.488</w:t>
            </w:r>
          </w:p>
        </w:tc>
        <w:tc>
          <w:tcPr>
            <w:tcW w:w="1389"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color w:val="000000"/>
                <w:sz w:val="18"/>
                <w:szCs w:val="18"/>
              </w:rPr>
              <w:t>13.000</w:t>
            </w:r>
          </w:p>
        </w:tc>
      </w:tr>
      <w:tr w:rsidR="00AF6DF9" w:rsidRPr="00AF6DF9" w:rsidTr="00DD06B2">
        <w:trPr>
          <w:trHeight w:val="20"/>
          <w:jc w:val="center"/>
        </w:trPr>
        <w:tc>
          <w:tcPr>
            <w:tcW w:w="2245" w:type="pct"/>
            <w:shd w:val="clear" w:color="auto" w:fill="E2EFDA"/>
            <w:noWrap/>
            <w:vAlign w:val="center"/>
            <w:hideMark/>
          </w:tcPr>
          <w:p w:rsidR="00AF6DF9" w:rsidRPr="00AF6DF9" w:rsidRDefault="00AF6DF9" w:rsidP="00AF6DF9">
            <w:pPr>
              <w:spacing w:after="0" w:line="240" w:lineRule="auto"/>
              <w:jc w:val="center"/>
              <w:rPr>
                <w:rFonts w:cs="Arial"/>
                <w:b/>
                <w:sz w:val="18"/>
                <w:szCs w:val="18"/>
              </w:rPr>
            </w:pPr>
            <w:r w:rsidRPr="00AF6DF9">
              <w:rPr>
                <w:rFonts w:eastAsia="Times New Roman" w:cs="Arial"/>
                <w:b/>
                <w:bCs/>
                <w:color w:val="000000"/>
                <w:sz w:val="18"/>
                <w:szCs w:val="18"/>
                <w:lang w:val="es-CO" w:eastAsia="es-CO"/>
              </w:rPr>
              <w:t>Total General</w:t>
            </w:r>
          </w:p>
        </w:tc>
        <w:tc>
          <w:tcPr>
            <w:tcW w:w="1366" w:type="pct"/>
            <w:shd w:val="clear" w:color="auto" w:fill="E2EFDA"/>
            <w:noWrap/>
            <w:vAlign w:val="center"/>
          </w:tcPr>
          <w:p w:rsidR="00AF6DF9" w:rsidRPr="00AF6DF9" w:rsidRDefault="00AF6DF9" w:rsidP="00AF6DF9">
            <w:pPr>
              <w:spacing w:after="0" w:line="240" w:lineRule="auto"/>
              <w:jc w:val="center"/>
              <w:rPr>
                <w:rFonts w:cs="Arial"/>
                <w:b/>
                <w:sz w:val="18"/>
                <w:szCs w:val="18"/>
                <w:lang w:val="es-CO" w:eastAsia="es-CO"/>
              </w:rPr>
            </w:pPr>
            <w:r w:rsidRPr="00AF6DF9">
              <w:rPr>
                <w:rFonts w:cs="Arial"/>
                <w:b/>
                <w:bCs/>
                <w:color w:val="000000"/>
                <w:sz w:val="18"/>
                <w:szCs w:val="18"/>
              </w:rPr>
              <w:t>449.283</w:t>
            </w:r>
          </w:p>
        </w:tc>
        <w:tc>
          <w:tcPr>
            <w:tcW w:w="1389" w:type="pct"/>
            <w:shd w:val="clear" w:color="auto" w:fill="E2EFDA"/>
            <w:noWrap/>
            <w:vAlign w:val="center"/>
          </w:tcPr>
          <w:p w:rsidR="00AF6DF9" w:rsidRPr="00AF6DF9" w:rsidRDefault="00AF6DF9" w:rsidP="00AF6DF9">
            <w:pPr>
              <w:spacing w:after="0" w:line="240" w:lineRule="auto"/>
              <w:jc w:val="center"/>
              <w:rPr>
                <w:rFonts w:cs="Arial"/>
                <w:b/>
                <w:sz w:val="18"/>
                <w:szCs w:val="18"/>
                <w:lang w:val="es-CO" w:eastAsia="es-CO"/>
              </w:rPr>
            </w:pPr>
            <w:r w:rsidRPr="00AF6DF9">
              <w:rPr>
                <w:rFonts w:cs="Arial"/>
                <w:b/>
                <w:bCs/>
                <w:color w:val="000000"/>
                <w:sz w:val="18"/>
                <w:szCs w:val="18"/>
              </w:rPr>
              <w:t>14.744.448</w:t>
            </w:r>
          </w:p>
        </w:tc>
      </w:tr>
    </w:tbl>
    <w:p w:rsidR="00AF6DF9" w:rsidRDefault="00AF6DF9" w:rsidP="00AF6DF9">
      <w:pPr>
        <w:spacing w:after="0" w:line="240" w:lineRule="auto"/>
        <w:rPr>
          <w:rFonts w:cs="Arial"/>
          <w:sz w:val="16"/>
          <w:lang w:val="es-MX" w:eastAsia="es-ES"/>
        </w:rPr>
      </w:pPr>
      <w:r w:rsidRPr="00AF6DF9">
        <w:rPr>
          <w:rFonts w:cs="Arial"/>
          <w:sz w:val="16"/>
          <w:lang w:val="es-MX" w:eastAsia="es-ES"/>
        </w:rPr>
        <w:t xml:space="preserve">Fuente: E-logistic – Sistema De Información De Entregas y Ficha técnica de programación – FT1, Dirección de Nutrición. </w:t>
      </w:r>
    </w:p>
    <w:p w:rsidR="00B95837" w:rsidRPr="00D21160" w:rsidRDefault="00B95837" w:rsidP="00B95837">
      <w:pPr>
        <w:rPr>
          <w:rFonts w:ascii="Calibri" w:hAnsi="Calibri"/>
          <w:i/>
          <w:iCs/>
          <w:sz w:val="16"/>
          <w:lang w:val="es-CO"/>
        </w:rPr>
      </w:pPr>
      <w:r w:rsidRPr="00D21160">
        <w:rPr>
          <w:i/>
          <w:iCs/>
          <w:sz w:val="16"/>
        </w:rPr>
        <w:t>Nota: Información preliminar, sujeta a actualización del cierre oficial de metas sociales y financieras.</w:t>
      </w: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La Bienestarina Más® distribuida y los beneficiarios atendidos por regional son: </w:t>
      </w:r>
    </w:p>
    <w:p w:rsidR="00AF6DF9" w:rsidRPr="00AF6DF9" w:rsidRDefault="00AF6DF9" w:rsidP="00AF6DF9">
      <w:pPr>
        <w:spacing w:after="0" w:line="240" w:lineRule="auto"/>
        <w:rPr>
          <w:rFonts w:cs="Arial"/>
        </w:rPr>
      </w:pPr>
    </w:p>
    <w:tbl>
      <w:tblPr>
        <w:tblW w:w="3451"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134"/>
        <w:gridCol w:w="1489"/>
        <w:gridCol w:w="1861"/>
      </w:tblGrid>
      <w:tr w:rsidR="00AF6DF9" w:rsidRPr="00AF6DF9" w:rsidTr="00DD06B2">
        <w:trPr>
          <w:trHeight w:val="19"/>
          <w:tblHeader/>
          <w:jc w:val="center"/>
        </w:trPr>
        <w:tc>
          <w:tcPr>
            <w:tcW w:w="2417" w:type="pct"/>
            <w:shd w:val="clear" w:color="auto" w:fill="76923C" w:themeFill="accent3" w:themeFillShade="BF"/>
            <w:noWrap/>
            <w:vAlign w:val="center"/>
            <w:hideMark/>
          </w:tcPr>
          <w:p w:rsidR="00AF6DF9" w:rsidRPr="00DD06B2" w:rsidRDefault="00AF6DF9" w:rsidP="00AF6DF9">
            <w:pPr>
              <w:spacing w:after="0" w:line="240" w:lineRule="auto"/>
              <w:jc w:val="center"/>
              <w:rPr>
                <w:rFonts w:cs="Arial"/>
                <w:b/>
                <w:color w:val="FFFFFF" w:themeColor="background1"/>
                <w:sz w:val="18"/>
                <w:szCs w:val="20"/>
              </w:rPr>
            </w:pPr>
            <w:r w:rsidRPr="00DD06B2">
              <w:rPr>
                <w:rFonts w:cs="Arial"/>
                <w:b/>
                <w:color w:val="FFFFFF" w:themeColor="background1"/>
                <w:sz w:val="18"/>
                <w:szCs w:val="20"/>
              </w:rPr>
              <w:t>Regional</w:t>
            </w:r>
          </w:p>
        </w:tc>
        <w:tc>
          <w:tcPr>
            <w:tcW w:w="1148" w:type="pct"/>
            <w:shd w:val="clear" w:color="auto" w:fill="76923C" w:themeFill="accent3" w:themeFillShade="BF"/>
            <w:noWrap/>
            <w:vAlign w:val="center"/>
            <w:hideMark/>
          </w:tcPr>
          <w:p w:rsidR="00AF6DF9" w:rsidRPr="00DD06B2" w:rsidRDefault="00AF6DF9" w:rsidP="00AF6DF9">
            <w:pPr>
              <w:spacing w:after="0" w:line="240" w:lineRule="auto"/>
              <w:jc w:val="center"/>
              <w:rPr>
                <w:rFonts w:cs="Arial"/>
                <w:b/>
                <w:color w:val="FFFFFF" w:themeColor="background1"/>
                <w:sz w:val="18"/>
                <w:szCs w:val="20"/>
              </w:rPr>
            </w:pPr>
            <w:r w:rsidRPr="00DD06B2">
              <w:rPr>
                <w:rFonts w:cs="Arial"/>
                <w:b/>
                <w:color w:val="FFFFFF" w:themeColor="background1"/>
                <w:sz w:val="18"/>
                <w:szCs w:val="20"/>
              </w:rPr>
              <w:t>Beneficiarios</w:t>
            </w:r>
          </w:p>
        </w:tc>
        <w:tc>
          <w:tcPr>
            <w:tcW w:w="1436" w:type="pct"/>
            <w:shd w:val="clear" w:color="auto" w:fill="76923C" w:themeFill="accent3" w:themeFillShade="BF"/>
            <w:vAlign w:val="center"/>
            <w:hideMark/>
          </w:tcPr>
          <w:p w:rsidR="00AF6DF9" w:rsidRPr="00DD06B2" w:rsidRDefault="00DD06B2" w:rsidP="00AF6DF9">
            <w:pPr>
              <w:spacing w:after="0" w:line="240" w:lineRule="auto"/>
              <w:jc w:val="center"/>
              <w:rPr>
                <w:rFonts w:cs="Arial"/>
                <w:b/>
                <w:color w:val="FFFFFF" w:themeColor="background1"/>
                <w:sz w:val="18"/>
                <w:szCs w:val="20"/>
              </w:rPr>
            </w:pPr>
            <w:r>
              <w:rPr>
                <w:rFonts w:cs="Arial"/>
                <w:b/>
                <w:color w:val="FFFFFF" w:themeColor="background1"/>
                <w:sz w:val="18"/>
                <w:szCs w:val="20"/>
              </w:rPr>
              <w:t>Distribución U</w:t>
            </w:r>
            <w:r w:rsidR="00AF6DF9" w:rsidRPr="00DD06B2">
              <w:rPr>
                <w:rFonts w:cs="Arial"/>
                <w:b/>
                <w:color w:val="FFFFFF" w:themeColor="background1"/>
                <w:sz w:val="18"/>
                <w:szCs w:val="20"/>
              </w:rPr>
              <w:t>nidades</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lang w:val="es-CO" w:eastAsia="es-CO"/>
              </w:rPr>
            </w:pPr>
            <w:r w:rsidRPr="00AF6DF9">
              <w:rPr>
                <w:rFonts w:cs="Arial"/>
                <w:sz w:val="18"/>
                <w:szCs w:val="20"/>
              </w:rPr>
              <w:t>Amazonas</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4.350</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100.440</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Antioquia</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1.730</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20.592</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Arauca</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80</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7.920</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Atlántico</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24.673</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297.711</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Bogotá</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4.042</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106.713</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Bolívar</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16.985</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447.136</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Boyacá</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585</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36.639</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Caldas</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1.431</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9.909</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Caquetá</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258</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23.688</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Casanare</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600</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54.000</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Cauca</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3.214</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36.144</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Cesar</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4.976</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305.082</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Chocó</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71.041</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2.001.312</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Córdoba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113.664</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681.485</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Cundinamarca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3791</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112.140</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Guainía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500</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28.512</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Guaviare</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265</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9.063</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Huila</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462</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53.604</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La guajira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108.067</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8.196.958</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Magdalena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21.023</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657.864</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Meta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3.978</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73.233</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Nariño</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4.101</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190.944</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Norte de Santander</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616</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26.324</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Putumayo</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1.228</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34.632</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Risaralda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5.885</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91.449</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Santander</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520</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29.016</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Sucre</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32.276</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840.834</w:t>
            </w:r>
          </w:p>
        </w:tc>
      </w:tr>
      <w:tr w:rsidR="00AF6DF9" w:rsidRPr="00AF6DF9" w:rsidTr="00DD06B2">
        <w:trPr>
          <w:trHeight w:val="19"/>
          <w:jc w:val="center"/>
        </w:trPr>
        <w:tc>
          <w:tcPr>
            <w:tcW w:w="2417" w:type="pct"/>
            <w:shd w:val="clear" w:color="auto" w:fill="auto"/>
            <w:noWrap/>
            <w:vAlign w:val="center"/>
          </w:tcPr>
          <w:p w:rsidR="00AF6DF9" w:rsidRPr="00AF6DF9" w:rsidRDefault="00AF6DF9" w:rsidP="00AF6DF9">
            <w:pPr>
              <w:spacing w:after="0" w:line="240" w:lineRule="auto"/>
              <w:jc w:val="both"/>
              <w:rPr>
                <w:rFonts w:cs="Arial"/>
                <w:sz w:val="18"/>
                <w:szCs w:val="20"/>
              </w:rPr>
            </w:pPr>
            <w:r w:rsidRPr="00AF6DF9">
              <w:rPr>
                <w:rFonts w:cs="Arial"/>
                <w:sz w:val="18"/>
                <w:szCs w:val="20"/>
              </w:rPr>
              <w:t>Tolima</w:t>
            </w:r>
          </w:p>
        </w:tc>
        <w:tc>
          <w:tcPr>
            <w:tcW w:w="1148"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502</w:t>
            </w:r>
          </w:p>
        </w:tc>
        <w:tc>
          <w:tcPr>
            <w:tcW w:w="1436" w:type="pct"/>
            <w:shd w:val="clear" w:color="auto" w:fill="auto"/>
            <w:noWrap/>
            <w:vAlign w:val="center"/>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16.632</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Valle del cauca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15.572</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145.716</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Vaupés</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908</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33.120</w:t>
            </w:r>
          </w:p>
        </w:tc>
      </w:tr>
      <w:tr w:rsidR="00AF6DF9" w:rsidRPr="00AF6DF9" w:rsidTr="00DD06B2">
        <w:trPr>
          <w:trHeight w:val="19"/>
          <w:jc w:val="center"/>
        </w:trPr>
        <w:tc>
          <w:tcPr>
            <w:tcW w:w="2417" w:type="pct"/>
            <w:shd w:val="clear" w:color="auto" w:fill="auto"/>
            <w:noWrap/>
            <w:vAlign w:val="center"/>
            <w:hideMark/>
          </w:tcPr>
          <w:p w:rsidR="00AF6DF9" w:rsidRPr="00AF6DF9" w:rsidRDefault="00AF6DF9" w:rsidP="00AF6DF9">
            <w:pPr>
              <w:spacing w:after="0" w:line="240" w:lineRule="auto"/>
              <w:jc w:val="both"/>
              <w:rPr>
                <w:rFonts w:cs="Arial"/>
                <w:sz w:val="18"/>
                <w:szCs w:val="20"/>
              </w:rPr>
            </w:pPr>
            <w:r w:rsidRPr="00AF6DF9">
              <w:rPr>
                <w:rFonts w:cs="Arial"/>
                <w:sz w:val="18"/>
                <w:szCs w:val="20"/>
              </w:rPr>
              <w:t>Vichada</w:t>
            </w:r>
          </w:p>
        </w:tc>
        <w:tc>
          <w:tcPr>
            <w:tcW w:w="1148"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1.960</w:t>
            </w:r>
          </w:p>
        </w:tc>
        <w:tc>
          <w:tcPr>
            <w:tcW w:w="1436" w:type="pct"/>
            <w:shd w:val="clear" w:color="auto" w:fill="auto"/>
            <w:noWrap/>
            <w:vAlign w:val="center"/>
            <w:hideMark/>
          </w:tcPr>
          <w:p w:rsidR="00AF6DF9" w:rsidRPr="00AF6DF9" w:rsidRDefault="00AF6DF9" w:rsidP="00AF6DF9">
            <w:pPr>
              <w:spacing w:after="0" w:line="240" w:lineRule="auto"/>
              <w:jc w:val="center"/>
              <w:rPr>
                <w:rFonts w:cs="Arial"/>
                <w:sz w:val="18"/>
                <w:szCs w:val="18"/>
              </w:rPr>
            </w:pPr>
            <w:r w:rsidRPr="00AF6DF9">
              <w:rPr>
                <w:rFonts w:cs="Arial"/>
                <w:color w:val="000000"/>
                <w:sz w:val="18"/>
                <w:szCs w:val="18"/>
              </w:rPr>
              <w:t>75.636</w:t>
            </w:r>
          </w:p>
        </w:tc>
      </w:tr>
      <w:tr w:rsidR="00AF6DF9" w:rsidRPr="00AF6DF9" w:rsidTr="00DD06B2">
        <w:trPr>
          <w:trHeight w:val="19"/>
          <w:jc w:val="center"/>
        </w:trPr>
        <w:tc>
          <w:tcPr>
            <w:tcW w:w="2417" w:type="pct"/>
            <w:shd w:val="clear" w:color="auto" w:fill="E2EFDA"/>
            <w:noWrap/>
            <w:vAlign w:val="center"/>
            <w:hideMark/>
          </w:tcPr>
          <w:p w:rsidR="00AF6DF9" w:rsidRPr="00AF6DF9" w:rsidRDefault="00AF6DF9" w:rsidP="00AF6DF9">
            <w:pPr>
              <w:spacing w:after="0" w:line="240" w:lineRule="auto"/>
              <w:jc w:val="both"/>
              <w:rPr>
                <w:rFonts w:cs="Arial"/>
                <w:b/>
                <w:sz w:val="18"/>
                <w:szCs w:val="20"/>
              </w:rPr>
            </w:pPr>
            <w:r w:rsidRPr="00AF6DF9">
              <w:rPr>
                <w:rFonts w:cs="Arial"/>
                <w:b/>
                <w:sz w:val="18"/>
                <w:szCs w:val="20"/>
              </w:rPr>
              <w:t>Total General</w:t>
            </w:r>
          </w:p>
        </w:tc>
        <w:tc>
          <w:tcPr>
            <w:tcW w:w="1148" w:type="pct"/>
            <w:shd w:val="clear" w:color="auto" w:fill="E2EFDA"/>
            <w:noWrap/>
            <w:vAlign w:val="center"/>
            <w:hideMark/>
          </w:tcPr>
          <w:p w:rsidR="00AF6DF9" w:rsidRPr="00AF6DF9" w:rsidRDefault="00AF6DF9" w:rsidP="00AF6DF9">
            <w:pPr>
              <w:spacing w:after="0" w:line="240" w:lineRule="auto"/>
              <w:jc w:val="center"/>
              <w:rPr>
                <w:rFonts w:cs="Arial"/>
                <w:b/>
                <w:sz w:val="18"/>
                <w:szCs w:val="18"/>
              </w:rPr>
            </w:pPr>
            <w:r w:rsidRPr="00AF6DF9">
              <w:rPr>
                <w:rFonts w:cs="Arial"/>
                <w:b/>
                <w:bCs/>
                <w:color w:val="000000"/>
                <w:sz w:val="18"/>
                <w:szCs w:val="18"/>
              </w:rPr>
              <w:t>449.283</w:t>
            </w:r>
          </w:p>
        </w:tc>
        <w:tc>
          <w:tcPr>
            <w:tcW w:w="1436" w:type="pct"/>
            <w:shd w:val="clear" w:color="auto" w:fill="E2EFDA"/>
            <w:noWrap/>
            <w:vAlign w:val="center"/>
            <w:hideMark/>
          </w:tcPr>
          <w:p w:rsidR="00AF6DF9" w:rsidRPr="00AF6DF9" w:rsidRDefault="00AF6DF9" w:rsidP="00AF6DF9">
            <w:pPr>
              <w:spacing w:after="0" w:line="240" w:lineRule="auto"/>
              <w:jc w:val="center"/>
              <w:rPr>
                <w:rFonts w:cs="Arial"/>
                <w:b/>
                <w:sz w:val="18"/>
                <w:szCs w:val="18"/>
              </w:rPr>
            </w:pPr>
            <w:r w:rsidRPr="00AF6DF9">
              <w:rPr>
                <w:rFonts w:cs="Arial"/>
                <w:b/>
                <w:bCs/>
                <w:color w:val="000000"/>
                <w:sz w:val="18"/>
                <w:szCs w:val="18"/>
              </w:rPr>
              <w:t>14.744.448</w:t>
            </w:r>
          </w:p>
        </w:tc>
      </w:tr>
    </w:tbl>
    <w:p w:rsidR="00AF6DF9" w:rsidRPr="00AF6DF9" w:rsidRDefault="00AF6DF9" w:rsidP="00036700">
      <w:pPr>
        <w:tabs>
          <w:tab w:val="left" w:pos="1701"/>
        </w:tabs>
        <w:spacing w:after="0" w:line="240" w:lineRule="auto"/>
        <w:ind w:left="1560" w:right="1467"/>
        <w:rPr>
          <w:rFonts w:cs="Arial"/>
          <w:lang w:val="es-MX" w:eastAsia="es-ES"/>
        </w:rPr>
      </w:pPr>
      <w:r w:rsidRPr="00DD06B2">
        <w:rPr>
          <w:rFonts w:cs="Arial"/>
          <w:b/>
          <w:sz w:val="16"/>
          <w:lang w:val="es-MX" w:eastAsia="es-ES"/>
        </w:rPr>
        <w:t>Fuente:</w:t>
      </w:r>
      <w:r w:rsidRPr="00AF6DF9">
        <w:rPr>
          <w:rFonts w:cs="Arial"/>
          <w:sz w:val="16"/>
          <w:lang w:val="es-MX" w:eastAsia="es-ES"/>
        </w:rPr>
        <w:t xml:space="preserve"> E-logistic – Sistema De Información De Entregas y Ficha técnica de programación – FT1, Dirección de Nutrición.</w:t>
      </w:r>
    </w:p>
    <w:p w:rsidR="00B95837" w:rsidRDefault="00B95837" w:rsidP="00B95837">
      <w:pPr>
        <w:ind w:left="708" w:firstLine="708"/>
        <w:rPr>
          <w:i/>
          <w:iCs/>
          <w:sz w:val="16"/>
        </w:rPr>
      </w:pPr>
      <w:r>
        <w:rPr>
          <w:i/>
          <w:iCs/>
          <w:sz w:val="16"/>
          <w:lang w:val="es-MX"/>
        </w:rPr>
        <w:t xml:space="preserve">   </w:t>
      </w:r>
      <w:r w:rsidRPr="00D21160">
        <w:rPr>
          <w:i/>
          <w:iCs/>
          <w:sz w:val="16"/>
        </w:rPr>
        <w:t>Nota: Información preliminar, sujeta a actualización del cierre oficial de metas sociales y financieras.</w:t>
      </w:r>
    </w:p>
    <w:p w:rsidR="00AF6DF9" w:rsidRPr="00AF6DF9" w:rsidRDefault="00AF6DF9" w:rsidP="00D712DC">
      <w:pPr>
        <w:numPr>
          <w:ilvl w:val="0"/>
          <w:numId w:val="21"/>
        </w:numPr>
        <w:spacing w:after="0" w:line="240" w:lineRule="auto"/>
        <w:jc w:val="both"/>
        <w:rPr>
          <w:rFonts w:cs="Arial"/>
          <w:b/>
          <w:lang w:val="es-CO" w:eastAsia="es-ES"/>
        </w:rPr>
      </w:pPr>
      <w:r w:rsidRPr="00AF6DF9">
        <w:rPr>
          <w:rFonts w:cs="Arial"/>
          <w:b/>
          <w:lang w:val="es-CO" w:eastAsia="es-ES"/>
        </w:rPr>
        <w:lastRenderedPageBreak/>
        <w:t xml:space="preserve">Nutrigest </w:t>
      </w:r>
    </w:p>
    <w:p w:rsidR="00AF6DF9" w:rsidRPr="00AF6DF9" w:rsidRDefault="00AF6DF9" w:rsidP="00AF6DF9">
      <w:pPr>
        <w:spacing w:after="0" w:line="240" w:lineRule="auto"/>
        <w:ind w:left="360"/>
        <w:jc w:val="both"/>
        <w:rPr>
          <w:rFonts w:cs="Arial"/>
          <w:b/>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Es un alimento dirigido específicamente para mujeres gestantes y madres en periodo de lactancia, diseñado de acuerdo con las necesidades de nutrientes específicas para este grupo de edad y considerando la importancia de la intervención desde los primeros 1.000 días.  </w:t>
      </w: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Para la vigencia 2016 se logró la distribución de 17,8 toneladas de Nutrigest, prueba piloto del producto exclusivo para mujer gestante y madre en periodo de lactancia y para la atención de 4.841 beneficiaras.</w:t>
      </w:r>
    </w:p>
    <w:p w:rsidR="00AF6DF9" w:rsidRDefault="00AF6DF9" w:rsidP="00AF6DF9">
      <w:pPr>
        <w:spacing w:after="0" w:line="240" w:lineRule="auto"/>
        <w:jc w:val="both"/>
        <w:rPr>
          <w:rFonts w:cs="Arial"/>
          <w:b/>
          <w:lang w:val="es-CO" w:eastAsia="es-ES"/>
        </w:rPr>
      </w:pPr>
    </w:p>
    <w:p w:rsidR="00AF6DF9" w:rsidRPr="00AF6DF9" w:rsidRDefault="00AF6DF9" w:rsidP="00D712DC">
      <w:pPr>
        <w:numPr>
          <w:ilvl w:val="0"/>
          <w:numId w:val="21"/>
        </w:numPr>
        <w:spacing w:after="0" w:line="240" w:lineRule="auto"/>
        <w:jc w:val="both"/>
        <w:rPr>
          <w:rFonts w:cs="Arial"/>
          <w:b/>
          <w:lang w:val="es-CO" w:eastAsia="es-ES"/>
        </w:rPr>
      </w:pPr>
      <w:r w:rsidRPr="00AF6DF9">
        <w:rPr>
          <w:rFonts w:cs="Arial"/>
          <w:b/>
          <w:lang w:val="es-CO" w:eastAsia="es-ES"/>
        </w:rPr>
        <w:t xml:space="preserve">Galleta Fortificada </w:t>
      </w:r>
    </w:p>
    <w:p w:rsidR="00AF6DF9" w:rsidRPr="00AF6DF9" w:rsidRDefault="00AF6DF9" w:rsidP="00AF6DF9">
      <w:pPr>
        <w:spacing w:after="0" w:line="240" w:lineRule="auto"/>
        <w:ind w:left="360"/>
        <w:jc w:val="both"/>
        <w:rPr>
          <w:rFonts w:cs="Arial"/>
          <w:b/>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Es un complemento nutricional fortificado con un balance de micronutrientes (hierro en forma aminoquelada y ácido fólico) diseñado para la cubrir requerimientos nutricionales de la población infantil vulnerable.   </w:t>
      </w: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Se logró la distribución de </w:t>
      </w:r>
      <w:r w:rsidRPr="00AF6DF9">
        <w:rPr>
          <w:lang w:val="es-CO" w:eastAsia="es-ES"/>
        </w:rPr>
        <w:t xml:space="preserve">47.541.652 </w:t>
      </w:r>
      <w:r w:rsidRPr="00AF6DF9">
        <w:rPr>
          <w:rFonts w:cs="Arial"/>
          <w:lang w:val="es-CO" w:eastAsia="es-ES"/>
        </w:rPr>
        <w:t xml:space="preserve">unidades de galletas fortificadas, logrando la atención de más de </w:t>
      </w:r>
      <w:r w:rsidRPr="00AF6DF9">
        <w:rPr>
          <w:lang w:val="es-CO" w:eastAsia="es-ES"/>
        </w:rPr>
        <w:t xml:space="preserve">741.838 </w:t>
      </w:r>
      <w:r w:rsidRPr="00AF6DF9">
        <w:rPr>
          <w:rFonts w:cs="Arial"/>
          <w:lang w:val="es-CO" w:eastAsia="es-ES"/>
        </w:rPr>
        <w:t>beneficiarios a través de entregas especiales y en algunas modalidades ICBF</w:t>
      </w:r>
    </w:p>
    <w:p w:rsidR="00B95837" w:rsidRDefault="00B95837" w:rsidP="00045FE1">
      <w:pPr>
        <w:ind w:firstLine="708"/>
        <w:rPr>
          <w:rFonts w:eastAsia="Times New Roman"/>
          <w:b/>
          <w:lang w:val="es-CO" w:eastAsia="es-ES"/>
        </w:rPr>
      </w:pPr>
      <w:bookmarkStart w:id="95" w:name="_Toc469470697"/>
      <w:bookmarkStart w:id="96" w:name="_Toc472519271"/>
    </w:p>
    <w:p w:rsidR="00AF6DF9" w:rsidRPr="00E81A77" w:rsidRDefault="00AF6DF9" w:rsidP="00045FE1">
      <w:pPr>
        <w:ind w:firstLine="708"/>
        <w:rPr>
          <w:rFonts w:eastAsia="Times New Roman"/>
          <w:b/>
          <w:lang w:val="es-CO" w:eastAsia="es-ES"/>
        </w:rPr>
      </w:pPr>
      <w:r w:rsidRPr="00E81A77">
        <w:rPr>
          <w:rFonts w:eastAsia="Times New Roman"/>
          <w:b/>
          <w:lang w:val="es-CO" w:eastAsia="es-ES"/>
        </w:rPr>
        <w:t>Desarrollo de nuevos productos</w:t>
      </w:r>
      <w:bookmarkEnd w:id="95"/>
      <w:bookmarkEnd w:id="96"/>
      <w:r w:rsidRPr="00E81A77">
        <w:rPr>
          <w:rFonts w:eastAsia="Times New Roman"/>
          <w:b/>
          <w:lang w:val="es-CO" w:eastAsia="es-ES"/>
        </w:rPr>
        <w:t xml:space="preserve"> </w:t>
      </w: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En la vigencia 2016 se contempla el diseño, desarrollo y producción de nuevos productos, iniciando con la reformulación de la Bienestarina® Líquida y con el desarrollo de pruebas piloto de 12 prototipos en el Centro de Investigación Idea Labs - Mogi Guaçu / Brasil y la priorización de 3 prototipos para aplicación de pruebas de aceptabilidad con los Beneficiarios de las modalidades del ICBF. </w:t>
      </w:r>
    </w:p>
    <w:p w:rsidR="00AF6DF9" w:rsidRPr="00AF6DF9" w:rsidRDefault="00AF6DF9" w:rsidP="00045FE1">
      <w:pPr>
        <w:rPr>
          <w:lang w:val="es-CO" w:eastAsia="es-ES"/>
        </w:rPr>
      </w:pPr>
    </w:p>
    <w:p w:rsidR="00AF6DF9" w:rsidRPr="00E81A77" w:rsidRDefault="00AF6DF9" w:rsidP="00045FE1">
      <w:pPr>
        <w:ind w:firstLine="708"/>
        <w:rPr>
          <w:rFonts w:eastAsia="Times New Roman"/>
          <w:b/>
          <w:lang w:val="es-CO" w:eastAsia="es-ES"/>
        </w:rPr>
      </w:pPr>
      <w:bookmarkStart w:id="97" w:name="_Toc469470698"/>
      <w:bookmarkStart w:id="98" w:name="_Toc472519272"/>
      <w:r w:rsidRPr="00E81A77">
        <w:rPr>
          <w:rFonts w:eastAsia="Times New Roman"/>
          <w:b/>
          <w:lang w:val="es-CO" w:eastAsia="es-ES"/>
        </w:rPr>
        <w:t>Seguimiento y control a los Alimentos de Alto Valor Nutricional</w:t>
      </w:r>
      <w:bookmarkEnd w:id="97"/>
      <w:bookmarkEnd w:id="98"/>
    </w:p>
    <w:p w:rsidR="00AF6DF9" w:rsidRPr="00AF6DF9" w:rsidRDefault="00AF6DF9" w:rsidP="00AF6DF9">
      <w:pPr>
        <w:spacing w:after="0" w:line="240" w:lineRule="auto"/>
        <w:jc w:val="both"/>
        <w:rPr>
          <w:rFonts w:cs="Arial"/>
          <w:lang w:val="es-CO" w:eastAsia="es-ES"/>
        </w:rPr>
      </w:pPr>
      <w:r w:rsidRPr="00AF6DF9">
        <w:rPr>
          <w:rFonts w:cs="Arial"/>
          <w:lang w:val="es-CO" w:eastAsia="es-ES"/>
        </w:rPr>
        <w:t>A continuación, se presentan las acciones realizadas para garantizar la calidad y cumplimiento en la producción y distribución de alimentos de alto valor nutricional:</w:t>
      </w: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b/>
          <w:lang w:val="es-CO" w:eastAsia="es-ES"/>
        </w:rPr>
      </w:pPr>
      <w:r w:rsidRPr="00AF6DF9">
        <w:rPr>
          <w:rFonts w:cs="Arial"/>
          <w:b/>
          <w:lang w:val="es-CO" w:eastAsia="es-ES"/>
        </w:rPr>
        <w:t xml:space="preserve">Producción </w:t>
      </w:r>
    </w:p>
    <w:p w:rsidR="00AF6DF9" w:rsidRPr="00AF6DF9" w:rsidRDefault="00AF6DF9" w:rsidP="00AF6DF9">
      <w:pPr>
        <w:spacing w:after="0" w:line="240" w:lineRule="auto"/>
        <w:jc w:val="both"/>
        <w:rPr>
          <w:rFonts w:cs="Arial"/>
          <w:lang w:val="es-CO" w:eastAsia="es-ES"/>
        </w:rPr>
      </w:pPr>
    </w:p>
    <w:p w:rsid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Inspección de los estándares de calidad, métodos y procedimientos utilizados en los procesos de producción de Bienestarina Más®, con los cuales se han mantenido las siguientes certificaciones en las plantas de producción de Alimentos de Alto Valor Nutricional del ICBF así:</w:t>
      </w:r>
    </w:p>
    <w:p w:rsidR="00A57ED9" w:rsidRPr="00AF6DF9" w:rsidRDefault="00A57ED9" w:rsidP="00A57ED9">
      <w:pPr>
        <w:spacing w:after="0" w:line="240" w:lineRule="auto"/>
        <w:ind w:left="426"/>
        <w:jc w:val="both"/>
        <w:rPr>
          <w:rFonts w:cs="Arial"/>
          <w:lang w:val="es-CO" w:eastAsia="es-ES"/>
        </w:rPr>
      </w:pPr>
    </w:p>
    <w:p w:rsidR="00AF6DF9" w:rsidRDefault="00AF6DF9" w:rsidP="00D712DC">
      <w:pPr>
        <w:numPr>
          <w:ilvl w:val="0"/>
          <w:numId w:val="20"/>
        </w:numPr>
        <w:spacing w:after="0" w:line="240" w:lineRule="auto"/>
        <w:jc w:val="both"/>
        <w:rPr>
          <w:rFonts w:cs="Arial"/>
          <w:lang w:val="es-CO" w:eastAsia="es-ES"/>
        </w:rPr>
      </w:pPr>
      <w:r w:rsidRPr="00AF6DF9">
        <w:rPr>
          <w:rFonts w:cs="Arial"/>
          <w:lang w:val="es-CO" w:eastAsia="es-ES"/>
        </w:rPr>
        <w:t>Certificación del Sistema de Gestión de la Calidad ISO 9001:2008 por ICONTEC hasta el 2017.</w:t>
      </w:r>
    </w:p>
    <w:p w:rsidR="00A57ED9" w:rsidRPr="00AF6DF9" w:rsidRDefault="00A57ED9" w:rsidP="00A57ED9">
      <w:pPr>
        <w:spacing w:after="0" w:line="240" w:lineRule="auto"/>
        <w:ind w:left="786"/>
        <w:jc w:val="both"/>
        <w:rPr>
          <w:rFonts w:cs="Arial"/>
          <w:lang w:val="es-CO" w:eastAsia="es-ES"/>
        </w:rPr>
      </w:pPr>
    </w:p>
    <w:p w:rsidR="00AF6DF9" w:rsidRPr="00AF6DF9" w:rsidRDefault="00AF6DF9" w:rsidP="00D712DC">
      <w:pPr>
        <w:numPr>
          <w:ilvl w:val="0"/>
          <w:numId w:val="20"/>
        </w:numPr>
        <w:spacing w:after="0" w:line="240" w:lineRule="auto"/>
        <w:jc w:val="both"/>
        <w:rPr>
          <w:rFonts w:cs="Arial"/>
          <w:lang w:val="es-CO" w:eastAsia="es-ES"/>
        </w:rPr>
      </w:pPr>
      <w:r w:rsidRPr="00AF6DF9">
        <w:rPr>
          <w:rFonts w:cs="Arial"/>
          <w:lang w:val="es-CO" w:eastAsia="es-ES"/>
        </w:rPr>
        <w:t>Certificación del Sistema de Gestión Ambiental ISO 14001:2004 por ICONTEC hasta el 2017.</w:t>
      </w:r>
    </w:p>
    <w:p w:rsidR="00AF6DF9" w:rsidRDefault="00AF6DF9" w:rsidP="00D712DC">
      <w:pPr>
        <w:numPr>
          <w:ilvl w:val="0"/>
          <w:numId w:val="20"/>
        </w:numPr>
        <w:spacing w:after="0" w:line="240" w:lineRule="auto"/>
        <w:jc w:val="both"/>
        <w:rPr>
          <w:rFonts w:cs="Arial"/>
          <w:lang w:val="es-CO" w:eastAsia="es-ES"/>
        </w:rPr>
      </w:pPr>
      <w:r w:rsidRPr="00AF6DF9">
        <w:rPr>
          <w:rFonts w:cs="Arial"/>
          <w:lang w:val="es-CO" w:eastAsia="es-ES"/>
        </w:rPr>
        <w:lastRenderedPageBreak/>
        <w:t>Certificación Sello de Calidad para los productos elaborados con base en cereales para alimentación a partir de los 6 meses de edad NTC 5148 (2033) por ICONTEC hasta el 2017.</w:t>
      </w:r>
    </w:p>
    <w:p w:rsidR="00A57ED9" w:rsidRPr="00AF6DF9" w:rsidRDefault="00A57ED9" w:rsidP="00A57ED9">
      <w:pPr>
        <w:spacing w:after="0" w:line="240" w:lineRule="auto"/>
        <w:ind w:left="786"/>
        <w:jc w:val="both"/>
        <w:rPr>
          <w:rFonts w:cs="Arial"/>
          <w:lang w:val="es-CO" w:eastAsia="es-ES"/>
        </w:rPr>
      </w:pPr>
    </w:p>
    <w:p w:rsidR="00AF6DF9" w:rsidRPr="00AF6DF9" w:rsidRDefault="00AF6DF9" w:rsidP="00D712DC">
      <w:pPr>
        <w:numPr>
          <w:ilvl w:val="0"/>
          <w:numId w:val="20"/>
        </w:numPr>
        <w:spacing w:after="0" w:line="240" w:lineRule="auto"/>
        <w:jc w:val="both"/>
        <w:rPr>
          <w:rFonts w:cs="Arial"/>
          <w:lang w:val="es-CO" w:eastAsia="es-ES"/>
        </w:rPr>
      </w:pPr>
      <w:r w:rsidRPr="00AF6DF9">
        <w:rPr>
          <w:rFonts w:cs="Arial"/>
          <w:lang w:val="es-CO" w:eastAsia="es-ES"/>
        </w:rPr>
        <w:t>Certificación Buena Prácticas de Manufactura por el INVIMA.</w:t>
      </w:r>
    </w:p>
    <w:p w:rsidR="00AF6DF9" w:rsidRPr="00AF6DF9" w:rsidRDefault="00AF6DF9" w:rsidP="00AF6DF9">
      <w:pPr>
        <w:spacing w:after="0" w:line="240" w:lineRule="auto"/>
        <w:ind w:left="1065"/>
        <w:jc w:val="both"/>
        <w:rPr>
          <w:rFonts w:cs="Arial"/>
          <w:lang w:val="es-CO" w:eastAsia="es-ES"/>
        </w:rPr>
      </w:pPr>
    </w:p>
    <w:p w:rsidR="00AF6DF9" w:rsidRP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 xml:space="preserve">Los Alimentos de Alto Valor Nutricional cumplen con los criterios de calidad establecidos, de acuerdo con la supervisión, interventoría y controles realizados a través de los análisis de laboratorios fisicoquímicos, microbiológicos y bromatológicos realizados tanto para las materias como para el producto final. </w:t>
      </w:r>
    </w:p>
    <w:p w:rsidR="00872A46" w:rsidRPr="00AF6DF9" w:rsidRDefault="00872A46" w:rsidP="00AF6DF9">
      <w:pPr>
        <w:autoSpaceDE w:val="0"/>
        <w:autoSpaceDN w:val="0"/>
        <w:spacing w:after="0" w:line="240" w:lineRule="auto"/>
        <w:contextualSpacing/>
        <w:jc w:val="both"/>
        <w:rPr>
          <w:rFonts w:cs="Arial"/>
          <w:lang w:eastAsia="es-MX"/>
        </w:rPr>
      </w:pPr>
    </w:p>
    <w:p w:rsidR="00AF6DF9" w:rsidRPr="00AF6DF9" w:rsidRDefault="00AF6DF9" w:rsidP="00AF6DF9">
      <w:pPr>
        <w:autoSpaceDE w:val="0"/>
        <w:autoSpaceDN w:val="0"/>
        <w:spacing w:after="0" w:line="240" w:lineRule="auto"/>
        <w:contextualSpacing/>
        <w:jc w:val="both"/>
        <w:rPr>
          <w:rFonts w:cs="Arial"/>
          <w:b/>
          <w:lang w:eastAsia="es-MX"/>
        </w:rPr>
      </w:pPr>
      <w:r w:rsidRPr="00AF6DF9">
        <w:rPr>
          <w:rFonts w:cs="Arial"/>
          <w:b/>
          <w:lang w:eastAsia="es-MX"/>
        </w:rPr>
        <w:t xml:space="preserve">Distribución </w:t>
      </w:r>
    </w:p>
    <w:p w:rsidR="00AF6DF9" w:rsidRPr="00AF6DF9" w:rsidRDefault="00AF6DF9" w:rsidP="00AF6DF9">
      <w:pPr>
        <w:autoSpaceDE w:val="0"/>
        <w:autoSpaceDN w:val="0"/>
        <w:spacing w:after="0" w:line="240" w:lineRule="auto"/>
        <w:contextualSpacing/>
        <w:jc w:val="both"/>
        <w:rPr>
          <w:rFonts w:cs="Arial"/>
          <w:lang w:eastAsia="es-MX"/>
        </w:rPr>
      </w:pPr>
    </w:p>
    <w:p w:rsidR="00AF6DF9" w:rsidRPr="00AF6DF9" w:rsidRDefault="00AF6DF9" w:rsidP="00AF6DF9">
      <w:pPr>
        <w:spacing w:after="0" w:line="240" w:lineRule="auto"/>
        <w:jc w:val="both"/>
        <w:rPr>
          <w:rFonts w:cs="Arial"/>
          <w:lang w:val="es-CO" w:eastAsia="es-ES"/>
        </w:rPr>
      </w:pPr>
      <w:r w:rsidRPr="00AF6DF9">
        <w:rPr>
          <w:rFonts w:cs="Arial"/>
          <w:lang w:val="es-CO" w:eastAsia="es-ES"/>
        </w:rPr>
        <w:t xml:space="preserve">Se realizó seguimiento a las entregas de los Alimentos de Alto Valor Nutricional, por medio de la gestión de novedades presentadas en el momento de la distribución en los puntos de entrega primarios. En la vigencia 2016 se reportaron 4.464 novedades, que en trabajo articulado con las Regionales y Centros Zonales del ICBF fueron subsanadas. </w:t>
      </w:r>
    </w:p>
    <w:p w:rsidR="00AF6DF9" w:rsidRPr="00AF6DF9" w:rsidRDefault="00AF6DF9" w:rsidP="00AF6DF9">
      <w:pPr>
        <w:spacing w:after="0" w:line="240" w:lineRule="auto"/>
        <w:ind w:left="705"/>
        <w:jc w:val="both"/>
        <w:rPr>
          <w:rFonts w:cs="Arial"/>
          <w:lang w:val="es-CO" w:eastAsia="es-ES"/>
        </w:rPr>
      </w:pPr>
    </w:p>
    <w:p w:rsidR="00AF6DF9" w:rsidRPr="00AF6DF9" w:rsidRDefault="00AF6DF9" w:rsidP="00AF6DF9">
      <w:pPr>
        <w:spacing w:after="0" w:line="240" w:lineRule="auto"/>
        <w:jc w:val="both"/>
        <w:rPr>
          <w:rFonts w:cs="Arial"/>
          <w:b/>
          <w:lang w:val="es-CO" w:eastAsia="es-ES"/>
        </w:rPr>
      </w:pPr>
      <w:r w:rsidRPr="00AF6DF9">
        <w:rPr>
          <w:rFonts w:eastAsia="Times New Roman" w:cs="Arial"/>
          <w:lang w:eastAsia="es-MX"/>
        </w:rPr>
        <w:t xml:space="preserve">En los casos donde se identificaron que los Alimentos de Alto Valor Nutricional presentaron averías por entrega, se gestiona el reclamo con el contratista productor y distribuidor, realizando la reposición de 144 unidades de Bienestarina Líquida y 207 bolsas de Bienestarina Más®. </w:t>
      </w:r>
    </w:p>
    <w:p w:rsidR="00AF6DF9" w:rsidRPr="00AF6DF9" w:rsidRDefault="00AF6DF9" w:rsidP="00AF6DF9">
      <w:pPr>
        <w:spacing w:after="0" w:line="240" w:lineRule="auto"/>
        <w:jc w:val="both"/>
        <w:rPr>
          <w:rFonts w:cs="Arial"/>
          <w:lang w:val="es-CO" w:eastAsia="es-MX"/>
        </w:rPr>
      </w:pPr>
    </w:p>
    <w:p w:rsidR="00AF6DF9" w:rsidRPr="00AF6DF9" w:rsidRDefault="00AF6DF9" w:rsidP="00AF6DF9">
      <w:pPr>
        <w:spacing w:after="0" w:line="240" w:lineRule="auto"/>
        <w:jc w:val="both"/>
        <w:rPr>
          <w:rFonts w:cs="Arial"/>
          <w:b/>
          <w:lang w:eastAsia="es-MX"/>
        </w:rPr>
      </w:pPr>
      <w:r w:rsidRPr="00AF6DF9">
        <w:rPr>
          <w:rFonts w:cs="Arial"/>
          <w:b/>
          <w:lang w:eastAsia="es-MX"/>
        </w:rPr>
        <w:t xml:space="preserve">Convenios </w:t>
      </w:r>
    </w:p>
    <w:p w:rsidR="00AF6DF9" w:rsidRPr="00AF6DF9" w:rsidRDefault="00AF6DF9" w:rsidP="00AF6DF9">
      <w:pPr>
        <w:autoSpaceDE w:val="0"/>
        <w:autoSpaceDN w:val="0"/>
        <w:spacing w:after="0" w:line="240" w:lineRule="auto"/>
        <w:ind w:left="705"/>
        <w:contextualSpacing/>
        <w:jc w:val="both"/>
        <w:rPr>
          <w:rFonts w:cs="Arial"/>
          <w:lang w:eastAsia="es-MX"/>
        </w:rPr>
      </w:pPr>
    </w:p>
    <w:p w:rsidR="00AF6DF9" w:rsidRP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 xml:space="preserve">Suscripción de 152 convenios interadministrativos para la atención con Bienestarina Más® a la Población Escolar, Adulto Mayor, Organismos de Salud, estudiantes SENA, complementación a la canasta de otros programas, entre otros.  </w:t>
      </w:r>
    </w:p>
    <w:p w:rsidR="00AF6DF9" w:rsidRPr="00AF6DF9" w:rsidRDefault="00AF6DF9" w:rsidP="00AF6DF9">
      <w:pPr>
        <w:spacing w:after="0" w:line="240" w:lineRule="auto"/>
        <w:ind w:left="705"/>
        <w:jc w:val="both"/>
        <w:rPr>
          <w:rFonts w:cs="Arial"/>
          <w:lang w:val="es-CO" w:eastAsia="es-ES"/>
        </w:rPr>
      </w:pPr>
    </w:p>
    <w:tbl>
      <w:tblPr>
        <w:tblW w:w="4625" w:type="pct"/>
        <w:tblInd w:w="704"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6"/>
        <w:gridCol w:w="1277"/>
        <w:gridCol w:w="1277"/>
        <w:gridCol w:w="1276"/>
        <w:gridCol w:w="1133"/>
        <w:gridCol w:w="1601"/>
      </w:tblGrid>
      <w:tr w:rsidR="00AF6DF9" w:rsidRPr="00AF6DF9" w:rsidTr="00DD06B2">
        <w:trPr>
          <w:trHeight w:val="132"/>
          <w:tblHeader/>
        </w:trPr>
        <w:tc>
          <w:tcPr>
            <w:tcW w:w="1223" w:type="pct"/>
            <w:shd w:val="clear" w:color="auto" w:fill="76923C" w:themeFill="accent3" w:themeFillShade="BF"/>
            <w:vAlign w:val="center"/>
            <w:hideMark/>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Convenio</w:t>
            </w:r>
          </w:p>
        </w:tc>
        <w:tc>
          <w:tcPr>
            <w:tcW w:w="735" w:type="pct"/>
            <w:shd w:val="clear" w:color="auto" w:fill="76923C" w:themeFill="accent3" w:themeFillShade="BF"/>
            <w:vAlign w:val="center"/>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Regionales</w:t>
            </w:r>
          </w:p>
        </w:tc>
        <w:tc>
          <w:tcPr>
            <w:tcW w:w="735" w:type="pct"/>
            <w:shd w:val="clear" w:color="auto" w:fill="76923C" w:themeFill="accent3" w:themeFillShade="BF"/>
            <w:vAlign w:val="center"/>
            <w:hideMark/>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No. Convenios</w:t>
            </w:r>
          </w:p>
        </w:tc>
        <w:tc>
          <w:tcPr>
            <w:tcW w:w="734" w:type="pct"/>
            <w:shd w:val="clear" w:color="auto" w:fill="76923C" w:themeFill="accent3" w:themeFillShade="BF"/>
            <w:vAlign w:val="center"/>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Cupos Suscritos</w:t>
            </w:r>
          </w:p>
        </w:tc>
        <w:tc>
          <w:tcPr>
            <w:tcW w:w="652" w:type="pct"/>
            <w:shd w:val="clear" w:color="auto" w:fill="76923C" w:themeFill="accent3" w:themeFillShade="BF"/>
            <w:vAlign w:val="center"/>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Cupos Atendidos</w:t>
            </w:r>
          </w:p>
        </w:tc>
        <w:tc>
          <w:tcPr>
            <w:tcW w:w="921" w:type="pct"/>
            <w:shd w:val="clear" w:color="auto" w:fill="76923C" w:themeFill="accent3" w:themeFillShade="BF"/>
            <w:vAlign w:val="center"/>
          </w:tcPr>
          <w:p w:rsidR="00AF6DF9" w:rsidRPr="00DD06B2" w:rsidRDefault="00AF6DF9" w:rsidP="00AF6DF9">
            <w:pPr>
              <w:spacing w:after="0" w:line="240" w:lineRule="auto"/>
              <w:contextualSpacing/>
              <w:jc w:val="center"/>
              <w:rPr>
                <w:rFonts w:eastAsia="Times New Roman" w:cs="Arial"/>
                <w:b/>
                <w:bCs/>
                <w:color w:val="FFFFFF" w:themeColor="background1"/>
                <w:sz w:val="18"/>
                <w:szCs w:val="20"/>
                <w:lang w:val="es-CO" w:eastAsia="es-CO"/>
              </w:rPr>
            </w:pPr>
            <w:r w:rsidRPr="00DD06B2">
              <w:rPr>
                <w:rFonts w:eastAsia="Times New Roman" w:cs="Arial"/>
                <w:b/>
                <w:bCs/>
                <w:color w:val="FFFFFF" w:themeColor="background1"/>
                <w:sz w:val="18"/>
                <w:szCs w:val="20"/>
                <w:lang w:val="es-CO" w:eastAsia="es-CO"/>
              </w:rPr>
              <w:t>Kg de Bienestarina Más Ejecutados</w:t>
            </w:r>
          </w:p>
        </w:tc>
      </w:tr>
      <w:tr w:rsidR="00AF6DF9" w:rsidRPr="00AF6DF9" w:rsidTr="00DD06B2">
        <w:trPr>
          <w:trHeight w:val="132"/>
          <w:tblHeader/>
        </w:trPr>
        <w:tc>
          <w:tcPr>
            <w:tcW w:w="1223" w:type="pct"/>
            <w:shd w:val="clear" w:color="auto" w:fill="auto"/>
          </w:tcPr>
          <w:p w:rsidR="00AF6DF9" w:rsidRPr="00AF6DF9" w:rsidRDefault="00AF6DF9" w:rsidP="00AF6DF9">
            <w:pPr>
              <w:spacing w:after="0" w:line="240" w:lineRule="auto"/>
              <w:jc w:val="both"/>
              <w:rPr>
                <w:rFonts w:cs="Arial"/>
                <w:sz w:val="18"/>
                <w:szCs w:val="20"/>
                <w:lang w:eastAsia="es-ES"/>
              </w:rPr>
            </w:pPr>
            <w:r w:rsidRPr="00AF6DF9">
              <w:rPr>
                <w:rFonts w:cs="Arial"/>
                <w:sz w:val="18"/>
                <w:szCs w:val="20"/>
                <w:lang w:eastAsia="es-ES"/>
              </w:rPr>
              <w:t xml:space="preserve">PAE ETC </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CO"/>
              </w:rPr>
            </w:pPr>
            <w:r w:rsidRPr="00AF6DF9">
              <w:rPr>
                <w:rFonts w:cs="Arial"/>
                <w:sz w:val="18"/>
                <w:szCs w:val="20"/>
                <w:lang w:eastAsia="es-CO"/>
              </w:rPr>
              <w:t>12</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val="es-CO" w:eastAsia="es-ES"/>
              </w:rPr>
            </w:pPr>
            <w:r w:rsidRPr="00AF6DF9">
              <w:rPr>
                <w:rFonts w:cs="Arial"/>
                <w:sz w:val="18"/>
                <w:szCs w:val="20"/>
                <w:lang w:eastAsia="es-CO"/>
              </w:rPr>
              <w:t>20</w:t>
            </w:r>
          </w:p>
        </w:tc>
        <w:tc>
          <w:tcPr>
            <w:tcW w:w="734" w:type="pct"/>
            <w:shd w:val="clear" w:color="auto" w:fill="auto"/>
            <w:vAlign w:val="center"/>
          </w:tcPr>
          <w:p w:rsidR="00AF6DF9" w:rsidRPr="00AF6DF9" w:rsidRDefault="00AF6DF9" w:rsidP="00AF6DF9">
            <w:pPr>
              <w:spacing w:after="0" w:line="240" w:lineRule="auto"/>
              <w:jc w:val="center"/>
              <w:rPr>
                <w:rFonts w:cs="Arial"/>
                <w:sz w:val="18"/>
                <w:szCs w:val="20"/>
                <w:lang w:eastAsia="es-CO"/>
              </w:rPr>
            </w:pPr>
            <w:r w:rsidRPr="00AF6DF9">
              <w:rPr>
                <w:rFonts w:cs="Arial"/>
                <w:sz w:val="18"/>
                <w:szCs w:val="20"/>
                <w:lang w:eastAsia="es-CO"/>
              </w:rPr>
              <w:t>679.676</w:t>
            </w:r>
          </w:p>
        </w:tc>
        <w:tc>
          <w:tcPr>
            <w:tcW w:w="652" w:type="pct"/>
            <w:shd w:val="clear" w:color="auto" w:fill="auto"/>
            <w:vAlign w:val="center"/>
          </w:tcPr>
          <w:p w:rsidR="00AF6DF9" w:rsidRPr="00AF6DF9" w:rsidRDefault="00AF6DF9" w:rsidP="00AF6DF9">
            <w:pPr>
              <w:spacing w:after="0" w:line="240" w:lineRule="auto"/>
              <w:jc w:val="center"/>
              <w:rPr>
                <w:rFonts w:cs="Arial"/>
                <w:sz w:val="18"/>
                <w:szCs w:val="20"/>
                <w:lang w:val="es-CO" w:eastAsia="es-CO"/>
              </w:rPr>
            </w:pPr>
            <w:r w:rsidRPr="00AF6DF9">
              <w:rPr>
                <w:rFonts w:cs="Arial"/>
                <w:sz w:val="18"/>
                <w:szCs w:val="20"/>
                <w:lang w:val="es-CO" w:eastAsia="es-CO"/>
              </w:rPr>
              <w:t>679.676</w:t>
            </w:r>
          </w:p>
        </w:tc>
        <w:tc>
          <w:tcPr>
            <w:tcW w:w="921"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530.278</w:t>
            </w:r>
          </w:p>
        </w:tc>
      </w:tr>
      <w:tr w:rsidR="00AF6DF9" w:rsidRPr="00AF6DF9" w:rsidTr="00DD06B2">
        <w:trPr>
          <w:trHeight w:val="132"/>
          <w:tblHeader/>
        </w:trPr>
        <w:tc>
          <w:tcPr>
            <w:tcW w:w="1223" w:type="pct"/>
            <w:shd w:val="clear" w:color="auto" w:fill="auto"/>
          </w:tcPr>
          <w:p w:rsidR="00AF6DF9" w:rsidRPr="00AF6DF9" w:rsidRDefault="00AF6DF9" w:rsidP="00AF6DF9">
            <w:pPr>
              <w:spacing w:after="0" w:line="240" w:lineRule="auto"/>
              <w:jc w:val="both"/>
              <w:rPr>
                <w:rFonts w:cs="Arial"/>
                <w:sz w:val="18"/>
                <w:szCs w:val="20"/>
                <w:lang w:eastAsia="es-ES"/>
              </w:rPr>
            </w:pPr>
            <w:r w:rsidRPr="00AF6DF9">
              <w:rPr>
                <w:rFonts w:cs="Arial"/>
                <w:sz w:val="18"/>
                <w:szCs w:val="20"/>
                <w:lang w:eastAsia="es-ES"/>
              </w:rPr>
              <w:t>Adulto Mayor</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CO"/>
              </w:rPr>
            </w:pPr>
            <w:r w:rsidRPr="00AF6DF9">
              <w:rPr>
                <w:rFonts w:cs="Arial"/>
                <w:sz w:val="18"/>
                <w:szCs w:val="20"/>
                <w:lang w:eastAsia="es-CO"/>
              </w:rPr>
              <w:t>10</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116</w:t>
            </w:r>
          </w:p>
        </w:tc>
        <w:tc>
          <w:tcPr>
            <w:tcW w:w="734"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83.041</w:t>
            </w:r>
          </w:p>
        </w:tc>
        <w:tc>
          <w:tcPr>
            <w:tcW w:w="652"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83.041</w:t>
            </w:r>
          </w:p>
        </w:tc>
        <w:tc>
          <w:tcPr>
            <w:tcW w:w="921"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325.850</w:t>
            </w:r>
          </w:p>
        </w:tc>
      </w:tr>
      <w:tr w:rsidR="00AF6DF9" w:rsidRPr="00AF6DF9" w:rsidTr="00DD06B2">
        <w:trPr>
          <w:trHeight w:val="132"/>
          <w:tblHeader/>
        </w:trPr>
        <w:tc>
          <w:tcPr>
            <w:tcW w:w="1223" w:type="pct"/>
            <w:shd w:val="clear" w:color="auto" w:fill="auto"/>
          </w:tcPr>
          <w:p w:rsidR="00AF6DF9" w:rsidRPr="00AF6DF9" w:rsidRDefault="00AF6DF9" w:rsidP="00AF6DF9">
            <w:pPr>
              <w:spacing w:after="0" w:line="240" w:lineRule="auto"/>
              <w:jc w:val="both"/>
              <w:rPr>
                <w:rFonts w:cs="Arial"/>
                <w:sz w:val="18"/>
                <w:szCs w:val="20"/>
                <w:lang w:eastAsia="es-ES"/>
              </w:rPr>
            </w:pPr>
            <w:r w:rsidRPr="00AF6DF9">
              <w:rPr>
                <w:rFonts w:cs="Arial"/>
                <w:sz w:val="18"/>
                <w:szCs w:val="20"/>
                <w:lang w:eastAsia="es-ES"/>
              </w:rPr>
              <w:t>Organismos de Salud</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2</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7</w:t>
            </w:r>
          </w:p>
        </w:tc>
        <w:tc>
          <w:tcPr>
            <w:tcW w:w="734"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595</w:t>
            </w:r>
          </w:p>
        </w:tc>
        <w:tc>
          <w:tcPr>
            <w:tcW w:w="652"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465</w:t>
            </w:r>
          </w:p>
        </w:tc>
        <w:tc>
          <w:tcPr>
            <w:tcW w:w="921"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4.523</w:t>
            </w:r>
          </w:p>
        </w:tc>
      </w:tr>
      <w:tr w:rsidR="00AF6DF9" w:rsidRPr="00AF6DF9" w:rsidTr="00DD06B2">
        <w:trPr>
          <w:trHeight w:val="132"/>
          <w:tblHeader/>
        </w:trPr>
        <w:tc>
          <w:tcPr>
            <w:tcW w:w="1223" w:type="pct"/>
            <w:shd w:val="clear" w:color="auto" w:fill="auto"/>
          </w:tcPr>
          <w:p w:rsidR="00AF6DF9" w:rsidRPr="00AF6DF9" w:rsidRDefault="00AF6DF9" w:rsidP="00AF6DF9">
            <w:pPr>
              <w:spacing w:after="0" w:line="240" w:lineRule="auto"/>
              <w:jc w:val="both"/>
              <w:rPr>
                <w:rFonts w:cs="Arial"/>
                <w:sz w:val="18"/>
                <w:szCs w:val="20"/>
                <w:lang w:eastAsia="es-ES"/>
              </w:rPr>
            </w:pPr>
            <w:r w:rsidRPr="00AF6DF9">
              <w:rPr>
                <w:rFonts w:cs="Arial"/>
                <w:sz w:val="18"/>
                <w:szCs w:val="20"/>
                <w:lang w:eastAsia="es-ES"/>
              </w:rPr>
              <w:t xml:space="preserve">Otros (Establecimientos carcelarios, Sena, desplazados, etc.) </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7</w:t>
            </w:r>
          </w:p>
        </w:tc>
        <w:tc>
          <w:tcPr>
            <w:tcW w:w="735"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9</w:t>
            </w:r>
          </w:p>
        </w:tc>
        <w:tc>
          <w:tcPr>
            <w:tcW w:w="734"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eastAsia="es-CO"/>
              </w:rPr>
              <w:t>8.045</w:t>
            </w:r>
          </w:p>
        </w:tc>
        <w:tc>
          <w:tcPr>
            <w:tcW w:w="652"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7.945</w:t>
            </w:r>
          </w:p>
        </w:tc>
        <w:tc>
          <w:tcPr>
            <w:tcW w:w="921" w:type="pct"/>
            <w:shd w:val="clear" w:color="auto" w:fill="auto"/>
            <w:vAlign w:val="center"/>
          </w:tcPr>
          <w:p w:rsidR="00AF6DF9" w:rsidRPr="00AF6DF9" w:rsidRDefault="00AF6DF9" w:rsidP="00AF6DF9">
            <w:pPr>
              <w:spacing w:after="0" w:line="240" w:lineRule="auto"/>
              <w:jc w:val="center"/>
              <w:rPr>
                <w:rFonts w:cs="Arial"/>
                <w:sz w:val="18"/>
                <w:szCs w:val="20"/>
                <w:lang w:eastAsia="es-ES"/>
              </w:rPr>
            </w:pPr>
            <w:r w:rsidRPr="00AF6DF9">
              <w:rPr>
                <w:rFonts w:cs="Arial"/>
                <w:sz w:val="18"/>
                <w:szCs w:val="20"/>
                <w:lang w:val="es-CO" w:eastAsia="es-CO"/>
              </w:rPr>
              <w:t>38.364</w:t>
            </w:r>
          </w:p>
        </w:tc>
      </w:tr>
      <w:tr w:rsidR="00AF6DF9" w:rsidRPr="00AF6DF9" w:rsidTr="00DD06B2">
        <w:trPr>
          <w:trHeight w:val="132"/>
        </w:trPr>
        <w:tc>
          <w:tcPr>
            <w:tcW w:w="1958" w:type="pct"/>
            <w:gridSpan w:val="2"/>
            <w:shd w:val="clear" w:color="auto" w:fill="E2EFDA"/>
            <w:vAlign w:val="bottom"/>
          </w:tcPr>
          <w:p w:rsidR="00AF6DF9" w:rsidRPr="00AF6DF9" w:rsidRDefault="00AF6DF9" w:rsidP="00AF6DF9">
            <w:pPr>
              <w:spacing w:after="0" w:line="240" w:lineRule="auto"/>
              <w:jc w:val="center"/>
              <w:rPr>
                <w:rFonts w:cs="Arial"/>
                <w:b/>
                <w:bCs/>
                <w:sz w:val="18"/>
                <w:szCs w:val="20"/>
                <w:lang w:eastAsia="es-ES"/>
              </w:rPr>
            </w:pPr>
            <w:r w:rsidRPr="00AF6DF9">
              <w:rPr>
                <w:rFonts w:cs="Arial"/>
                <w:b/>
                <w:bCs/>
                <w:sz w:val="18"/>
                <w:szCs w:val="20"/>
                <w:lang w:eastAsia="es-ES"/>
              </w:rPr>
              <w:t>Total, General</w:t>
            </w:r>
          </w:p>
        </w:tc>
        <w:tc>
          <w:tcPr>
            <w:tcW w:w="735" w:type="pct"/>
            <w:shd w:val="clear" w:color="auto" w:fill="E2EFDA"/>
            <w:noWrap/>
            <w:vAlign w:val="center"/>
          </w:tcPr>
          <w:p w:rsidR="00AF6DF9" w:rsidRPr="00AF6DF9" w:rsidRDefault="00AF6DF9" w:rsidP="00AF6DF9">
            <w:pPr>
              <w:spacing w:after="0" w:line="240" w:lineRule="auto"/>
              <w:jc w:val="center"/>
              <w:rPr>
                <w:rFonts w:cs="Arial"/>
                <w:b/>
                <w:bCs/>
                <w:sz w:val="18"/>
                <w:szCs w:val="20"/>
                <w:lang w:eastAsia="es-CO"/>
              </w:rPr>
            </w:pPr>
            <w:r w:rsidRPr="00AF6DF9">
              <w:rPr>
                <w:rFonts w:cs="Arial"/>
                <w:b/>
                <w:sz w:val="20"/>
                <w:szCs w:val="20"/>
                <w:lang w:eastAsia="es-CO"/>
              </w:rPr>
              <w:t>152</w:t>
            </w:r>
          </w:p>
        </w:tc>
        <w:tc>
          <w:tcPr>
            <w:tcW w:w="734" w:type="pct"/>
            <w:shd w:val="clear" w:color="auto" w:fill="E2EFDA"/>
            <w:vAlign w:val="center"/>
          </w:tcPr>
          <w:p w:rsidR="00AF6DF9" w:rsidRPr="00AF6DF9" w:rsidRDefault="00AF6DF9" w:rsidP="00AF6DF9">
            <w:pPr>
              <w:spacing w:after="0" w:line="240" w:lineRule="auto"/>
              <w:jc w:val="center"/>
              <w:rPr>
                <w:rFonts w:cs="Arial"/>
                <w:b/>
                <w:bCs/>
                <w:sz w:val="18"/>
                <w:szCs w:val="20"/>
                <w:lang w:eastAsia="es-ES"/>
              </w:rPr>
            </w:pPr>
            <w:r w:rsidRPr="00AF6DF9">
              <w:rPr>
                <w:rFonts w:cs="Arial"/>
                <w:b/>
                <w:sz w:val="20"/>
                <w:szCs w:val="20"/>
                <w:lang w:eastAsia="es-CO"/>
              </w:rPr>
              <w:t>771.357</w:t>
            </w:r>
          </w:p>
        </w:tc>
        <w:tc>
          <w:tcPr>
            <w:tcW w:w="652" w:type="pct"/>
            <w:shd w:val="clear" w:color="auto" w:fill="E2EFDA"/>
            <w:vAlign w:val="center"/>
          </w:tcPr>
          <w:p w:rsidR="00AF6DF9" w:rsidRPr="00AF6DF9" w:rsidRDefault="00AF6DF9" w:rsidP="00AF6DF9">
            <w:pPr>
              <w:spacing w:after="0" w:line="240" w:lineRule="auto"/>
              <w:jc w:val="center"/>
              <w:rPr>
                <w:rFonts w:cs="Arial"/>
                <w:b/>
                <w:bCs/>
                <w:sz w:val="18"/>
                <w:szCs w:val="20"/>
                <w:lang w:eastAsia="es-ES"/>
              </w:rPr>
            </w:pPr>
            <w:r w:rsidRPr="00AF6DF9">
              <w:rPr>
                <w:rFonts w:cs="Arial"/>
                <w:b/>
                <w:sz w:val="20"/>
                <w:szCs w:val="20"/>
                <w:lang w:eastAsia="es-CO"/>
              </w:rPr>
              <w:t>771.127</w:t>
            </w:r>
          </w:p>
        </w:tc>
        <w:tc>
          <w:tcPr>
            <w:tcW w:w="921" w:type="pct"/>
            <w:shd w:val="clear" w:color="auto" w:fill="E2EFDA"/>
            <w:vAlign w:val="center"/>
          </w:tcPr>
          <w:p w:rsidR="00AF6DF9" w:rsidRPr="00AF6DF9" w:rsidRDefault="00AF6DF9" w:rsidP="00AF6DF9">
            <w:pPr>
              <w:spacing w:after="0" w:line="240" w:lineRule="auto"/>
              <w:jc w:val="center"/>
              <w:rPr>
                <w:rFonts w:cs="Arial"/>
                <w:b/>
                <w:bCs/>
                <w:sz w:val="18"/>
                <w:szCs w:val="20"/>
                <w:lang w:eastAsia="es-ES"/>
              </w:rPr>
            </w:pPr>
            <w:r w:rsidRPr="00AF6DF9">
              <w:rPr>
                <w:rFonts w:cs="Arial"/>
                <w:b/>
                <w:sz w:val="20"/>
                <w:szCs w:val="20"/>
                <w:lang w:eastAsia="es-CO"/>
              </w:rPr>
              <w:t>899.014</w:t>
            </w:r>
          </w:p>
        </w:tc>
      </w:tr>
    </w:tbl>
    <w:p w:rsidR="00AF6DF9" w:rsidRPr="00AF6DF9" w:rsidRDefault="00AF6DF9" w:rsidP="00AF6DF9">
      <w:pPr>
        <w:spacing w:after="0" w:line="240" w:lineRule="auto"/>
        <w:ind w:firstLine="708"/>
        <w:jc w:val="both"/>
        <w:rPr>
          <w:rFonts w:cs="Arial"/>
          <w:sz w:val="16"/>
          <w:lang w:val="es-MX" w:eastAsia="es-ES"/>
        </w:rPr>
      </w:pPr>
      <w:r w:rsidRPr="00A57ED9">
        <w:rPr>
          <w:rFonts w:cs="Arial"/>
          <w:b/>
          <w:sz w:val="16"/>
          <w:lang w:val="es-MX" w:eastAsia="es-ES"/>
        </w:rPr>
        <w:t>Fuente:</w:t>
      </w:r>
      <w:r w:rsidRPr="00AF6DF9">
        <w:rPr>
          <w:rFonts w:cs="Arial"/>
          <w:sz w:val="16"/>
          <w:lang w:val="es-MX" w:eastAsia="es-ES"/>
        </w:rPr>
        <w:t xml:space="preserve"> Dirección de Nutrición, .xls Bienestarina por convenios PAE y otros.</w:t>
      </w:r>
    </w:p>
    <w:p w:rsidR="00B95837" w:rsidRPr="00D21160" w:rsidRDefault="00B95837" w:rsidP="00B95837">
      <w:pPr>
        <w:ind w:left="708"/>
        <w:rPr>
          <w:rFonts w:ascii="Calibri" w:hAnsi="Calibri"/>
          <w:i/>
          <w:iCs/>
          <w:sz w:val="16"/>
          <w:lang w:val="es-CO"/>
        </w:rPr>
      </w:pPr>
      <w:r w:rsidRPr="00D21160">
        <w:rPr>
          <w:i/>
          <w:iCs/>
          <w:sz w:val="16"/>
        </w:rPr>
        <w:t>Nota: Información preliminar, sujeta a actualización del cierre oficial de metas sociales y financieras.</w:t>
      </w:r>
    </w:p>
    <w:p w:rsidR="00AF6DF9" w:rsidRPr="00AF6DF9" w:rsidRDefault="00AF6DF9" w:rsidP="00AF6DF9">
      <w:pPr>
        <w:spacing w:after="0" w:line="240" w:lineRule="auto"/>
        <w:jc w:val="both"/>
        <w:rPr>
          <w:rFonts w:cs="Arial"/>
          <w:b/>
          <w:lang w:val="es-CO" w:eastAsia="es-ES"/>
        </w:rPr>
      </w:pPr>
      <w:r w:rsidRPr="00AF6DF9">
        <w:rPr>
          <w:rFonts w:cs="Arial"/>
          <w:b/>
          <w:lang w:val="es-CO" w:eastAsia="es-ES"/>
        </w:rPr>
        <w:t>Otros</w:t>
      </w:r>
    </w:p>
    <w:p w:rsidR="00AF6DF9" w:rsidRPr="00AF6DF9" w:rsidRDefault="00AF6DF9" w:rsidP="00AF6DF9">
      <w:pPr>
        <w:spacing w:after="0" w:line="240" w:lineRule="auto"/>
        <w:jc w:val="both"/>
        <w:rPr>
          <w:rFonts w:cs="Arial"/>
          <w:lang w:val="es-CO" w:eastAsia="es-ES"/>
        </w:rPr>
      </w:pPr>
    </w:p>
    <w:p w:rsid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Realización de 118 mesas públicas, promoviendo espacios de participación ciudadana y control social a la gestión púb</w:t>
      </w:r>
      <w:r w:rsidR="00CF694D">
        <w:rPr>
          <w:rFonts w:cs="Arial"/>
          <w:lang w:val="es-CO" w:eastAsia="es-ES"/>
        </w:rPr>
        <w:t>lica, cubriendo 218 municipios.</w:t>
      </w:r>
    </w:p>
    <w:p w:rsidR="00CF694D" w:rsidRPr="00AF6DF9" w:rsidRDefault="00CF694D" w:rsidP="00CF694D">
      <w:pPr>
        <w:spacing w:after="0" w:line="240" w:lineRule="auto"/>
        <w:ind w:left="426"/>
        <w:jc w:val="both"/>
        <w:rPr>
          <w:rFonts w:cs="Arial"/>
          <w:lang w:val="es-CO" w:eastAsia="es-ES"/>
        </w:rPr>
      </w:pPr>
    </w:p>
    <w:p w:rsid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lastRenderedPageBreak/>
        <w:t>Entrega de 18.290 incentivos (tulas) a las Mujeres Gestante y Madre Lactante de las modalidades de atención de la Dirección de Nutrición y de Primera Infancia, en el marco de los contrato</w:t>
      </w:r>
      <w:r w:rsidR="00CF694D">
        <w:rPr>
          <w:rFonts w:cs="Arial"/>
          <w:lang w:val="es-CO" w:eastAsia="es-ES"/>
        </w:rPr>
        <w:t>s de las galletas fortificadas.</w:t>
      </w:r>
    </w:p>
    <w:p w:rsidR="00CF694D" w:rsidRPr="00AF6DF9" w:rsidRDefault="00CF694D" w:rsidP="00CF694D">
      <w:pPr>
        <w:spacing w:after="0" w:line="240" w:lineRule="auto"/>
        <w:jc w:val="both"/>
        <w:rPr>
          <w:rFonts w:cs="Arial"/>
          <w:lang w:val="es-CO" w:eastAsia="es-ES"/>
        </w:rPr>
      </w:pPr>
    </w:p>
    <w:p w:rsidR="00AF6DF9" w:rsidRPr="00CF694D" w:rsidRDefault="00AF6DF9" w:rsidP="00D712DC">
      <w:pPr>
        <w:numPr>
          <w:ilvl w:val="0"/>
          <w:numId w:val="19"/>
        </w:numPr>
        <w:spacing w:after="0" w:line="240" w:lineRule="auto"/>
        <w:ind w:left="426" w:hanging="426"/>
        <w:jc w:val="both"/>
        <w:rPr>
          <w:rFonts w:cs="Arial"/>
          <w:lang w:val="es-CO" w:eastAsia="es-ES"/>
        </w:rPr>
      </w:pPr>
      <w:r w:rsidRPr="00AF6DF9">
        <w:rPr>
          <w:rFonts w:eastAsia="Times New Roman" w:cs="Arial"/>
          <w:lang w:eastAsia="es-MX"/>
        </w:rPr>
        <w:t>En cumplimiento de lo establecido en los contratos de producción y distribución de AAVN, se realiza seguimiento diario a través de los ingenieros residentes de la Interventoría en las plantas de producción sobre las actividades que se desarrollan en estas y se realizan comités en planta con el fin de verificar la ejecución del contratista e Interventoría.</w:t>
      </w:r>
    </w:p>
    <w:p w:rsidR="00CF694D" w:rsidRPr="00AF6DF9" w:rsidRDefault="00CF694D" w:rsidP="00CF694D">
      <w:pPr>
        <w:spacing w:after="0" w:line="240" w:lineRule="auto"/>
        <w:jc w:val="both"/>
        <w:rPr>
          <w:rFonts w:cs="Arial"/>
          <w:lang w:val="es-CO" w:eastAsia="es-ES"/>
        </w:rPr>
      </w:pPr>
    </w:p>
    <w:p w:rsidR="00AF6DF9" w:rsidRPr="00AF6DF9" w:rsidRDefault="00AF6DF9" w:rsidP="00D712DC">
      <w:pPr>
        <w:numPr>
          <w:ilvl w:val="0"/>
          <w:numId w:val="19"/>
        </w:numPr>
        <w:autoSpaceDE w:val="0"/>
        <w:autoSpaceDN w:val="0"/>
        <w:spacing w:after="0" w:line="240" w:lineRule="auto"/>
        <w:ind w:left="426" w:hanging="426"/>
        <w:contextualSpacing/>
        <w:jc w:val="both"/>
        <w:rPr>
          <w:rFonts w:cs="Arial"/>
          <w:lang w:val="es-CO" w:eastAsia="es-ES"/>
        </w:rPr>
      </w:pPr>
      <w:r w:rsidRPr="00AF6DF9">
        <w:rPr>
          <w:rFonts w:cs="Arial"/>
          <w:lang w:val="es-MX"/>
        </w:rPr>
        <w:t xml:space="preserve">Fortalecimiento a la supervisión, seguimiento y control en los puntos de entrega, realizando de </w:t>
      </w:r>
      <w:r w:rsidRPr="00AF6DF9">
        <w:rPr>
          <w:rFonts w:cs="Arial"/>
          <w:lang w:eastAsia="es-MX"/>
        </w:rPr>
        <w:t xml:space="preserve">14.104 </w:t>
      </w:r>
      <w:r w:rsidRPr="00AF6DF9">
        <w:rPr>
          <w:rFonts w:eastAsia="Times New Roman" w:cs="Arial"/>
          <w:lang w:eastAsia="es-MX"/>
        </w:rPr>
        <w:t>visitas de control a los puntos de entrega primarios de Alimentos de alto valor nutricional.</w:t>
      </w:r>
    </w:p>
    <w:p w:rsidR="00817E2C" w:rsidRDefault="00817E2C" w:rsidP="00817E2C">
      <w:pPr>
        <w:spacing w:after="0" w:line="240" w:lineRule="auto"/>
        <w:rPr>
          <w:rFonts w:cs="Arial"/>
        </w:rPr>
      </w:pPr>
    </w:p>
    <w:p w:rsidR="00817E2C" w:rsidRPr="00D23FA4" w:rsidRDefault="00817E2C" w:rsidP="00817E2C">
      <w:pPr>
        <w:spacing w:after="0" w:line="240" w:lineRule="auto"/>
        <w:rPr>
          <w:rFonts w:cs="Arial"/>
        </w:rPr>
      </w:pPr>
    </w:p>
    <w:p w:rsidR="00817E2C" w:rsidRPr="00B25961" w:rsidRDefault="00817E2C" w:rsidP="007342CF">
      <w:pPr>
        <w:pStyle w:val="Prrafodelista"/>
        <w:keepNext/>
        <w:keepLines/>
        <w:numPr>
          <w:ilvl w:val="2"/>
          <w:numId w:val="242"/>
        </w:numPr>
        <w:spacing w:after="0" w:line="240" w:lineRule="auto"/>
        <w:outlineLvl w:val="1"/>
        <w:rPr>
          <w:rFonts w:eastAsiaTheme="majorEastAsia" w:cs="Arial"/>
          <w:b/>
        </w:rPr>
      </w:pPr>
      <w:bookmarkStart w:id="99" w:name="_Toc473581424"/>
      <w:r w:rsidRPr="00B25961">
        <w:rPr>
          <w:rFonts w:eastAsia="Times New Roman" w:cs="Arial"/>
          <w:b/>
          <w:bCs/>
          <w:kern w:val="32"/>
        </w:rPr>
        <w:t>Logros 2016</w:t>
      </w:r>
      <w:bookmarkEnd w:id="99"/>
      <w:r w:rsidRPr="00B25961">
        <w:rPr>
          <w:rFonts w:eastAsia="Times New Roman" w:cs="Arial"/>
          <w:b/>
          <w:bCs/>
          <w:kern w:val="32"/>
        </w:rPr>
        <w:t xml:space="preserve"> </w:t>
      </w:r>
    </w:p>
    <w:p w:rsidR="00817E2C" w:rsidRPr="00802120" w:rsidRDefault="00817E2C" w:rsidP="00817E2C">
      <w:pPr>
        <w:rPr>
          <w:rFonts w:eastAsiaTheme="majorEastAsia" w:cs="Arial"/>
          <w:b/>
        </w:rPr>
      </w:pPr>
      <w:r w:rsidRPr="00802120">
        <w:rPr>
          <w:rFonts w:eastAsiaTheme="majorEastAsia" w:cs="Arial"/>
          <w:b/>
        </w:rPr>
        <w:t xml:space="preserve"> </w:t>
      </w:r>
    </w:p>
    <w:p w:rsidR="00AF6DF9" w:rsidRPr="00AF6DF9" w:rsidRDefault="00AF6DF9" w:rsidP="00D712DC">
      <w:pPr>
        <w:numPr>
          <w:ilvl w:val="0"/>
          <w:numId w:val="19"/>
        </w:numPr>
        <w:spacing w:after="0" w:line="240" w:lineRule="auto"/>
        <w:ind w:left="426" w:hanging="426"/>
        <w:contextualSpacing/>
        <w:jc w:val="both"/>
        <w:rPr>
          <w:rFonts w:cs="Arial"/>
        </w:rPr>
      </w:pPr>
      <w:r w:rsidRPr="00AF6DF9">
        <w:rPr>
          <w:rFonts w:cs="Arial"/>
        </w:rPr>
        <w:t>Actualización de instrumentos de política pública en alimentación y nutrición: Tabla de Composición de Alimentos, lineamiento de educación alimentaria y nutricional y Hoja de Balance de Alimentos.</w:t>
      </w:r>
    </w:p>
    <w:p w:rsidR="00AF6DF9" w:rsidRPr="00AF6DF9" w:rsidRDefault="00AF6DF9" w:rsidP="00AF6DF9">
      <w:pPr>
        <w:spacing w:after="0" w:line="240" w:lineRule="auto"/>
        <w:ind w:left="426" w:hanging="426"/>
        <w:jc w:val="both"/>
        <w:rPr>
          <w:rFonts w:cs="Arial"/>
        </w:rPr>
      </w:pPr>
    </w:p>
    <w:p w:rsidR="00AF6DF9" w:rsidRPr="00AF6DF9" w:rsidRDefault="00AF6DF9" w:rsidP="00D712DC">
      <w:pPr>
        <w:numPr>
          <w:ilvl w:val="0"/>
          <w:numId w:val="19"/>
        </w:numPr>
        <w:spacing w:after="0" w:line="240" w:lineRule="auto"/>
        <w:ind w:left="426" w:hanging="426"/>
        <w:contextualSpacing/>
        <w:jc w:val="both"/>
        <w:rPr>
          <w:rFonts w:cs="Arial"/>
        </w:rPr>
      </w:pPr>
      <w:r w:rsidRPr="00AF6DF9">
        <w:rPr>
          <w:rFonts w:cs="Arial"/>
        </w:rPr>
        <w:t>Fortalecimiento de la capacidad técnica de los colaboradores de Regionales y Centros Zonales en temas de alimentación y nutrición mediante asistencia técnica en temas de discapacidad y seguimiento nutricional y desarrollo de cursos virtuales en lactancia materna, guías alimentarias y recomendaciones de ingesta de energía y nutrientes.</w:t>
      </w:r>
    </w:p>
    <w:p w:rsidR="00AF6DF9" w:rsidRPr="00AF6DF9" w:rsidRDefault="00AF6DF9" w:rsidP="00AF6DF9">
      <w:pPr>
        <w:spacing w:after="0" w:line="240" w:lineRule="auto"/>
        <w:ind w:left="426" w:hanging="426"/>
        <w:contextualSpacing/>
        <w:jc w:val="both"/>
        <w:rPr>
          <w:rFonts w:cs="Arial"/>
        </w:rPr>
      </w:pPr>
    </w:p>
    <w:p w:rsidR="00AF6DF9" w:rsidRPr="00AF6DF9" w:rsidRDefault="00AF6DF9" w:rsidP="00D712DC">
      <w:pPr>
        <w:numPr>
          <w:ilvl w:val="0"/>
          <w:numId w:val="19"/>
        </w:numPr>
        <w:spacing w:after="0" w:line="240" w:lineRule="auto"/>
        <w:ind w:left="426" w:hanging="426"/>
        <w:contextualSpacing/>
        <w:jc w:val="both"/>
        <w:rPr>
          <w:rFonts w:cs="Arial"/>
        </w:rPr>
      </w:pPr>
      <w:r w:rsidRPr="00AF6DF9">
        <w:rPr>
          <w:rFonts w:cs="Arial"/>
        </w:rPr>
        <w:t>Dotación a los equipos de las Defensorías de Familia de Regionales y centros Zonales con equipos de antropometría de alta precisión, para garantizar la calidad de las mediciones que se requieren para la valoración nutricional de los niños, niñas y adolescente atendidos por el ICBF.</w:t>
      </w:r>
    </w:p>
    <w:p w:rsidR="00AF6DF9" w:rsidRPr="00AF6DF9" w:rsidRDefault="00AF6DF9" w:rsidP="00AF6DF9">
      <w:pPr>
        <w:spacing w:after="0" w:line="240" w:lineRule="auto"/>
        <w:ind w:left="426" w:hanging="426"/>
        <w:jc w:val="both"/>
        <w:rPr>
          <w:rFonts w:cs="Arial"/>
        </w:rPr>
      </w:pPr>
    </w:p>
    <w:p w:rsidR="00AF6DF9" w:rsidRPr="00AF6DF9" w:rsidRDefault="00AF6DF9" w:rsidP="00D712DC">
      <w:pPr>
        <w:numPr>
          <w:ilvl w:val="0"/>
          <w:numId w:val="19"/>
        </w:numPr>
        <w:spacing w:after="0" w:line="240" w:lineRule="auto"/>
        <w:ind w:left="426" w:hanging="426"/>
        <w:contextualSpacing/>
        <w:jc w:val="both"/>
        <w:rPr>
          <w:rFonts w:cs="Arial"/>
        </w:rPr>
      </w:pPr>
      <w:r w:rsidRPr="00AF6DF9">
        <w:rPr>
          <w:rFonts w:cs="Arial"/>
        </w:rPr>
        <w:t>Incremento de la cobertura y registro de información en el aplicativo Cuéntame en un 9% (264.392), respecto al año anterior, lo que permite la vigilancia y seguimiento nutricional de un mayor porcentaje de los beneficiarios atendidos en los servicios del ICBF.</w:t>
      </w:r>
    </w:p>
    <w:p w:rsidR="00AF6DF9" w:rsidRPr="00AF6DF9" w:rsidRDefault="00AF6DF9" w:rsidP="00AF6DF9">
      <w:pPr>
        <w:spacing w:after="0" w:line="240" w:lineRule="auto"/>
        <w:ind w:left="426" w:hanging="426"/>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Elaboración de conceptos técnicos para la ejecución de recursos de regalías en proyectos que abordan temas de alimentación y nutrición presentados por los Órganos Colegiados de Administración y Decisión -OCAD del departamento de Meta, Casanare y Bolívar.</w:t>
      </w:r>
    </w:p>
    <w:p w:rsidR="00B95837" w:rsidRPr="00AF6DF9" w:rsidRDefault="00B95837" w:rsidP="00B95837">
      <w:pPr>
        <w:spacing w:after="0" w:line="240" w:lineRule="auto"/>
        <w:contextualSpacing/>
        <w:jc w:val="both"/>
        <w:rPr>
          <w:rFonts w:cs="Arial"/>
        </w:rPr>
      </w:pPr>
    </w:p>
    <w:p w:rsidR="00AF6DF9" w:rsidRPr="00AF6DF9" w:rsidRDefault="00AF6DF9" w:rsidP="00D712DC">
      <w:pPr>
        <w:numPr>
          <w:ilvl w:val="0"/>
          <w:numId w:val="19"/>
        </w:numPr>
        <w:spacing w:after="0" w:line="240" w:lineRule="auto"/>
        <w:ind w:left="426" w:hanging="426"/>
        <w:contextualSpacing/>
        <w:jc w:val="both"/>
        <w:rPr>
          <w:rFonts w:cs="Arial"/>
        </w:rPr>
      </w:pPr>
      <w:r w:rsidRPr="00AF6DF9">
        <w:rPr>
          <w:rFonts w:cs="Arial"/>
        </w:rPr>
        <w:t xml:space="preserve">Distribución de 20.601 Toneladas de Alimentos de Alto Valor Nutricional, los cuales corresponden a 15.993 toneladas de Bienestarina Más®, 14.744.448 unidades de 200 ml de Bienestarina® Líquida, 18 toneladas de Nutrigest y 47.541.652 unidades de galletas fortificadas, logrando la atención de más de 2.997.000 beneficiarios.  </w:t>
      </w:r>
    </w:p>
    <w:p w:rsidR="00AF6DF9" w:rsidRPr="00AF6DF9" w:rsidRDefault="00AF6DF9" w:rsidP="00AF6DF9">
      <w:pPr>
        <w:spacing w:after="0" w:line="240" w:lineRule="auto"/>
        <w:ind w:left="426" w:hanging="426"/>
        <w:jc w:val="both"/>
        <w:rPr>
          <w:rFonts w:cs="Arial"/>
        </w:rPr>
      </w:pPr>
    </w:p>
    <w:p w:rsidR="00AF6DF9" w:rsidRP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 xml:space="preserve">Aumento del aporte nutricional de la ración en los servicios de Primera Infancia: Hogares Comunitarios de Bienestar Familiar, Hogares Infantiles, Jardines Sociales y CDI - Institucional </w:t>
      </w:r>
      <w:r w:rsidRPr="00AF6DF9">
        <w:rPr>
          <w:rFonts w:cs="Arial"/>
          <w:lang w:val="es-CO" w:eastAsia="es-ES"/>
        </w:rPr>
        <w:lastRenderedPageBreak/>
        <w:t>y Lactantes y Preescolares</w:t>
      </w:r>
      <w:r w:rsidRPr="00AF6DF9" w:rsidDel="0082757D">
        <w:rPr>
          <w:rFonts w:cs="Arial"/>
          <w:lang w:val="es-CO" w:eastAsia="es-ES"/>
        </w:rPr>
        <w:t xml:space="preserve"> </w:t>
      </w:r>
      <w:r w:rsidRPr="00AF6DF9">
        <w:rPr>
          <w:rFonts w:cs="Arial"/>
          <w:lang w:val="es-CO" w:eastAsia="es-ES"/>
        </w:rPr>
        <w:t xml:space="preserve">con la adición de 900 grs de Bienestarina Más® en los servicios Hogares Comunitarios de Bienestar Familiar, Hogares Infantiles, Jardines Sociales y CDI - Institucional y Lactantes y Preescolares. </w:t>
      </w:r>
    </w:p>
    <w:p w:rsidR="00AF6DF9" w:rsidRPr="00AF6DF9" w:rsidRDefault="00AF6DF9" w:rsidP="00AF6DF9">
      <w:pPr>
        <w:spacing w:after="0" w:line="240" w:lineRule="auto"/>
        <w:jc w:val="both"/>
        <w:rPr>
          <w:rFonts w:cs="Arial"/>
          <w:lang w:val="es-CO" w:eastAsia="es-ES"/>
        </w:rPr>
      </w:pPr>
    </w:p>
    <w:p w:rsidR="00AF6DF9"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Instalación de 4 Eco-parques en el marco de los contratos de galletas fortificadas en: Itsmina – Chocó; Tadó – Chocó; El Retorno – G</w:t>
      </w:r>
      <w:r w:rsidR="00CF694D">
        <w:rPr>
          <w:rFonts w:cs="Arial"/>
          <w:lang w:val="es-CO" w:eastAsia="es-ES"/>
        </w:rPr>
        <w:t>uaviare; Nazareth – La Guajira.</w:t>
      </w:r>
    </w:p>
    <w:p w:rsidR="00CF694D" w:rsidRDefault="00CF694D" w:rsidP="00CF694D">
      <w:pPr>
        <w:pStyle w:val="Prrafodelista"/>
        <w:rPr>
          <w:rFonts w:cs="Arial"/>
          <w:lang w:val="es-CO" w:eastAsia="es-E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479"/>
      </w:tblGrid>
      <w:tr w:rsidR="00CF694D" w:rsidTr="00CF694D">
        <w:tc>
          <w:tcPr>
            <w:tcW w:w="4697" w:type="dxa"/>
          </w:tcPr>
          <w:p w:rsidR="00CF694D" w:rsidRDefault="00CF694D" w:rsidP="00CF694D">
            <w:pPr>
              <w:spacing w:after="0" w:line="240" w:lineRule="auto"/>
              <w:jc w:val="center"/>
              <w:rPr>
                <w:rFonts w:cs="Arial"/>
                <w:lang w:val="es-CO" w:eastAsia="es-ES"/>
              </w:rPr>
            </w:pPr>
            <w:r w:rsidRPr="00AF6DF9">
              <w:rPr>
                <w:noProof/>
                <w:lang w:val="es-CO" w:eastAsia="es-CO"/>
              </w:rPr>
              <w:drawing>
                <wp:inline distT="0" distB="0" distL="0" distR="0" wp14:anchorId="6258F5B1" wp14:editId="09D6833C">
                  <wp:extent cx="2551814" cy="1799590"/>
                  <wp:effectExtent l="0" t="0" r="1270" b="0"/>
                  <wp:docPr id="58" name="Imagen 58" descr="C:\Users\Lina.GarciaU\AppData\Local\Microsoft\Windows\INetCache\Content.Word\ecoparque Nazareth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GarciaU\AppData\Local\Microsoft\Windows\INetCache\Content.Word\ecoparque Nazareth_x.jpg"/>
                          <pic:cNvPicPr>
                            <a:picLocks noChangeAspect="1" noChangeArrowheads="1"/>
                          </pic:cNvPicPr>
                        </pic:nvPicPr>
                        <pic:blipFill rotWithShape="1">
                          <a:blip r:embed="rId26">
                            <a:extLst>
                              <a:ext uri="{28A0092B-C50C-407E-A947-70E740481C1C}">
                                <a14:useLocalDpi xmlns:a14="http://schemas.microsoft.com/office/drawing/2010/main" val="0"/>
                              </a:ext>
                            </a:extLst>
                          </a:blip>
                          <a:srcRect r="13615"/>
                          <a:stretch/>
                        </pic:blipFill>
                        <pic:spPr bwMode="auto">
                          <a:xfrm>
                            <a:off x="0" y="0"/>
                            <a:ext cx="2552395"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8" w:type="dxa"/>
          </w:tcPr>
          <w:p w:rsidR="00CF694D" w:rsidRDefault="00CF694D" w:rsidP="00CF694D">
            <w:pPr>
              <w:spacing w:after="0" w:line="240" w:lineRule="auto"/>
              <w:jc w:val="center"/>
              <w:rPr>
                <w:rFonts w:cs="Arial"/>
                <w:lang w:val="es-CO" w:eastAsia="es-ES"/>
              </w:rPr>
            </w:pPr>
            <w:r w:rsidRPr="00AF6DF9">
              <w:rPr>
                <w:noProof/>
                <w:lang w:val="es-CO" w:eastAsia="es-CO"/>
              </w:rPr>
              <w:drawing>
                <wp:inline distT="0" distB="0" distL="0" distR="0" wp14:anchorId="057558E9" wp14:editId="01E09A65">
                  <wp:extent cx="2519916" cy="1798955"/>
                  <wp:effectExtent l="0" t="0" r="0" b="0"/>
                  <wp:docPr id="59" name="Imagen 59" descr="C:\Users\Lina.GarciaU\AppData\Local\Microsoft\Windows\INetCache\Content.Word\ECOPARQUE EL RETORNO GUAVIAR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a.GarciaU\AppData\Local\Microsoft\Windows\INetCache\Content.Word\ECOPARQUE EL RETORNO GUAVIARE_.jpg"/>
                          <pic:cNvPicPr>
                            <a:picLocks noChangeAspect="1" noChangeArrowheads="1"/>
                          </pic:cNvPicPr>
                        </pic:nvPicPr>
                        <pic:blipFill rotWithShape="1">
                          <a:blip r:embed="rId27">
                            <a:extLst>
                              <a:ext uri="{28A0092B-C50C-407E-A947-70E740481C1C}">
                                <a14:useLocalDpi xmlns:a14="http://schemas.microsoft.com/office/drawing/2010/main" val="0"/>
                              </a:ext>
                            </a:extLst>
                          </a:blip>
                          <a:srcRect r="4582"/>
                          <a:stretch/>
                        </pic:blipFill>
                        <pic:spPr bwMode="auto">
                          <a:xfrm>
                            <a:off x="0" y="0"/>
                            <a:ext cx="2521380"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F694D" w:rsidRPr="00AF6DF9" w:rsidRDefault="00CF694D" w:rsidP="00CF694D">
      <w:pPr>
        <w:spacing w:after="0" w:line="240" w:lineRule="auto"/>
        <w:ind w:left="426"/>
        <w:jc w:val="both"/>
        <w:rPr>
          <w:rFonts w:cs="Arial"/>
          <w:lang w:val="es-CO" w:eastAsia="es-ES"/>
        </w:rPr>
      </w:pPr>
    </w:p>
    <w:p w:rsidR="00AF6DF9" w:rsidRPr="00AF6DF9" w:rsidRDefault="00AF6DF9" w:rsidP="00AF6DF9">
      <w:pPr>
        <w:spacing w:after="0" w:line="240" w:lineRule="auto"/>
        <w:jc w:val="both"/>
        <w:rPr>
          <w:rFonts w:cs="Arial"/>
          <w:lang w:val="es-CO" w:eastAsia="es-ES"/>
        </w:rPr>
      </w:pPr>
    </w:p>
    <w:p w:rsidR="00AF6DF9" w:rsidRPr="00AF6DF9" w:rsidRDefault="00AF6DF9" w:rsidP="00AF6DF9">
      <w:pPr>
        <w:spacing w:after="0" w:line="240" w:lineRule="auto"/>
        <w:jc w:val="both"/>
        <w:rPr>
          <w:rFonts w:cs="Arial"/>
          <w:lang w:val="es-CO"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F694D" w:rsidTr="00CF694D">
        <w:trPr>
          <w:jc w:val="center"/>
        </w:trPr>
        <w:tc>
          <w:tcPr>
            <w:tcW w:w="4697" w:type="dxa"/>
          </w:tcPr>
          <w:p w:rsidR="00CF694D" w:rsidRDefault="00CF694D" w:rsidP="00AF6DF9">
            <w:pPr>
              <w:spacing w:after="0" w:line="240" w:lineRule="auto"/>
              <w:jc w:val="center"/>
              <w:rPr>
                <w:rFonts w:cs="Arial"/>
                <w:lang w:val="es-CO" w:eastAsia="es-ES"/>
              </w:rPr>
            </w:pPr>
            <w:r w:rsidRPr="00AF6DF9">
              <w:rPr>
                <w:noProof/>
                <w:lang w:val="es-CO" w:eastAsia="es-CO"/>
              </w:rPr>
              <w:drawing>
                <wp:inline distT="0" distB="0" distL="0" distR="0" wp14:anchorId="208FCD90" wp14:editId="47CDE1FC">
                  <wp:extent cx="2530549" cy="1798585"/>
                  <wp:effectExtent l="0" t="0" r="3175" b="0"/>
                  <wp:docPr id="60" name="Imagen 60" descr="C:\Users\Lina.GarciaU\AppData\Local\Microsoft\Windows\INetCache\Content.Word\foto ecoparque_Nom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a.GarciaU\AppData\Local\Microsoft\Windows\INetCache\Content.Word\foto ecoparque_Nombre.jpg"/>
                          <pic:cNvPicPr>
                            <a:picLocks noChangeAspect="1" noChangeArrowheads="1"/>
                          </pic:cNvPicPr>
                        </pic:nvPicPr>
                        <pic:blipFill rotWithShape="1">
                          <a:blip r:embed="rId28">
                            <a:extLst>
                              <a:ext uri="{28A0092B-C50C-407E-A947-70E740481C1C}">
                                <a14:useLocalDpi xmlns:a14="http://schemas.microsoft.com/office/drawing/2010/main" val="0"/>
                              </a:ext>
                            </a:extLst>
                          </a:blip>
                          <a:srcRect r="13069"/>
                          <a:stretch/>
                        </pic:blipFill>
                        <pic:spPr bwMode="auto">
                          <a:xfrm>
                            <a:off x="0" y="0"/>
                            <a:ext cx="2531829" cy="1799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8" w:type="dxa"/>
          </w:tcPr>
          <w:p w:rsidR="00CF694D" w:rsidRDefault="00CF694D" w:rsidP="00AF6DF9">
            <w:pPr>
              <w:spacing w:after="0" w:line="240" w:lineRule="auto"/>
              <w:jc w:val="center"/>
              <w:rPr>
                <w:rFonts w:cs="Arial"/>
                <w:lang w:val="es-CO" w:eastAsia="es-ES"/>
              </w:rPr>
            </w:pPr>
            <w:r w:rsidRPr="00AF6DF9">
              <w:rPr>
                <w:noProof/>
                <w:lang w:val="es-CO" w:eastAsia="es-CO"/>
              </w:rPr>
              <w:drawing>
                <wp:inline distT="0" distB="0" distL="0" distR="0" wp14:anchorId="406354C4" wp14:editId="3DB7C356">
                  <wp:extent cx="2519916" cy="1799334"/>
                  <wp:effectExtent l="0" t="0" r="0" b="0"/>
                  <wp:docPr id="61" name="Imagen 61" descr="C:\Users\Lina.GarciaU\AppData\Local\Microsoft\Windows\INetCache\Content.Word\Tadó Choc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na.GarciaU\AppData\Local\Microsoft\Windows\INetCache\Content.Word\Tadó Chocó.jpg"/>
                          <pic:cNvPicPr>
                            <a:picLocks noChangeAspect="1" noChangeArrowheads="1"/>
                          </pic:cNvPicPr>
                        </pic:nvPicPr>
                        <pic:blipFill rotWithShape="1">
                          <a:blip r:embed="rId29">
                            <a:extLst>
                              <a:ext uri="{28A0092B-C50C-407E-A947-70E740481C1C}">
                                <a14:useLocalDpi xmlns:a14="http://schemas.microsoft.com/office/drawing/2010/main" val="0"/>
                              </a:ext>
                            </a:extLst>
                          </a:blip>
                          <a:srcRect r="6883"/>
                          <a:stretch/>
                        </pic:blipFill>
                        <pic:spPr bwMode="auto">
                          <a:xfrm>
                            <a:off x="0" y="0"/>
                            <a:ext cx="2520849"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17E2C" w:rsidRPr="00D23FA4" w:rsidRDefault="00817E2C" w:rsidP="00817E2C">
      <w:pPr>
        <w:spacing w:after="0" w:line="240" w:lineRule="auto"/>
        <w:rPr>
          <w:rFonts w:cs="Arial"/>
        </w:rPr>
      </w:pPr>
    </w:p>
    <w:p w:rsidR="00817E2C" w:rsidRPr="00B25961" w:rsidRDefault="00817E2C" w:rsidP="007342CF">
      <w:pPr>
        <w:pStyle w:val="Prrafodelista"/>
        <w:keepNext/>
        <w:keepLines/>
        <w:numPr>
          <w:ilvl w:val="2"/>
          <w:numId w:val="242"/>
        </w:numPr>
        <w:spacing w:after="0" w:line="240" w:lineRule="auto"/>
        <w:outlineLvl w:val="1"/>
        <w:rPr>
          <w:rFonts w:eastAsiaTheme="majorEastAsia" w:cs="Arial"/>
          <w:b/>
        </w:rPr>
      </w:pPr>
      <w:bookmarkStart w:id="100" w:name="_Toc473581425"/>
      <w:r w:rsidRPr="00B25961">
        <w:rPr>
          <w:rFonts w:eastAsia="Times New Roman" w:cs="Arial"/>
          <w:b/>
          <w:bCs/>
          <w:kern w:val="32"/>
        </w:rPr>
        <w:t>Retos 2017</w:t>
      </w:r>
      <w:bookmarkEnd w:id="100"/>
      <w:r w:rsidRPr="00B25961">
        <w:rPr>
          <w:rFonts w:eastAsia="Times New Roman" w:cs="Arial"/>
          <w:b/>
          <w:bCs/>
          <w:kern w:val="32"/>
        </w:rPr>
        <w:t xml:space="preserve"> </w:t>
      </w:r>
    </w:p>
    <w:p w:rsidR="00817E2C" w:rsidRPr="00802120" w:rsidRDefault="00817E2C" w:rsidP="00817E2C">
      <w:pPr>
        <w:rPr>
          <w:rFonts w:eastAsiaTheme="majorEastAsia" w:cs="Arial"/>
          <w:b/>
        </w:rPr>
      </w:pPr>
      <w:r w:rsidRPr="00802120">
        <w:rPr>
          <w:rFonts w:eastAsiaTheme="majorEastAsia" w:cs="Arial"/>
          <w:b/>
        </w:rPr>
        <w:t xml:space="preserve"> </w:t>
      </w: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Definición de grupos estratégicos (Políticas, Alimentos de Alto Valor Nutricional y Administrativo) integrados a través de Gestores Territoriales de la Estrategia de Atención y Prevención de la Desnutrición, para articular transversalmente las acciones de la Dirección de Nutrición con las Direcciones Regionales y Misionales.</w:t>
      </w:r>
    </w:p>
    <w:p w:rsidR="00CF694D" w:rsidRPr="00AF6DF9" w:rsidRDefault="00CF694D" w:rsidP="00CF694D">
      <w:pPr>
        <w:spacing w:after="0" w:line="240" w:lineRule="auto"/>
        <w:contextualSpacing/>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Programar y ejecutar actividades de capacitación, acompañamiento y seguimiento técnico enfocadas en fortalecer el conocimiento y aplicación de las herramientas y lineamientos técnicos enmarcados en la Política Nacional de SAN, al interior de las direcciones misionales, regionales y centros zonales del ICBF y con agentes del SNBF.</w:t>
      </w: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lastRenderedPageBreak/>
        <w:t>Elaboración, producción y distribución de material educativo alusivo a las herramientas de la política nacional de seguridad alimentaria y nutricional.</w:t>
      </w:r>
    </w:p>
    <w:p w:rsidR="00CF694D" w:rsidRPr="00AF6DF9" w:rsidRDefault="00CF694D" w:rsidP="00CF694D">
      <w:pPr>
        <w:spacing w:after="0" w:line="240" w:lineRule="auto"/>
        <w:contextualSpacing/>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Mejorar las estrategias de visibilizarían e implementación del enfoque diferencial en el marco del componente de alimentación y nutrición.</w:t>
      </w:r>
    </w:p>
    <w:p w:rsidR="00CF694D" w:rsidRPr="00AF6DF9" w:rsidRDefault="00CF694D" w:rsidP="00CF694D">
      <w:pPr>
        <w:spacing w:after="0" w:line="240" w:lineRule="auto"/>
        <w:contextualSpacing/>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Avanzar de la atención de la desnutrición aguda del individuo a la prevención de la desnutrición crónica con una intervención integral con perspectiva familiar, en este sentido para el año 2017, se proyecta atender a 19.840 beneficiarios entre mujeres gestantes con bajo peso y niñas, niños menores de 2 años en situación de desnutrición en el marco de la nueva modalidad “1000 días para cambiar el mundo” los cuales estarán ubicados en 28 departamentos y 309 municipios de todo el país.</w:t>
      </w:r>
    </w:p>
    <w:p w:rsidR="00CF694D" w:rsidRPr="00AF6DF9" w:rsidRDefault="00CF694D" w:rsidP="00CF694D">
      <w:pPr>
        <w:spacing w:after="0" w:line="240" w:lineRule="auto"/>
        <w:contextualSpacing/>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Por otra parte, y en coordinación con el Ministerio de Salud y Protección Social, establecer un periodo de transición para que la atención de los niños y niñas en desnutrición aguda sea asumido por las entidades territoriales, Entidades Administradoras de Planes de Beneficios (EAPB) y las entidades prestadoras de servicio, acorde a la resolución No. 5406-2015.</w:t>
      </w:r>
    </w:p>
    <w:p w:rsidR="00CF694D" w:rsidRPr="00AF6DF9" w:rsidRDefault="00CF694D" w:rsidP="00CF694D">
      <w:pPr>
        <w:spacing w:after="0" w:line="240" w:lineRule="auto"/>
        <w:contextualSpacing/>
        <w:jc w:val="both"/>
        <w:rPr>
          <w:rFonts w:cs="Arial"/>
        </w:rPr>
      </w:pPr>
    </w:p>
    <w:p w:rsidR="00AF6DF9" w:rsidRDefault="00AF6DF9" w:rsidP="00D712DC">
      <w:pPr>
        <w:numPr>
          <w:ilvl w:val="0"/>
          <w:numId w:val="19"/>
        </w:numPr>
        <w:spacing w:after="0" w:line="240" w:lineRule="auto"/>
        <w:ind w:left="426" w:hanging="426"/>
        <w:contextualSpacing/>
        <w:jc w:val="both"/>
        <w:rPr>
          <w:rFonts w:cs="Arial"/>
        </w:rPr>
      </w:pPr>
      <w:r w:rsidRPr="00AF6DF9">
        <w:rPr>
          <w:rFonts w:cs="Arial"/>
        </w:rPr>
        <w:t>Posicionar la nueva modalidad “Mil días para cambiar el Mundo” en el ámbito territorial, con el fin de asegurar su participación en el desarrollo de la misma.</w:t>
      </w:r>
    </w:p>
    <w:p w:rsidR="00CF694D" w:rsidRPr="00AF6DF9" w:rsidRDefault="00CF694D" w:rsidP="00CF694D">
      <w:pPr>
        <w:spacing w:after="0" w:line="240" w:lineRule="auto"/>
        <w:ind w:left="426"/>
        <w:contextualSpacing/>
        <w:jc w:val="both"/>
        <w:rPr>
          <w:rFonts w:cs="Arial"/>
        </w:rPr>
      </w:pPr>
    </w:p>
    <w:p w:rsidR="00AF6DF9" w:rsidRPr="00CF694D" w:rsidRDefault="00AF6DF9" w:rsidP="00D712DC">
      <w:pPr>
        <w:numPr>
          <w:ilvl w:val="0"/>
          <w:numId w:val="19"/>
        </w:numPr>
        <w:spacing w:after="0" w:line="240" w:lineRule="auto"/>
        <w:ind w:left="426" w:hanging="426"/>
        <w:jc w:val="both"/>
        <w:rPr>
          <w:rFonts w:cs="Arial"/>
          <w:lang w:val="es-CO" w:eastAsia="es-ES"/>
        </w:rPr>
      </w:pPr>
      <w:r w:rsidRPr="00AF6DF9">
        <w:rPr>
          <w:rFonts w:cs="Arial"/>
          <w:lang w:val="es-CO" w:eastAsia="es-ES"/>
        </w:rPr>
        <w:t xml:space="preserve">Aumentar la atención a Población Escolar con la entrega de Alimentos de Alto Valor Nutricional, mediante la suscripción de </w:t>
      </w:r>
      <w:r w:rsidRPr="00AF6DF9">
        <w:rPr>
          <w:rFonts w:cs="Arial"/>
        </w:rPr>
        <w:t>convenios c</w:t>
      </w:r>
      <w:r w:rsidR="00CF694D">
        <w:rPr>
          <w:rFonts w:cs="Arial"/>
        </w:rPr>
        <w:t>on las Entidades Territoriales.</w:t>
      </w:r>
    </w:p>
    <w:p w:rsidR="00CF694D" w:rsidRPr="00AF6DF9" w:rsidRDefault="00CF694D" w:rsidP="00CF694D">
      <w:pPr>
        <w:spacing w:after="0" w:line="240" w:lineRule="auto"/>
        <w:jc w:val="both"/>
        <w:rPr>
          <w:rFonts w:cs="Arial"/>
          <w:lang w:val="es-CO" w:eastAsia="es-ES"/>
        </w:rPr>
      </w:pPr>
    </w:p>
    <w:p w:rsidR="00AF6DF9" w:rsidRDefault="00AF6DF9" w:rsidP="00D712DC">
      <w:pPr>
        <w:numPr>
          <w:ilvl w:val="0"/>
          <w:numId w:val="19"/>
        </w:numPr>
        <w:spacing w:after="0" w:line="240" w:lineRule="auto"/>
        <w:ind w:left="426" w:hanging="426"/>
        <w:jc w:val="both"/>
        <w:rPr>
          <w:rFonts w:cs="Arial"/>
        </w:rPr>
      </w:pPr>
      <w:r w:rsidRPr="00AF6DF9">
        <w:rPr>
          <w:rFonts w:cs="Arial"/>
        </w:rPr>
        <w:t xml:space="preserve">En el primer semestre de la vigencia 2017 se busca </w:t>
      </w:r>
      <w:r w:rsidRPr="00AF6DF9">
        <w:rPr>
          <w:rFonts w:cs="Arial"/>
          <w:bCs/>
        </w:rPr>
        <w:t xml:space="preserve">producir y distribuir el nuevo alimento reformulado </w:t>
      </w:r>
      <w:r w:rsidRPr="00AF6DF9">
        <w:rPr>
          <w:rFonts w:cs="Arial"/>
        </w:rPr>
        <w:t>listo para el consumo.</w:t>
      </w:r>
    </w:p>
    <w:p w:rsidR="00CF694D" w:rsidRPr="00AF6DF9" w:rsidRDefault="00CF694D" w:rsidP="00CF694D">
      <w:pPr>
        <w:spacing w:after="0" w:line="240" w:lineRule="auto"/>
        <w:jc w:val="both"/>
        <w:rPr>
          <w:rFonts w:cs="Arial"/>
        </w:rPr>
      </w:pPr>
    </w:p>
    <w:p w:rsidR="00AF6DF9" w:rsidRPr="00AF6DF9" w:rsidRDefault="00AF6DF9" w:rsidP="00D712DC">
      <w:pPr>
        <w:numPr>
          <w:ilvl w:val="0"/>
          <w:numId w:val="19"/>
        </w:numPr>
        <w:spacing w:after="0" w:line="240" w:lineRule="auto"/>
        <w:ind w:left="426" w:hanging="426"/>
        <w:jc w:val="both"/>
        <w:rPr>
          <w:rFonts w:cs="Arial"/>
        </w:rPr>
      </w:pPr>
      <w:r w:rsidRPr="00AF6DF9">
        <w:rPr>
          <w:rFonts w:cs="Arial"/>
        </w:rPr>
        <w:t xml:space="preserve">Desarrollar una aplicación o solución tecnológica para la georeferenciación de los Puntos de Entrega de AAVN enmarcada en la estrategia </w:t>
      </w:r>
      <w:r w:rsidRPr="00AF6DF9">
        <w:rPr>
          <w:rFonts w:cs="Arial"/>
          <w:b/>
          <w:bCs/>
        </w:rPr>
        <w:t xml:space="preserve">“Emprende con datos” </w:t>
      </w:r>
      <w:r w:rsidRPr="00AF6DF9">
        <w:rPr>
          <w:rFonts w:cs="Arial"/>
        </w:rPr>
        <w:t>de MINTIC.</w:t>
      </w:r>
    </w:p>
    <w:p w:rsidR="00AF6DF9" w:rsidRPr="00AF6DF9" w:rsidRDefault="00AF6DF9" w:rsidP="00AF6DF9">
      <w:pPr>
        <w:spacing w:after="0" w:line="240" w:lineRule="auto"/>
        <w:jc w:val="both"/>
        <w:rPr>
          <w:rFonts w:cs="Arial"/>
        </w:rPr>
      </w:pPr>
    </w:p>
    <w:p w:rsidR="00BC521A" w:rsidRPr="00B25961" w:rsidRDefault="00BC521A" w:rsidP="007342CF">
      <w:pPr>
        <w:pStyle w:val="Prrafodelista"/>
        <w:keepNext/>
        <w:pageBreakBefore/>
        <w:numPr>
          <w:ilvl w:val="1"/>
          <w:numId w:val="242"/>
        </w:numPr>
        <w:spacing w:after="0" w:line="240" w:lineRule="auto"/>
        <w:outlineLvl w:val="0"/>
        <w:rPr>
          <w:rFonts w:eastAsia="Times New Roman" w:cs="Arial"/>
          <w:b/>
          <w:bCs/>
          <w:kern w:val="32"/>
        </w:rPr>
      </w:pPr>
      <w:bookmarkStart w:id="101" w:name="_Toc472519275"/>
      <w:bookmarkStart w:id="102" w:name="_Toc473581426"/>
      <w:r w:rsidRPr="00B25961">
        <w:rPr>
          <w:rFonts w:eastAsia="Times New Roman" w:cs="Arial"/>
          <w:b/>
          <w:bCs/>
          <w:kern w:val="32"/>
        </w:rPr>
        <w:lastRenderedPageBreak/>
        <w:t>PROTECCIÓN DE NIÑOS, NIÑAS Y ADOLESCENTES</w:t>
      </w:r>
      <w:bookmarkEnd w:id="101"/>
      <w:bookmarkEnd w:id="102"/>
    </w:p>
    <w:p w:rsidR="00BC521A" w:rsidRDefault="00BC521A" w:rsidP="00BC521A">
      <w:pPr>
        <w:spacing w:after="0" w:line="240" w:lineRule="auto"/>
        <w:rPr>
          <w:rFonts w:cs="Arial"/>
        </w:rPr>
      </w:pPr>
    </w:p>
    <w:p w:rsidR="00817E2C" w:rsidRPr="00D23FA4" w:rsidRDefault="00817E2C" w:rsidP="00817E2C">
      <w:pPr>
        <w:spacing w:after="0" w:line="240" w:lineRule="auto"/>
        <w:rPr>
          <w:rFonts w:cs="Arial"/>
        </w:rPr>
      </w:pPr>
    </w:p>
    <w:p w:rsidR="00817E2C" w:rsidRPr="00B25961" w:rsidRDefault="00817E2C" w:rsidP="007342CF">
      <w:pPr>
        <w:pStyle w:val="Prrafodelista"/>
        <w:keepNext/>
        <w:keepLines/>
        <w:numPr>
          <w:ilvl w:val="2"/>
          <w:numId w:val="242"/>
        </w:numPr>
        <w:spacing w:after="0" w:line="240" w:lineRule="auto"/>
        <w:outlineLvl w:val="1"/>
        <w:rPr>
          <w:rFonts w:eastAsiaTheme="majorEastAsia" w:cs="Arial"/>
          <w:b/>
        </w:rPr>
      </w:pPr>
      <w:bookmarkStart w:id="103" w:name="_Toc473581427"/>
      <w:r w:rsidRPr="00B25961">
        <w:rPr>
          <w:rFonts w:eastAsia="Times New Roman" w:cs="Arial"/>
          <w:b/>
          <w:bCs/>
          <w:kern w:val="32"/>
        </w:rPr>
        <w:t>Marco Normativo</w:t>
      </w:r>
      <w:bookmarkEnd w:id="103"/>
      <w:r w:rsidRPr="00B25961">
        <w:rPr>
          <w:rFonts w:eastAsia="Times New Roman" w:cs="Arial"/>
          <w:b/>
          <w:bCs/>
          <w:kern w:val="32"/>
        </w:rPr>
        <w:t xml:space="preserve"> </w:t>
      </w:r>
    </w:p>
    <w:p w:rsidR="00BC521A" w:rsidRPr="00817E2C" w:rsidRDefault="00BC521A" w:rsidP="00817E2C">
      <w:pPr>
        <w:rPr>
          <w:rFonts w:eastAsiaTheme="majorEastAsia" w:cs="Arial"/>
          <w:b/>
        </w:rPr>
      </w:pP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 xml:space="preserve">En cumplimiento de las convenciones suscritas por Colombia, en materia de protección de infancia y adolescencia </w:t>
      </w:r>
      <w:r w:rsidRPr="00BC521A">
        <w:rPr>
          <w:rFonts w:eastAsia="Times New Roman" w:cs="Arial"/>
          <w:vertAlign w:val="superscript"/>
          <w:lang w:eastAsia="es-ES"/>
        </w:rPr>
        <w:footnoteReference w:id="17"/>
      </w:r>
      <w:r w:rsidRPr="00BC521A">
        <w:rPr>
          <w:rFonts w:eastAsia="Times New Roman" w:cs="Arial"/>
          <w:lang w:eastAsia="es-ES"/>
        </w:rPr>
        <w:t xml:space="preserve"> </w:t>
      </w:r>
      <w:r w:rsidRPr="00BC521A">
        <w:rPr>
          <w:rFonts w:eastAsia="Times New Roman" w:cs="Arial"/>
          <w:vertAlign w:val="superscript"/>
          <w:lang w:eastAsia="es-ES"/>
        </w:rPr>
        <w:footnoteReference w:id="18"/>
      </w:r>
      <w:r w:rsidRPr="00BC521A">
        <w:rPr>
          <w:rFonts w:eastAsia="Times New Roman" w:cs="Arial"/>
          <w:lang w:eastAsia="es-ES"/>
        </w:rPr>
        <w:t>, así como también de las resoluciones de la Organización de Naciones Unidas</w:t>
      </w:r>
      <w:r w:rsidRPr="00BC521A">
        <w:rPr>
          <w:rFonts w:eastAsia="Times New Roman" w:cs="Arial"/>
          <w:vertAlign w:val="superscript"/>
          <w:lang w:eastAsia="es-ES"/>
        </w:rPr>
        <w:footnoteReference w:id="19"/>
      </w:r>
      <w:r w:rsidRPr="00BC521A">
        <w:rPr>
          <w:rFonts w:eastAsia="Times New Roman" w:cs="Arial"/>
          <w:lang w:eastAsia="es-ES"/>
        </w:rPr>
        <w:t>, las decisiones judiciales de tribunales internacionales y de la legislación nacional</w:t>
      </w:r>
      <w:r w:rsidRPr="00BC521A">
        <w:rPr>
          <w:rFonts w:eastAsia="Times New Roman" w:cs="Arial"/>
          <w:vertAlign w:val="superscript"/>
          <w:lang w:eastAsia="es-ES"/>
        </w:rPr>
        <w:footnoteReference w:id="20"/>
      </w:r>
      <w:r w:rsidRPr="00BC521A">
        <w:rPr>
          <w:rFonts w:eastAsia="Times New Roman" w:cs="Arial"/>
          <w:lang w:eastAsia="es-ES"/>
        </w:rPr>
        <w:t>, la Dirección de Protección del Instituto Colombiano de Bienestar Familiar desarrolla acciones tendientes al restablecimiento de derechos de niños, niñas y adolescentes.</w:t>
      </w: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La Dirección de Protección participa activamente en el diseño e implementación de la política institucional para la atención especializada de niños, niñas y adolescentes, cuyos derechos se han visto vulnerados por diferentes motivos, como el maltrato, el abandono, la negligencia, la explotación sexual y comercial, la violencia sexual, el trabajo infantil, el reclutamiento forzado, el consumo de sustancias (SPA), entre otros, teniendo en cuenta un enfoque diferencial en materia de género, diversidad sexual, etnia y discapacidad.</w:t>
      </w:r>
    </w:p>
    <w:p w:rsidR="00817E2C" w:rsidRDefault="00817E2C" w:rsidP="00817E2C">
      <w:pPr>
        <w:spacing w:after="0" w:line="240" w:lineRule="auto"/>
        <w:rPr>
          <w:rFonts w:cs="Arial"/>
        </w:rPr>
      </w:pPr>
    </w:p>
    <w:p w:rsidR="00817E2C" w:rsidRPr="00D23FA4" w:rsidRDefault="00817E2C" w:rsidP="00817E2C">
      <w:pPr>
        <w:spacing w:after="0" w:line="240" w:lineRule="auto"/>
        <w:rPr>
          <w:rFonts w:cs="Arial"/>
        </w:rPr>
      </w:pPr>
    </w:p>
    <w:p w:rsidR="00817E2C" w:rsidRPr="00B25961" w:rsidRDefault="00817E2C" w:rsidP="007342CF">
      <w:pPr>
        <w:pStyle w:val="Prrafodelista"/>
        <w:keepNext/>
        <w:keepLines/>
        <w:numPr>
          <w:ilvl w:val="2"/>
          <w:numId w:val="242"/>
        </w:numPr>
        <w:spacing w:after="0" w:line="240" w:lineRule="auto"/>
        <w:outlineLvl w:val="1"/>
        <w:rPr>
          <w:rFonts w:eastAsiaTheme="majorEastAsia" w:cs="Arial"/>
          <w:b/>
        </w:rPr>
      </w:pPr>
      <w:bookmarkStart w:id="104" w:name="_Toc473581428"/>
      <w:r w:rsidRPr="00B25961">
        <w:rPr>
          <w:rFonts w:eastAsia="Times New Roman" w:cs="Arial"/>
          <w:b/>
          <w:bCs/>
          <w:kern w:val="32"/>
        </w:rPr>
        <w:t>Proceso Administrativo de Restablecimiento de Derechos – PARD</w:t>
      </w:r>
      <w:bookmarkEnd w:id="104"/>
      <w:r w:rsidRPr="00B25961">
        <w:rPr>
          <w:rFonts w:eastAsia="Times New Roman" w:cs="Arial"/>
          <w:b/>
          <w:bCs/>
          <w:kern w:val="32"/>
        </w:rPr>
        <w:t xml:space="preserve"> </w:t>
      </w:r>
    </w:p>
    <w:p w:rsidR="00817E2C" w:rsidRDefault="00817E2C"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El Proceso Administrativo de Restablecimiento de Derechos es el conjunto de actuaciones administrativas que la autoridad debe desarrollar para la restauración de la dignidad e integridad de los niños, niñas y adolescentes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rsidR="00BC521A" w:rsidRPr="00BC521A" w:rsidRDefault="00BC521A" w:rsidP="00045FE1"/>
    <w:p w:rsidR="00BC521A" w:rsidRPr="00E81A77" w:rsidRDefault="00BC521A" w:rsidP="00045FE1">
      <w:pPr>
        <w:ind w:firstLine="708"/>
        <w:rPr>
          <w:rFonts w:eastAsiaTheme="majorEastAsia"/>
          <w:b/>
        </w:rPr>
      </w:pPr>
      <w:bookmarkStart w:id="105" w:name="_Toc472519278"/>
      <w:r w:rsidRPr="00E81A77">
        <w:rPr>
          <w:rFonts w:eastAsiaTheme="majorEastAsia"/>
          <w:b/>
        </w:rPr>
        <w:t>Fortalecimiento del Proceso Administrativo de Restablecimiento de Derechos</w:t>
      </w:r>
      <w:bookmarkEnd w:id="105"/>
    </w:p>
    <w:p w:rsidR="00BC521A" w:rsidRPr="00E81A77" w:rsidRDefault="00BC521A" w:rsidP="00045FE1">
      <w:pPr>
        <w:ind w:left="1416"/>
        <w:rPr>
          <w:rFonts w:eastAsiaTheme="majorEastAsia"/>
          <w:b/>
        </w:rPr>
      </w:pPr>
      <w:bookmarkStart w:id="106" w:name="_Toc472519279"/>
      <w:r w:rsidRPr="00E81A77">
        <w:rPr>
          <w:rFonts w:eastAsiaTheme="majorEastAsia"/>
          <w:b/>
        </w:rPr>
        <w:t>Virtualización y codificación de las guías del rol de los profesionales de las defensorías de familia dentro del PARD</w:t>
      </w:r>
      <w:bookmarkEnd w:id="106"/>
    </w:p>
    <w:p w:rsidR="00BC521A" w:rsidRPr="00BC521A" w:rsidRDefault="00BC521A" w:rsidP="00BC521A">
      <w:pPr>
        <w:spacing w:after="0" w:line="240" w:lineRule="auto"/>
        <w:jc w:val="both"/>
        <w:rPr>
          <w:rFonts w:cs="Arial"/>
        </w:rPr>
      </w:pPr>
      <w:r w:rsidRPr="00BC521A">
        <w:rPr>
          <w:rFonts w:cs="Arial"/>
        </w:rPr>
        <w:lastRenderedPageBreak/>
        <w:t>La Coordinación de Autoridades Administrativas en articulación con la Dirección de Gestión Humana, inició una estrategia a través del diseño de módulos de apoyo virtuales, con los cuales, los profesionales adquieren orientaciones técnicas que le permiten desarrollar sus funciones adecuadamente, evitando improvisaciones, valoraciones erradas, revictimización de los menores de edad e investigaciones disciplinarias; así mismo, se busca unificar criterios en torno al rol de cada uno de los profesionales que integran las Defensorías de Familia, en el marco del Proceso Administrativo de Restablecimiento de Derechos (PARD).</w:t>
      </w:r>
    </w:p>
    <w:p w:rsidR="00BC521A" w:rsidRPr="00BC521A" w:rsidRDefault="00BC521A" w:rsidP="00BC521A">
      <w:pPr>
        <w:spacing w:after="0" w:line="240" w:lineRule="auto"/>
        <w:jc w:val="both"/>
        <w:rPr>
          <w:rFonts w:cs="Arial"/>
          <w:lang w:val="es-CO"/>
        </w:rPr>
      </w:pPr>
    </w:p>
    <w:p w:rsidR="00BC521A" w:rsidRPr="00BC521A" w:rsidRDefault="00BC521A" w:rsidP="00BC521A">
      <w:pPr>
        <w:spacing w:after="0" w:line="240" w:lineRule="auto"/>
        <w:jc w:val="both"/>
        <w:rPr>
          <w:rFonts w:cs="Arial"/>
        </w:rPr>
      </w:pPr>
      <w:r w:rsidRPr="00BC521A">
        <w:rPr>
          <w:rFonts w:cs="Arial"/>
        </w:rPr>
        <w:t>Al respecto, se han elaborado tres guías técnicas que han sido virtualizadas en la Escuela Virtual del ICBF, así:</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ind w:left="284"/>
        <w:jc w:val="both"/>
        <w:rPr>
          <w:rFonts w:cs="Arial"/>
        </w:rPr>
      </w:pPr>
      <w:r w:rsidRPr="00BC521A">
        <w:rPr>
          <w:rFonts w:cs="Arial"/>
          <w:b/>
        </w:rPr>
        <w:t>Guía Técnica para el profesional en Trabajo Social:</w:t>
      </w:r>
      <w:r w:rsidRPr="00BC521A">
        <w:rPr>
          <w:rFonts w:cs="Arial"/>
        </w:rPr>
        <w:t xml:space="preserve"> se encuentra virtualizada desde mayo de 2014 y actualmente se está iniciando un proceso de actualización de este documento, contando para su construcción y validación la participación de los trabajadores sociales a nivel nacional.</w:t>
      </w:r>
    </w:p>
    <w:p w:rsidR="00BC521A" w:rsidRPr="00BC521A" w:rsidRDefault="00BC521A" w:rsidP="00BC521A">
      <w:pPr>
        <w:spacing w:after="0" w:line="240" w:lineRule="auto"/>
        <w:ind w:left="284"/>
        <w:jc w:val="both"/>
        <w:rPr>
          <w:rFonts w:cs="Arial"/>
        </w:rPr>
      </w:pPr>
    </w:p>
    <w:p w:rsidR="00BC521A" w:rsidRPr="00BC521A" w:rsidRDefault="00BC521A" w:rsidP="00BC521A">
      <w:pPr>
        <w:spacing w:after="0" w:line="240" w:lineRule="auto"/>
        <w:ind w:left="284"/>
        <w:jc w:val="both"/>
        <w:rPr>
          <w:rFonts w:cs="Arial"/>
        </w:rPr>
      </w:pPr>
      <w:r w:rsidRPr="00BC521A">
        <w:rPr>
          <w:rFonts w:cs="Arial"/>
          <w:b/>
        </w:rPr>
        <w:t>Guía Técnica para el profesional en Nutrición</w:t>
      </w:r>
      <w:r w:rsidRPr="00BC521A">
        <w:rPr>
          <w:rFonts w:cs="Arial"/>
        </w:rPr>
        <w:t>: Durante el 2016 la guía hizo parte de la oferta académica de la Escuela Virtual, a través de cuatro convocatorias.</w:t>
      </w:r>
    </w:p>
    <w:p w:rsidR="00BC521A" w:rsidRPr="00BC521A" w:rsidRDefault="00BC521A" w:rsidP="00BC521A">
      <w:pPr>
        <w:spacing w:after="0" w:line="240" w:lineRule="auto"/>
        <w:ind w:left="284"/>
        <w:jc w:val="both"/>
        <w:rPr>
          <w:rFonts w:cs="Arial"/>
        </w:rPr>
      </w:pPr>
      <w:r w:rsidRPr="00BC521A">
        <w:rPr>
          <w:rFonts w:cs="Arial"/>
        </w:rPr>
        <w:t>En el segundo semestre del año 2016 se inició el proceso en articulación con la Subdirección de Mejoramiento organizacional para que la guía sea codificada y controlada bajo el sistema de gestión de calidad.</w:t>
      </w:r>
    </w:p>
    <w:p w:rsidR="00BC521A" w:rsidRPr="00BC521A" w:rsidRDefault="00BC521A" w:rsidP="00BC521A">
      <w:pPr>
        <w:spacing w:after="0" w:line="240" w:lineRule="auto"/>
        <w:ind w:left="284"/>
        <w:jc w:val="both"/>
        <w:rPr>
          <w:rFonts w:cs="Arial"/>
        </w:rPr>
      </w:pPr>
    </w:p>
    <w:p w:rsidR="00BC521A" w:rsidRPr="00BC521A" w:rsidRDefault="00BC521A" w:rsidP="00BC521A">
      <w:pPr>
        <w:spacing w:after="0" w:line="240" w:lineRule="auto"/>
        <w:ind w:left="284"/>
        <w:jc w:val="both"/>
        <w:rPr>
          <w:rFonts w:cs="Arial"/>
        </w:rPr>
      </w:pPr>
      <w:r w:rsidRPr="00BC521A">
        <w:rPr>
          <w:rFonts w:cs="Arial"/>
          <w:b/>
        </w:rPr>
        <w:t>Guía Técnica para el profesional en Psicología:</w:t>
      </w:r>
      <w:r w:rsidRPr="00BC521A">
        <w:rPr>
          <w:rFonts w:cs="Arial"/>
        </w:rPr>
        <w:t xml:space="preserve"> A partir del año 2016, esta Guía está siendo ofertada por parte de la Escuela ICBF. </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Adicional a lo expuesto, en el mes de agosto del 2016 se suscribió el convenio de asociación No. 1437 entre el ICBF y el Colegio Colombiano de Psicólogos, con el objeto de adelantar acciones conjuntas de carácter académico para unificar términos y conceptos técnicos en cuanto al rol misional del psicólogo en los trámites de restablecimiento de derechos. En este marco, se revisó paso a paso el contenido de la Guía para lograr codificarla, así como sus anexos respectivos, como se específica en el Anexo 1 del presente informe.</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A continuación, relacionamos el número de profesionales que se han beneficiado con la virtualización de estas guías:</w:t>
      </w:r>
    </w:p>
    <w:p w:rsidR="00BC521A" w:rsidRPr="00BC521A" w:rsidRDefault="00BC521A" w:rsidP="00BC521A">
      <w:pPr>
        <w:spacing w:after="0" w:line="240" w:lineRule="auto"/>
        <w:jc w:val="both"/>
        <w:rPr>
          <w:rFonts w:cs="Arial"/>
        </w:rPr>
      </w:pPr>
    </w:p>
    <w:tbl>
      <w:tblPr>
        <w:tblW w:w="745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654"/>
        <w:gridCol w:w="3802"/>
      </w:tblGrid>
      <w:tr w:rsidR="00BC521A" w:rsidRPr="00BC521A" w:rsidTr="00CF694D">
        <w:trPr>
          <w:trHeight w:val="276"/>
          <w:jc w:val="center"/>
        </w:trPr>
        <w:tc>
          <w:tcPr>
            <w:tcW w:w="3654" w:type="dxa"/>
            <w:shd w:val="clear" w:color="auto" w:fill="76923C" w:themeFill="accent3" w:themeFillShade="BF"/>
            <w:noWrap/>
            <w:vAlign w:val="center"/>
            <w:hideMark/>
          </w:tcPr>
          <w:p w:rsidR="00BC521A" w:rsidRPr="00CF694D" w:rsidRDefault="00CF694D" w:rsidP="00BC521A">
            <w:pPr>
              <w:spacing w:after="0" w:line="240" w:lineRule="auto"/>
              <w:jc w:val="center"/>
              <w:rPr>
                <w:rFonts w:eastAsia="Times New Roman" w:cs="Arial"/>
                <w:b/>
                <w:bCs/>
                <w:color w:val="FFFFFF" w:themeColor="background1"/>
                <w:sz w:val="18"/>
                <w:szCs w:val="20"/>
                <w:lang w:val="es-CO" w:eastAsia="es-CO"/>
              </w:rPr>
            </w:pPr>
            <w:r w:rsidRPr="00CF694D">
              <w:rPr>
                <w:rFonts w:eastAsia="Times New Roman" w:cs="Arial"/>
                <w:b/>
                <w:bCs/>
                <w:color w:val="FFFFFF" w:themeColor="background1"/>
                <w:sz w:val="18"/>
                <w:szCs w:val="20"/>
                <w:lang w:val="es-CO" w:eastAsia="es-CO"/>
              </w:rPr>
              <w:t>Nombre Curso</w:t>
            </w:r>
          </w:p>
        </w:tc>
        <w:tc>
          <w:tcPr>
            <w:tcW w:w="3802" w:type="dxa"/>
            <w:shd w:val="clear" w:color="auto" w:fill="76923C" w:themeFill="accent3" w:themeFillShade="BF"/>
            <w:noWrap/>
            <w:vAlign w:val="center"/>
            <w:hideMark/>
          </w:tcPr>
          <w:p w:rsidR="00BC521A" w:rsidRPr="00CF694D" w:rsidRDefault="00CF694D" w:rsidP="00BC521A">
            <w:pPr>
              <w:spacing w:after="0" w:line="240" w:lineRule="auto"/>
              <w:jc w:val="center"/>
              <w:rPr>
                <w:rFonts w:eastAsia="Times New Roman" w:cs="Arial"/>
                <w:b/>
                <w:bCs/>
                <w:color w:val="FFFFFF" w:themeColor="background1"/>
                <w:sz w:val="18"/>
                <w:szCs w:val="20"/>
                <w:lang w:val="es-CO" w:eastAsia="es-CO"/>
              </w:rPr>
            </w:pPr>
            <w:r w:rsidRPr="00CF694D">
              <w:rPr>
                <w:rFonts w:eastAsia="Times New Roman" w:cs="Arial"/>
                <w:b/>
                <w:bCs/>
                <w:color w:val="FFFFFF" w:themeColor="background1"/>
                <w:sz w:val="18"/>
                <w:szCs w:val="20"/>
                <w:lang w:val="es-CO" w:eastAsia="es-CO"/>
              </w:rPr>
              <w:t>Asistentes</w:t>
            </w:r>
          </w:p>
        </w:tc>
      </w:tr>
      <w:tr w:rsidR="00BC521A" w:rsidRPr="00BC521A" w:rsidTr="00CF694D">
        <w:trPr>
          <w:trHeight w:val="263"/>
          <w:jc w:val="center"/>
        </w:trPr>
        <w:tc>
          <w:tcPr>
            <w:tcW w:w="3654" w:type="dxa"/>
            <w:shd w:val="clear" w:color="auto" w:fill="auto"/>
            <w:vAlign w:val="center"/>
            <w:hideMark/>
          </w:tcPr>
          <w:p w:rsidR="00BC521A" w:rsidRPr="00BC521A" w:rsidRDefault="00BC521A" w:rsidP="00BC521A">
            <w:pPr>
              <w:spacing w:after="0" w:line="240" w:lineRule="auto"/>
              <w:jc w:val="center"/>
              <w:rPr>
                <w:rFonts w:eastAsia="Times New Roman" w:cs="Arial"/>
                <w:bCs/>
                <w:sz w:val="18"/>
                <w:szCs w:val="20"/>
                <w:lang w:val="es-CO" w:eastAsia="es-CO"/>
              </w:rPr>
            </w:pPr>
            <w:r w:rsidRPr="00BC521A">
              <w:rPr>
                <w:rFonts w:eastAsia="Times New Roman" w:cs="Arial"/>
                <w:bCs/>
                <w:sz w:val="18"/>
                <w:szCs w:val="20"/>
                <w:lang w:val="es-CO" w:eastAsia="es-CO"/>
              </w:rPr>
              <w:t>Guía de Trabajo Social</w:t>
            </w:r>
          </w:p>
        </w:tc>
        <w:tc>
          <w:tcPr>
            <w:tcW w:w="3802" w:type="dxa"/>
            <w:shd w:val="clear" w:color="auto" w:fill="auto"/>
            <w:noWrap/>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340</w:t>
            </w:r>
          </w:p>
        </w:tc>
      </w:tr>
      <w:tr w:rsidR="00BC521A" w:rsidRPr="00BC521A" w:rsidTr="00CF694D">
        <w:trPr>
          <w:trHeight w:val="248"/>
          <w:jc w:val="center"/>
        </w:trPr>
        <w:tc>
          <w:tcPr>
            <w:tcW w:w="3654" w:type="dxa"/>
            <w:shd w:val="clear" w:color="auto" w:fill="auto"/>
            <w:vAlign w:val="center"/>
            <w:hideMark/>
          </w:tcPr>
          <w:p w:rsidR="00BC521A" w:rsidRPr="00BC521A" w:rsidRDefault="00BC521A" w:rsidP="00BC521A">
            <w:pPr>
              <w:spacing w:after="0" w:line="240" w:lineRule="auto"/>
              <w:jc w:val="center"/>
              <w:rPr>
                <w:rFonts w:eastAsia="Times New Roman" w:cs="Arial"/>
                <w:bCs/>
                <w:sz w:val="18"/>
                <w:szCs w:val="20"/>
                <w:lang w:val="es-CO" w:eastAsia="es-CO"/>
              </w:rPr>
            </w:pPr>
            <w:r w:rsidRPr="00BC521A">
              <w:rPr>
                <w:rFonts w:eastAsia="Times New Roman" w:cs="Arial"/>
                <w:bCs/>
                <w:sz w:val="18"/>
                <w:szCs w:val="20"/>
                <w:lang w:val="es-CO" w:eastAsia="es-CO"/>
              </w:rPr>
              <w:t>Guía de Nutrición</w:t>
            </w:r>
          </w:p>
        </w:tc>
        <w:tc>
          <w:tcPr>
            <w:tcW w:w="3802" w:type="dxa"/>
            <w:shd w:val="clear" w:color="auto" w:fill="auto"/>
            <w:vAlign w:val="center"/>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317</w:t>
            </w:r>
          </w:p>
        </w:tc>
      </w:tr>
      <w:tr w:rsidR="00BC521A" w:rsidRPr="00BC521A" w:rsidTr="00CF694D">
        <w:trPr>
          <w:trHeight w:val="276"/>
          <w:jc w:val="center"/>
        </w:trPr>
        <w:tc>
          <w:tcPr>
            <w:tcW w:w="3654" w:type="dxa"/>
            <w:shd w:val="clear" w:color="auto" w:fill="auto"/>
            <w:vAlign w:val="center"/>
            <w:hideMark/>
          </w:tcPr>
          <w:p w:rsidR="00BC521A" w:rsidRPr="00BC521A" w:rsidRDefault="00BC521A" w:rsidP="00BC521A">
            <w:pPr>
              <w:spacing w:after="0" w:line="240" w:lineRule="auto"/>
              <w:jc w:val="center"/>
              <w:rPr>
                <w:rFonts w:eastAsia="Times New Roman" w:cs="Arial"/>
                <w:bCs/>
                <w:sz w:val="18"/>
                <w:szCs w:val="20"/>
                <w:lang w:val="es-CO" w:eastAsia="es-CO"/>
              </w:rPr>
            </w:pPr>
            <w:r w:rsidRPr="00BC521A">
              <w:rPr>
                <w:rFonts w:eastAsia="Times New Roman" w:cs="Arial"/>
                <w:bCs/>
                <w:sz w:val="18"/>
                <w:szCs w:val="20"/>
                <w:lang w:val="es-CO" w:eastAsia="es-CO"/>
              </w:rPr>
              <w:t>Guía de Psicología</w:t>
            </w:r>
          </w:p>
        </w:tc>
        <w:tc>
          <w:tcPr>
            <w:tcW w:w="3802" w:type="dxa"/>
            <w:shd w:val="clear" w:color="auto" w:fill="auto"/>
            <w:noWrap/>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606</w:t>
            </w:r>
          </w:p>
        </w:tc>
      </w:tr>
      <w:tr w:rsidR="00CF694D" w:rsidRPr="00CF694D" w:rsidTr="00CF694D">
        <w:trPr>
          <w:trHeight w:val="276"/>
          <w:jc w:val="center"/>
        </w:trPr>
        <w:tc>
          <w:tcPr>
            <w:tcW w:w="3654" w:type="dxa"/>
            <w:shd w:val="clear" w:color="auto" w:fill="E2EFDA"/>
            <w:noWrap/>
            <w:vAlign w:val="center"/>
            <w:hideMark/>
          </w:tcPr>
          <w:p w:rsidR="00BC521A" w:rsidRPr="00CF694D" w:rsidRDefault="00BC521A" w:rsidP="00BC521A">
            <w:pPr>
              <w:spacing w:after="0" w:line="240" w:lineRule="auto"/>
              <w:jc w:val="center"/>
              <w:rPr>
                <w:rFonts w:eastAsia="Times New Roman" w:cs="Arial"/>
                <w:b/>
                <w:bCs/>
                <w:sz w:val="18"/>
                <w:szCs w:val="20"/>
                <w:lang w:val="es-CO" w:eastAsia="es-CO"/>
              </w:rPr>
            </w:pPr>
            <w:r w:rsidRPr="00CF694D">
              <w:rPr>
                <w:rFonts w:eastAsia="Times New Roman" w:cs="Arial"/>
                <w:b/>
                <w:bCs/>
                <w:sz w:val="18"/>
                <w:szCs w:val="20"/>
                <w:lang w:val="es-CO" w:eastAsia="es-CO"/>
              </w:rPr>
              <w:t>TOTAL</w:t>
            </w:r>
          </w:p>
        </w:tc>
        <w:tc>
          <w:tcPr>
            <w:tcW w:w="3802" w:type="dxa"/>
            <w:shd w:val="clear" w:color="auto" w:fill="E2EFDA"/>
            <w:noWrap/>
            <w:vAlign w:val="center"/>
            <w:hideMark/>
          </w:tcPr>
          <w:p w:rsidR="00BC521A" w:rsidRPr="00CF694D" w:rsidRDefault="00BC521A" w:rsidP="00BC521A">
            <w:pPr>
              <w:spacing w:after="0" w:line="240" w:lineRule="auto"/>
              <w:jc w:val="center"/>
              <w:rPr>
                <w:rFonts w:eastAsia="Times New Roman" w:cs="Arial"/>
                <w:b/>
                <w:bCs/>
                <w:sz w:val="18"/>
                <w:szCs w:val="20"/>
                <w:lang w:val="es-CO" w:eastAsia="es-CO"/>
              </w:rPr>
            </w:pPr>
            <w:r w:rsidRPr="00CF694D">
              <w:rPr>
                <w:rFonts w:eastAsia="Times New Roman" w:cs="Arial"/>
                <w:b/>
                <w:bCs/>
                <w:sz w:val="18"/>
                <w:szCs w:val="20"/>
                <w:lang w:val="es-CO" w:eastAsia="es-CO"/>
              </w:rPr>
              <w:t>1.263</w:t>
            </w:r>
          </w:p>
        </w:tc>
      </w:tr>
    </w:tbl>
    <w:p w:rsidR="006C4626" w:rsidRPr="006C4626" w:rsidRDefault="006C4626" w:rsidP="00AE7E32">
      <w:pPr>
        <w:spacing w:line="240" w:lineRule="atLeast"/>
        <w:rPr>
          <w:i/>
          <w:iCs/>
          <w:sz w:val="16"/>
        </w:rPr>
      </w:pPr>
      <w:r w:rsidRPr="0032073C">
        <w:rPr>
          <w:b/>
          <w:iCs/>
          <w:sz w:val="16"/>
        </w:rPr>
        <w:t>Fuente</w:t>
      </w:r>
      <w:r>
        <w:rPr>
          <w:iCs/>
          <w:sz w:val="16"/>
        </w:rPr>
        <w:t>: Dirección de Protección.</w:t>
      </w:r>
      <w:r>
        <w:rPr>
          <w:i/>
          <w:iCs/>
          <w:sz w:val="16"/>
        </w:rPr>
        <w:t xml:space="preserve"> </w:t>
      </w:r>
      <w:r w:rsidRPr="00D21160">
        <w:rPr>
          <w:i/>
          <w:iCs/>
          <w:sz w:val="16"/>
        </w:rPr>
        <w:t xml:space="preserve">Nota: Información preliminar, sujeta a actualización del cierre oficial de metas sociales </w:t>
      </w:r>
      <w:r>
        <w:rPr>
          <w:i/>
          <w:iCs/>
          <w:sz w:val="16"/>
        </w:rPr>
        <w:t xml:space="preserve">    </w:t>
      </w:r>
      <w:r w:rsidR="00AE7E32">
        <w:rPr>
          <w:i/>
          <w:iCs/>
          <w:sz w:val="16"/>
        </w:rPr>
        <w:t xml:space="preserve">  </w:t>
      </w:r>
      <w:r w:rsidRPr="00D21160">
        <w:rPr>
          <w:i/>
          <w:iCs/>
          <w:sz w:val="16"/>
        </w:rPr>
        <w:t>y financieras.</w:t>
      </w:r>
    </w:p>
    <w:p w:rsidR="006C4626" w:rsidRDefault="006C4626" w:rsidP="006C4626">
      <w:pPr>
        <w:spacing w:after="0" w:line="240" w:lineRule="auto"/>
        <w:jc w:val="both"/>
        <w:rPr>
          <w:rFonts w:cs="Arial"/>
          <w:sz w:val="16"/>
          <w:lang w:val="es-CO" w:eastAsia="es-ES"/>
        </w:rPr>
      </w:pPr>
    </w:p>
    <w:p w:rsidR="00AE7E32" w:rsidRPr="00D21160" w:rsidRDefault="00AE7E32" w:rsidP="006C4626">
      <w:pPr>
        <w:spacing w:after="0" w:line="240" w:lineRule="auto"/>
        <w:jc w:val="both"/>
        <w:rPr>
          <w:rFonts w:cs="Arial"/>
          <w:sz w:val="16"/>
          <w:lang w:val="es-CO" w:eastAsia="es-ES"/>
        </w:rPr>
      </w:pPr>
    </w:p>
    <w:p w:rsidR="00BC521A" w:rsidRDefault="00BC521A" w:rsidP="00045FE1"/>
    <w:p w:rsidR="00BC521A" w:rsidRPr="00E81A77" w:rsidRDefault="00BC521A" w:rsidP="00045FE1">
      <w:pPr>
        <w:ind w:firstLine="708"/>
        <w:rPr>
          <w:rFonts w:eastAsiaTheme="majorEastAsia"/>
          <w:b/>
        </w:rPr>
      </w:pPr>
      <w:bookmarkStart w:id="107" w:name="_Toc472519280"/>
      <w:r w:rsidRPr="00E81A77">
        <w:rPr>
          <w:rFonts w:eastAsiaTheme="majorEastAsia"/>
          <w:b/>
        </w:rPr>
        <w:lastRenderedPageBreak/>
        <w:t>Acompañamiento para el Restablecimiento de Derechos</w:t>
      </w:r>
      <w:bookmarkEnd w:id="107"/>
    </w:p>
    <w:p w:rsidR="00BC521A" w:rsidRPr="00BC521A" w:rsidRDefault="00BC521A" w:rsidP="00BC521A">
      <w:pPr>
        <w:spacing w:after="0" w:line="240" w:lineRule="auto"/>
        <w:jc w:val="both"/>
        <w:rPr>
          <w:rFonts w:cs="Arial"/>
        </w:rPr>
      </w:pPr>
      <w:r w:rsidRPr="00BC521A">
        <w:rPr>
          <w:rFonts w:cs="Arial"/>
        </w:rPr>
        <w:t>El Comité Consultivo para el restablecimiento de Derechos tiene el propósito de brindar orientación, asistencia técnica y emitir recomendaciones técnico-jurídicas a las autoridades administrativas, frente a los trámites de restablecimiento de derechos de los niños, las niñas y los adolescentes que requieren de especial estudio y análisis por la complejidad que presentan. Los Comités Consultivos para el restablecimiento de Derechos se pueden desarrollar a nivel de los centros zonales, de las regionales y de la sede nacional.</w:t>
      </w:r>
    </w:p>
    <w:p w:rsidR="00BC521A" w:rsidRPr="00BC521A" w:rsidRDefault="00BC521A" w:rsidP="00BC521A">
      <w:pPr>
        <w:spacing w:after="0" w:line="240" w:lineRule="auto"/>
        <w:jc w:val="both"/>
        <w:rPr>
          <w:rFonts w:cs="Arial"/>
          <w:b/>
        </w:rPr>
      </w:pPr>
    </w:p>
    <w:p w:rsidR="00BC521A" w:rsidRPr="00BC521A" w:rsidRDefault="00BC521A" w:rsidP="00BC521A">
      <w:pPr>
        <w:spacing w:after="0" w:line="240" w:lineRule="auto"/>
        <w:jc w:val="both"/>
        <w:rPr>
          <w:rFonts w:cs="Arial"/>
        </w:rPr>
      </w:pPr>
      <w:r w:rsidRPr="00BC521A">
        <w:rPr>
          <w:rFonts w:cs="Arial"/>
          <w:b/>
        </w:rPr>
        <w:t xml:space="preserve">Comité Técnico Consultivo Nacional y Regional para el Restablecimiento de Derechos: </w:t>
      </w:r>
      <w:r w:rsidRPr="00BC521A">
        <w:rPr>
          <w:rFonts w:cs="Arial"/>
        </w:rPr>
        <w:t>En el 2016 se desarrollaron 6 Comités Técnico Consultivos Nacionales, brindando recomendaciones frente a actuaciones administrativas de 17 casos de niños, niñas y adolescentes.</w:t>
      </w:r>
    </w:p>
    <w:p w:rsidR="00BC521A" w:rsidRPr="00BC521A" w:rsidRDefault="00BC521A" w:rsidP="00BC521A">
      <w:pPr>
        <w:tabs>
          <w:tab w:val="left" w:pos="1134"/>
        </w:tabs>
        <w:spacing w:after="0" w:line="240" w:lineRule="auto"/>
        <w:contextualSpacing/>
        <w:jc w:val="both"/>
        <w:rPr>
          <w:rFonts w:cs="Arial"/>
        </w:rPr>
      </w:pPr>
    </w:p>
    <w:p w:rsidR="00BC521A" w:rsidRPr="00BC521A" w:rsidRDefault="00BC521A" w:rsidP="00BC521A">
      <w:pPr>
        <w:tabs>
          <w:tab w:val="left" w:pos="1134"/>
        </w:tabs>
        <w:spacing w:after="0" w:line="240" w:lineRule="auto"/>
        <w:contextualSpacing/>
        <w:jc w:val="both"/>
        <w:rPr>
          <w:rFonts w:cs="Arial"/>
        </w:rPr>
      </w:pPr>
      <w:r w:rsidRPr="00BC521A">
        <w:rPr>
          <w:rFonts w:cs="Arial"/>
        </w:rPr>
        <w:t>A nivel Regional, se continuó con la implementación de la estrategia de acompañamiento de la Sede de la Dirección General en los Comités Técnico Consultivo Regionales de manera presencial, espacios en los cuales se orienta y brindan recomendaciones frente a las actuaciones administrativas de las Defensorías de Familia, con el fin de garantizar su restablecimiento.</w:t>
      </w:r>
    </w:p>
    <w:p w:rsidR="00BC521A" w:rsidRPr="00BC521A" w:rsidRDefault="00BC521A" w:rsidP="00BC521A">
      <w:pPr>
        <w:tabs>
          <w:tab w:val="left" w:pos="1134"/>
        </w:tabs>
        <w:spacing w:after="0" w:line="240" w:lineRule="auto"/>
        <w:ind w:left="426"/>
        <w:contextualSpacing/>
        <w:jc w:val="both"/>
        <w:rPr>
          <w:rFonts w:cs="Arial"/>
        </w:rPr>
      </w:pPr>
    </w:p>
    <w:tbl>
      <w:tblPr>
        <w:tblW w:w="939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977"/>
        <w:gridCol w:w="1696"/>
        <w:gridCol w:w="2982"/>
        <w:gridCol w:w="1736"/>
      </w:tblGrid>
      <w:tr w:rsidR="00BC521A" w:rsidRPr="00F36BFE" w:rsidTr="00985DD9">
        <w:trPr>
          <w:cantSplit/>
          <w:trHeight w:val="373"/>
          <w:tblHeader/>
          <w:jc w:val="center"/>
        </w:trPr>
        <w:tc>
          <w:tcPr>
            <w:tcW w:w="2977" w:type="dxa"/>
            <w:shd w:val="clear" w:color="auto" w:fill="76923C" w:themeFill="accent3" w:themeFillShade="BF"/>
            <w:vAlign w:val="center"/>
            <w:hideMark/>
          </w:tcPr>
          <w:p w:rsidR="00BC521A" w:rsidRPr="00F36BFE" w:rsidRDefault="00CF694D" w:rsidP="00BC521A">
            <w:pPr>
              <w:spacing w:after="0" w:line="240" w:lineRule="auto"/>
              <w:jc w:val="center"/>
              <w:rPr>
                <w:rFonts w:cs="Arial"/>
                <w:b/>
                <w:color w:val="FFFFFF" w:themeColor="background1"/>
                <w:sz w:val="18"/>
                <w:szCs w:val="18"/>
              </w:rPr>
            </w:pPr>
            <w:r w:rsidRPr="00F36BFE">
              <w:rPr>
                <w:rFonts w:cs="Arial"/>
                <w:b/>
                <w:color w:val="FFFFFF" w:themeColor="background1"/>
                <w:sz w:val="18"/>
                <w:szCs w:val="18"/>
              </w:rPr>
              <w:t xml:space="preserve">Regionales </w:t>
            </w:r>
            <w:r w:rsidR="00F36BFE" w:rsidRPr="00F36BFE">
              <w:rPr>
                <w:rFonts w:cs="Arial"/>
                <w:b/>
                <w:color w:val="FFFFFF" w:themeColor="background1"/>
                <w:sz w:val="18"/>
                <w:szCs w:val="18"/>
              </w:rPr>
              <w:t>2015</w:t>
            </w:r>
          </w:p>
        </w:tc>
        <w:tc>
          <w:tcPr>
            <w:tcW w:w="1696" w:type="dxa"/>
            <w:shd w:val="clear" w:color="auto" w:fill="76923C" w:themeFill="accent3" w:themeFillShade="BF"/>
            <w:vAlign w:val="center"/>
            <w:hideMark/>
          </w:tcPr>
          <w:p w:rsidR="00BC521A" w:rsidRPr="00F36BFE" w:rsidRDefault="00CF694D" w:rsidP="00BC521A">
            <w:pPr>
              <w:spacing w:after="0" w:line="240" w:lineRule="auto"/>
              <w:jc w:val="center"/>
              <w:rPr>
                <w:rFonts w:cs="Arial"/>
                <w:b/>
                <w:color w:val="FFFFFF" w:themeColor="background1"/>
                <w:sz w:val="18"/>
                <w:szCs w:val="18"/>
              </w:rPr>
            </w:pPr>
            <w:r w:rsidRPr="00F36BFE">
              <w:rPr>
                <w:rFonts w:cs="Arial"/>
                <w:b/>
                <w:color w:val="FFFFFF" w:themeColor="background1"/>
                <w:sz w:val="18"/>
                <w:szCs w:val="18"/>
              </w:rPr>
              <w:t>N</w:t>
            </w:r>
            <w:r w:rsidR="00F36BFE" w:rsidRPr="00F36BFE">
              <w:rPr>
                <w:rFonts w:cs="Arial"/>
                <w:b/>
                <w:color w:val="FFFFFF" w:themeColor="background1"/>
                <w:sz w:val="18"/>
                <w:szCs w:val="18"/>
              </w:rPr>
              <w:t xml:space="preserve">° </w:t>
            </w:r>
            <w:r w:rsidRPr="00F36BFE">
              <w:rPr>
                <w:rFonts w:cs="Arial"/>
                <w:b/>
                <w:color w:val="FFFFFF" w:themeColor="background1"/>
                <w:sz w:val="18"/>
                <w:szCs w:val="18"/>
              </w:rPr>
              <w:t>Casos Analizados</w:t>
            </w:r>
          </w:p>
        </w:tc>
        <w:tc>
          <w:tcPr>
            <w:tcW w:w="2982" w:type="dxa"/>
            <w:shd w:val="clear" w:color="auto" w:fill="76923C" w:themeFill="accent3" w:themeFillShade="BF"/>
            <w:vAlign w:val="center"/>
            <w:hideMark/>
          </w:tcPr>
          <w:p w:rsidR="00BC521A" w:rsidRPr="00F36BFE" w:rsidRDefault="00CF694D" w:rsidP="00BC521A">
            <w:pPr>
              <w:spacing w:after="0" w:line="240" w:lineRule="auto"/>
              <w:jc w:val="center"/>
              <w:rPr>
                <w:rFonts w:cs="Arial"/>
                <w:b/>
                <w:color w:val="FFFFFF" w:themeColor="background1"/>
                <w:sz w:val="18"/>
                <w:szCs w:val="18"/>
              </w:rPr>
            </w:pPr>
            <w:r w:rsidRPr="00F36BFE">
              <w:rPr>
                <w:rFonts w:cs="Arial"/>
                <w:b/>
                <w:color w:val="FFFFFF" w:themeColor="background1"/>
                <w:sz w:val="18"/>
                <w:szCs w:val="18"/>
              </w:rPr>
              <w:t xml:space="preserve">Regionales </w:t>
            </w:r>
            <w:r w:rsidR="00F36BFE" w:rsidRPr="00F36BFE">
              <w:rPr>
                <w:rFonts w:cs="Arial"/>
                <w:b/>
                <w:color w:val="FFFFFF" w:themeColor="background1"/>
                <w:sz w:val="18"/>
                <w:szCs w:val="18"/>
              </w:rPr>
              <w:t>2016</w:t>
            </w:r>
          </w:p>
        </w:tc>
        <w:tc>
          <w:tcPr>
            <w:tcW w:w="1736" w:type="dxa"/>
            <w:shd w:val="clear" w:color="auto" w:fill="76923C" w:themeFill="accent3" w:themeFillShade="BF"/>
            <w:vAlign w:val="center"/>
            <w:hideMark/>
          </w:tcPr>
          <w:p w:rsidR="00BC521A" w:rsidRPr="00F36BFE" w:rsidRDefault="00CF694D" w:rsidP="00BC521A">
            <w:pPr>
              <w:spacing w:after="0" w:line="240" w:lineRule="auto"/>
              <w:jc w:val="center"/>
              <w:rPr>
                <w:rFonts w:cs="Arial"/>
                <w:b/>
                <w:color w:val="FFFFFF" w:themeColor="background1"/>
                <w:sz w:val="18"/>
                <w:szCs w:val="18"/>
              </w:rPr>
            </w:pPr>
            <w:r w:rsidRPr="00F36BFE">
              <w:rPr>
                <w:rFonts w:cs="Arial"/>
                <w:b/>
                <w:color w:val="FFFFFF" w:themeColor="background1"/>
                <w:sz w:val="18"/>
                <w:szCs w:val="18"/>
              </w:rPr>
              <w:t>N</w:t>
            </w:r>
            <w:r w:rsidR="00F36BFE" w:rsidRPr="00F36BFE">
              <w:rPr>
                <w:rFonts w:cs="Arial"/>
                <w:b/>
                <w:color w:val="FFFFFF" w:themeColor="background1"/>
                <w:sz w:val="18"/>
                <w:szCs w:val="18"/>
              </w:rPr>
              <w:t xml:space="preserve">° </w:t>
            </w:r>
            <w:r w:rsidRPr="00F36BFE">
              <w:rPr>
                <w:rFonts w:cs="Arial"/>
                <w:b/>
                <w:color w:val="FFFFFF" w:themeColor="background1"/>
                <w:sz w:val="18"/>
                <w:szCs w:val="18"/>
              </w:rPr>
              <w:t>Casos Analizados</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Amazonas</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12</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Magdalena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23</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Atlántico</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Casanare</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32</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Antioquia</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Huila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31</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Boyacá</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Cesar</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31</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Cauca</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36</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Atlántico</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24</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Caldas</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40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Norte De Santander</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48</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Córdoba</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52</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Santander</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34</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Risaralda</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25</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Arauca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25</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Valle</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23</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Córdoba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29</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Santander</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Meta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30</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Quindío</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Caquetá</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24</w:t>
            </w:r>
          </w:p>
        </w:tc>
      </w:tr>
      <w:tr w:rsidR="00BC521A" w:rsidRPr="00F36BFE" w:rsidTr="00985DD9">
        <w:trPr>
          <w:trHeight w:val="291"/>
          <w:jc w:val="center"/>
        </w:trPr>
        <w:tc>
          <w:tcPr>
            <w:tcW w:w="2977"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Bolivar</w:t>
            </w:r>
          </w:p>
        </w:tc>
        <w:tc>
          <w:tcPr>
            <w:tcW w:w="169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30</w:t>
            </w:r>
          </w:p>
        </w:tc>
        <w:tc>
          <w:tcPr>
            <w:tcW w:w="2982"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La Guajira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22</w:t>
            </w:r>
          </w:p>
        </w:tc>
      </w:tr>
      <w:tr w:rsidR="00BC521A" w:rsidRPr="00F36BFE" w:rsidTr="00985DD9">
        <w:trPr>
          <w:trHeight w:val="291"/>
          <w:jc w:val="center"/>
        </w:trPr>
        <w:tc>
          <w:tcPr>
            <w:tcW w:w="2977" w:type="dxa"/>
            <w:shd w:val="clear" w:color="auto" w:fill="auto"/>
            <w:vAlign w:val="center"/>
            <w:hideMark/>
          </w:tcPr>
          <w:p w:rsidR="00BC521A" w:rsidRPr="00F36BFE" w:rsidRDefault="00BC521A" w:rsidP="00BC521A">
            <w:pPr>
              <w:spacing w:after="0" w:line="240" w:lineRule="auto"/>
              <w:jc w:val="center"/>
              <w:rPr>
                <w:rFonts w:cs="Arial"/>
                <w:sz w:val="18"/>
                <w:szCs w:val="18"/>
              </w:rPr>
            </w:pPr>
          </w:p>
        </w:tc>
        <w:tc>
          <w:tcPr>
            <w:tcW w:w="1696" w:type="dxa"/>
            <w:shd w:val="clear" w:color="auto" w:fill="auto"/>
            <w:vAlign w:val="center"/>
            <w:hideMark/>
          </w:tcPr>
          <w:p w:rsidR="00BC521A" w:rsidRPr="00F36BFE" w:rsidRDefault="00BC521A" w:rsidP="00BC521A">
            <w:pPr>
              <w:spacing w:after="0" w:line="240" w:lineRule="auto"/>
              <w:jc w:val="center"/>
              <w:rPr>
                <w:rFonts w:cs="Arial"/>
                <w:sz w:val="18"/>
                <w:szCs w:val="18"/>
              </w:rPr>
            </w:pPr>
          </w:p>
        </w:tc>
        <w:tc>
          <w:tcPr>
            <w:tcW w:w="2982" w:type="dxa"/>
            <w:shd w:val="clear" w:color="auto" w:fill="auto"/>
            <w:vAlign w:val="center"/>
            <w:hideMark/>
          </w:tcPr>
          <w:p w:rsidR="00BC521A" w:rsidRPr="00F36BFE" w:rsidRDefault="00BC521A" w:rsidP="00BC521A">
            <w:pPr>
              <w:spacing w:after="0" w:line="240" w:lineRule="auto"/>
              <w:jc w:val="center"/>
              <w:rPr>
                <w:rFonts w:cs="Arial"/>
                <w:sz w:val="18"/>
                <w:szCs w:val="18"/>
              </w:rPr>
            </w:pPr>
            <w:r w:rsidRPr="00F36BFE">
              <w:rPr>
                <w:rFonts w:cs="Arial"/>
                <w:sz w:val="18"/>
                <w:szCs w:val="18"/>
              </w:rPr>
              <w:t>TOLIMA</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23</w:t>
            </w:r>
          </w:p>
        </w:tc>
      </w:tr>
      <w:tr w:rsidR="00BC521A" w:rsidRPr="00F36BFE" w:rsidTr="00985DD9">
        <w:trPr>
          <w:trHeight w:val="291"/>
          <w:jc w:val="center"/>
        </w:trPr>
        <w:tc>
          <w:tcPr>
            <w:tcW w:w="2977" w:type="dxa"/>
            <w:shd w:val="clear" w:color="auto" w:fill="auto"/>
            <w:noWrap/>
            <w:vAlign w:val="bottom"/>
            <w:hideMark/>
          </w:tcPr>
          <w:p w:rsidR="00BC521A" w:rsidRPr="00F36BFE" w:rsidRDefault="00BC521A" w:rsidP="00BC521A">
            <w:pPr>
              <w:spacing w:after="0" w:line="240" w:lineRule="auto"/>
              <w:jc w:val="center"/>
              <w:rPr>
                <w:rFonts w:cs="Arial"/>
                <w:sz w:val="18"/>
                <w:szCs w:val="18"/>
              </w:rPr>
            </w:pPr>
          </w:p>
        </w:tc>
        <w:tc>
          <w:tcPr>
            <w:tcW w:w="1696" w:type="dxa"/>
            <w:shd w:val="clear" w:color="auto" w:fill="auto"/>
            <w:vAlign w:val="center"/>
            <w:hideMark/>
          </w:tcPr>
          <w:p w:rsidR="00BC521A" w:rsidRPr="00F36BFE" w:rsidRDefault="00BC521A" w:rsidP="00BC521A">
            <w:pPr>
              <w:spacing w:after="0" w:line="240" w:lineRule="auto"/>
              <w:jc w:val="center"/>
              <w:rPr>
                <w:rFonts w:cs="Arial"/>
                <w:sz w:val="18"/>
                <w:szCs w:val="18"/>
              </w:rPr>
            </w:pPr>
          </w:p>
        </w:tc>
        <w:tc>
          <w:tcPr>
            <w:tcW w:w="2982" w:type="dxa"/>
            <w:shd w:val="clear" w:color="auto" w:fill="auto"/>
            <w:vAlign w:val="center"/>
            <w:hideMark/>
          </w:tcPr>
          <w:p w:rsidR="00BC521A" w:rsidRPr="00F36BFE" w:rsidRDefault="00BC521A" w:rsidP="00BC521A">
            <w:pPr>
              <w:spacing w:after="0" w:line="240" w:lineRule="auto"/>
              <w:jc w:val="center"/>
              <w:rPr>
                <w:rFonts w:cs="Arial"/>
                <w:sz w:val="18"/>
                <w:szCs w:val="18"/>
              </w:rPr>
            </w:pPr>
            <w:r w:rsidRPr="00F36BFE">
              <w:rPr>
                <w:rFonts w:cs="Arial"/>
                <w:sz w:val="18"/>
                <w:szCs w:val="18"/>
              </w:rPr>
              <w:t>NARIÑO</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20</w:t>
            </w:r>
          </w:p>
        </w:tc>
      </w:tr>
      <w:tr w:rsidR="00BC521A" w:rsidRPr="00F36BFE" w:rsidTr="00985DD9">
        <w:trPr>
          <w:trHeight w:val="291"/>
          <w:jc w:val="center"/>
        </w:trPr>
        <w:tc>
          <w:tcPr>
            <w:tcW w:w="2977" w:type="dxa"/>
            <w:shd w:val="clear" w:color="auto" w:fill="auto"/>
            <w:noWrap/>
            <w:vAlign w:val="bottom"/>
            <w:hideMark/>
          </w:tcPr>
          <w:p w:rsidR="00BC521A" w:rsidRPr="00F36BFE" w:rsidRDefault="00BC521A" w:rsidP="00BC521A">
            <w:pPr>
              <w:spacing w:after="0" w:line="240" w:lineRule="auto"/>
              <w:jc w:val="center"/>
              <w:rPr>
                <w:rFonts w:cs="Arial"/>
                <w:sz w:val="18"/>
                <w:szCs w:val="18"/>
              </w:rPr>
            </w:pPr>
          </w:p>
        </w:tc>
        <w:tc>
          <w:tcPr>
            <w:tcW w:w="1696" w:type="dxa"/>
            <w:shd w:val="clear" w:color="auto" w:fill="auto"/>
            <w:vAlign w:val="center"/>
            <w:hideMark/>
          </w:tcPr>
          <w:p w:rsidR="00BC521A" w:rsidRPr="00F36BFE" w:rsidRDefault="00BC521A" w:rsidP="00BC521A">
            <w:pPr>
              <w:spacing w:after="0" w:line="240" w:lineRule="auto"/>
              <w:jc w:val="center"/>
              <w:rPr>
                <w:rFonts w:cs="Arial"/>
                <w:sz w:val="18"/>
                <w:szCs w:val="18"/>
              </w:rPr>
            </w:pPr>
          </w:p>
        </w:tc>
        <w:tc>
          <w:tcPr>
            <w:tcW w:w="2982" w:type="dxa"/>
            <w:shd w:val="clear" w:color="auto" w:fill="auto"/>
            <w:vAlign w:val="center"/>
            <w:hideMark/>
          </w:tcPr>
          <w:p w:rsidR="00BC521A" w:rsidRPr="00F36BFE" w:rsidRDefault="00BC521A" w:rsidP="00BC521A">
            <w:pPr>
              <w:spacing w:after="0" w:line="240" w:lineRule="auto"/>
              <w:jc w:val="center"/>
              <w:rPr>
                <w:rFonts w:cs="Arial"/>
                <w:sz w:val="18"/>
                <w:szCs w:val="18"/>
              </w:rPr>
            </w:pPr>
            <w:r w:rsidRPr="00F36BFE">
              <w:rPr>
                <w:rFonts w:cs="Arial"/>
                <w:sz w:val="18"/>
                <w:szCs w:val="18"/>
              </w:rPr>
              <w:t>CHOCO</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27</w:t>
            </w:r>
          </w:p>
        </w:tc>
      </w:tr>
      <w:tr w:rsidR="00BC521A" w:rsidRPr="00F36BFE" w:rsidTr="00985DD9">
        <w:trPr>
          <w:trHeight w:val="291"/>
          <w:jc w:val="center"/>
        </w:trPr>
        <w:tc>
          <w:tcPr>
            <w:tcW w:w="2977" w:type="dxa"/>
            <w:shd w:val="clear" w:color="auto" w:fill="auto"/>
            <w:noWrap/>
            <w:vAlign w:val="bottom"/>
            <w:hideMark/>
          </w:tcPr>
          <w:p w:rsidR="00BC521A" w:rsidRPr="00F36BFE" w:rsidRDefault="00BC521A" w:rsidP="00BC521A">
            <w:pPr>
              <w:spacing w:after="0" w:line="240" w:lineRule="auto"/>
              <w:jc w:val="center"/>
              <w:rPr>
                <w:rFonts w:cs="Arial"/>
                <w:sz w:val="18"/>
                <w:szCs w:val="18"/>
              </w:rPr>
            </w:pPr>
          </w:p>
        </w:tc>
        <w:tc>
          <w:tcPr>
            <w:tcW w:w="1696" w:type="dxa"/>
            <w:shd w:val="clear" w:color="auto" w:fill="auto"/>
            <w:vAlign w:val="center"/>
            <w:hideMark/>
          </w:tcPr>
          <w:p w:rsidR="00BC521A" w:rsidRPr="00F36BFE" w:rsidRDefault="00BC521A" w:rsidP="00BC521A">
            <w:pPr>
              <w:spacing w:after="0" w:line="240" w:lineRule="auto"/>
              <w:jc w:val="center"/>
              <w:rPr>
                <w:rFonts w:cs="Arial"/>
                <w:sz w:val="18"/>
                <w:szCs w:val="18"/>
              </w:rPr>
            </w:pPr>
          </w:p>
        </w:tc>
        <w:tc>
          <w:tcPr>
            <w:tcW w:w="2982" w:type="dxa"/>
            <w:shd w:val="clear" w:color="auto" w:fill="auto"/>
            <w:vAlign w:val="center"/>
            <w:hideMark/>
          </w:tcPr>
          <w:p w:rsidR="00BC521A" w:rsidRPr="00F36BFE" w:rsidRDefault="00BC521A" w:rsidP="00BC521A">
            <w:pPr>
              <w:spacing w:after="0" w:line="240" w:lineRule="auto"/>
              <w:jc w:val="center"/>
              <w:rPr>
                <w:rFonts w:cs="Arial"/>
                <w:sz w:val="18"/>
                <w:szCs w:val="18"/>
              </w:rPr>
            </w:pPr>
            <w:r w:rsidRPr="00F36BFE">
              <w:rPr>
                <w:rFonts w:cs="Arial"/>
                <w:sz w:val="18"/>
                <w:szCs w:val="18"/>
              </w:rPr>
              <w:t>SAN ANDRES</w:t>
            </w:r>
          </w:p>
        </w:tc>
        <w:tc>
          <w:tcPr>
            <w:tcW w:w="1736" w:type="dxa"/>
            <w:shd w:val="clear" w:color="auto" w:fill="auto"/>
            <w:vAlign w:val="center"/>
            <w:hideMark/>
          </w:tcPr>
          <w:p w:rsidR="00BC521A" w:rsidRPr="00F36BFE" w:rsidRDefault="00985DD9" w:rsidP="00BC521A">
            <w:pPr>
              <w:spacing w:after="0" w:line="240" w:lineRule="auto"/>
              <w:jc w:val="center"/>
              <w:rPr>
                <w:rFonts w:cs="Arial"/>
                <w:sz w:val="18"/>
                <w:szCs w:val="18"/>
              </w:rPr>
            </w:pPr>
            <w:r w:rsidRPr="00F36BFE">
              <w:rPr>
                <w:rFonts w:cs="Arial"/>
                <w:sz w:val="18"/>
                <w:szCs w:val="18"/>
              </w:rPr>
              <w:t>25</w:t>
            </w:r>
          </w:p>
        </w:tc>
      </w:tr>
      <w:tr w:rsidR="00BC521A" w:rsidRPr="00F36BFE" w:rsidTr="00985DD9">
        <w:trPr>
          <w:trHeight w:val="424"/>
          <w:jc w:val="center"/>
        </w:trPr>
        <w:tc>
          <w:tcPr>
            <w:tcW w:w="2977" w:type="dxa"/>
            <w:shd w:val="clear" w:color="auto" w:fill="E2EFDA"/>
            <w:vAlign w:val="center"/>
            <w:hideMark/>
          </w:tcPr>
          <w:p w:rsidR="00BC521A" w:rsidRPr="00F36BFE" w:rsidRDefault="00BC521A" w:rsidP="00BC521A">
            <w:pPr>
              <w:spacing w:after="0" w:line="240" w:lineRule="auto"/>
              <w:jc w:val="center"/>
              <w:rPr>
                <w:rFonts w:cs="Arial"/>
                <w:b/>
                <w:sz w:val="18"/>
                <w:szCs w:val="18"/>
              </w:rPr>
            </w:pPr>
            <w:r w:rsidRPr="00F36BFE">
              <w:rPr>
                <w:rFonts w:cs="Arial"/>
                <w:b/>
                <w:sz w:val="18"/>
                <w:szCs w:val="18"/>
              </w:rPr>
              <w:t>TOTAL CASOS ANALIZADOS</w:t>
            </w:r>
          </w:p>
        </w:tc>
        <w:tc>
          <w:tcPr>
            <w:tcW w:w="1696" w:type="dxa"/>
            <w:shd w:val="clear" w:color="auto" w:fill="E2EFDA"/>
            <w:vAlign w:val="center"/>
            <w:hideMark/>
          </w:tcPr>
          <w:p w:rsidR="00BC521A" w:rsidRPr="00F36BFE" w:rsidRDefault="00F36BFE" w:rsidP="00BC521A">
            <w:pPr>
              <w:spacing w:after="0" w:line="240" w:lineRule="auto"/>
              <w:jc w:val="center"/>
              <w:rPr>
                <w:rFonts w:cs="Arial"/>
                <w:b/>
                <w:sz w:val="18"/>
                <w:szCs w:val="18"/>
              </w:rPr>
            </w:pPr>
            <w:r w:rsidRPr="00F36BFE">
              <w:rPr>
                <w:rFonts w:cs="Arial"/>
                <w:b/>
                <w:sz w:val="18"/>
                <w:szCs w:val="18"/>
              </w:rPr>
              <w:t>348</w:t>
            </w:r>
          </w:p>
        </w:tc>
        <w:tc>
          <w:tcPr>
            <w:tcW w:w="2982" w:type="dxa"/>
            <w:shd w:val="clear" w:color="auto" w:fill="E2EFDA"/>
            <w:vAlign w:val="center"/>
            <w:hideMark/>
          </w:tcPr>
          <w:p w:rsidR="00BC521A" w:rsidRPr="00F36BFE" w:rsidRDefault="00BC521A" w:rsidP="00BC521A">
            <w:pPr>
              <w:spacing w:after="0" w:line="240" w:lineRule="auto"/>
              <w:jc w:val="center"/>
              <w:rPr>
                <w:rFonts w:cs="Arial"/>
                <w:b/>
                <w:sz w:val="18"/>
                <w:szCs w:val="18"/>
              </w:rPr>
            </w:pPr>
            <w:r w:rsidRPr="00F36BFE">
              <w:rPr>
                <w:rFonts w:cs="Arial"/>
                <w:b/>
                <w:sz w:val="18"/>
                <w:szCs w:val="18"/>
              </w:rPr>
              <w:t>TOTAL CASOS ANALIZADOS</w:t>
            </w:r>
          </w:p>
        </w:tc>
        <w:tc>
          <w:tcPr>
            <w:tcW w:w="1736" w:type="dxa"/>
            <w:shd w:val="clear" w:color="auto" w:fill="E2EFDA"/>
            <w:vAlign w:val="center"/>
            <w:hideMark/>
          </w:tcPr>
          <w:p w:rsidR="00BC521A" w:rsidRPr="00F36BFE" w:rsidRDefault="00F36BFE" w:rsidP="00BC521A">
            <w:pPr>
              <w:spacing w:after="0" w:line="240" w:lineRule="auto"/>
              <w:jc w:val="center"/>
              <w:rPr>
                <w:rFonts w:cs="Arial"/>
                <w:b/>
                <w:sz w:val="18"/>
                <w:szCs w:val="18"/>
              </w:rPr>
            </w:pPr>
            <w:r w:rsidRPr="00F36BFE">
              <w:rPr>
                <w:rFonts w:cs="Arial"/>
                <w:b/>
                <w:sz w:val="18"/>
                <w:szCs w:val="18"/>
              </w:rPr>
              <w:t>448</w:t>
            </w:r>
          </w:p>
        </w:tc>
      </w:tr>
    </w:tbl>
    <w:p w:rsidR="00BC521A" w:rsidRDefault="006C4626" w:rsidP="00BC521A">
      <w:pPr>
        <w:spacing w:after="0" w:line="240" w:lineRule="auto"/>
        <w:contextualSpacing/>
        <w:jc w:val="both"/>
        <w:rPr>
          <w:rFonts w:cs="Arial"/>
          <w:sz w:val="16"/>
        </w:rPr>
      </w:pPr>
      <w:r w:rsidRPr="00195537">
        <w:rPr>
          <w:rFonts w:cs="Arial"/>
          <w:b/>
          <w:sz w:val="16"/>
        </w:rPr>
        <w:t>Fuente:</w:t>
      </w:r>
      <w:r>
        <w:rPr>
          <w:rFonts w:cs="Arial"/>
          <w:sz w:val="16"/>
        </w:rPr>
        <w:t xml:space="preserve"> Dirección de Protección. </w:t>
      </w:r>
    </w:p>
    <w:p w:rsidR="006C4626" w:rsidRPr="00D21160" w:rsidRDefault="006C4626" w:rsidP="006C4626">
      <w:pPr>
        <w:rPr>
          <w:rFonts w:ascii="Calibri" w:hAnsi="Calibri"/>
          <w:i/>
          <w:iCs/>
          <w:sz w:val="16"/>
          <w:lang w:val="es-CO"/>
        </w:rPr>
      </w:pPr>
      <w:r w:rsidRPr="00D21160">
        <w:rPr>
          <w:i/>
          <w:iCs/>
          <w:sz w:val="16"/>
        </w:rPr>
        <w:t>Nota: Información preliminar, sujeta a actualización del cierre oficial de metas sociales y financieras.</w:t>
      </w:r>
    </w:p>
    <w:p w:rsidR="006C4626" w:rsidRPr="00D21160" w:rsidRDefault="006C4626" w:rsidP="006C4626">
      <w:pPr>
        <w:spacing w:after="0" w:line="240" w:lineRule="auto"/>
        <w:jc w:val="both"/>
        <w:rPr>
          <w:rFonts w:cs="Arial"/>
          <w:sz w:val="16"/>
          <w:lang w:val="es-CO" w:eastAsia="es-ES"/>
        </w:rPr>
      </w:pPr>
    </w:p>
    <w:p w:rsidR="006C4626" w:rsidRDefault="006C4626" w:rsidP="00BC521A">
      <w:pPr>
        <w:spacing w:after="0" w:line="240" w:lineRule="auto"/>
        <w:contextualSpacing/>
        <w:jc w:val="both"/>
        <w:rPr>
          <w:rFonts w:cs="Arial"/>
          <w:b/>
        </w:rPr>
      </w:pPr>
    </w:p>
    <w:p w:rsidR="006C4626" w:rsidRDefault="006C4626" w:rsidP="00BC521A">
      <w:pPr>
        <w:spacing w:after="0" w:line="240" w:lineRule="auto"/>
        <w:contextualSpacing/>
        <w:jc w:val="both"/>
        <w:rPr>
          <w:rFonts w:cs="Arial"/>
          <w:b/>
        </w:rPr>
      </w:pPr>
    </w:p>
    <w:p w:rsidR="006C4626" w:rsidRDefault="006C4626" w:rsidP="00BC521A">
      <w:pPr>
        <w:spacing w:after="0" w:line="240" w:lineRule="auto"/>
        <w:contextualSpacing/>
        <w:jc w:val="both"/>
        <w:rPr>
          <w:rFonts w:cs="Arial"/>
          <w:b/>
        </w:rPr>
      </w:pPr>
    </w:p>
    <w:p w:rsidR="00BC521A" w:rsidRPr="00BC521A" w:rsidRDefault="00BC521A" w:rsidP="00BC521A">
      <w:pPr>
        <w:spacing w:after="0" w:line="240" w:lineRule="auto"/>
        <w:contextualSpacing/>
        <w:jc w:val="both"/>
        <w:rPr>
          <w:rFonts w:cs="Arial"/>
          <w:b/>
        </w:rPr>
      </w:pPr>
      <w:r w:rsidRPr="00BC521A">
        <w:rPr>
          <w:rFonts w:cs="Arial"/>
          <w:b/>
        </w:rPr>
        <w:lastRenderedPageBreak/>
        <w:t xml:space="preserve">Grupo Estudio Trabajo (GET): </w:t>
      </w:r>
    </w:p>
    <w:p w:rsidR="00BC521A" w:rsidRPr="00BC521A" w:rsidRDefault="00BC521A" w:rsidP="00BC521A">
      <w:pPr>
        <w:spacing w:after="0" w:line="240" w:lineRule="auto"/>
        <w:contextualSpacing/>
        <w:jc w:val="both"/>
        <w:rPr>
          <w:rFonts w:cs="Arial"/>
          <w:b/>
        </w:rPr>
      </w:pPr>
    </w:p>
    <w:p w:rsidR="00BC521A" w:rsidRPr="00BC521A" w:rsidRDefault="00BC521A" w:rsidP="00BC521A">
      <w:pPr>
        <w:spacing w:after="0" w:line="240" w:lineRule="auto"/>
        <w:contextualSpacing/>
        <w:jc w:val="both"/>
        <w:rPr>
          <w:rFonts w:cs="Arial"/>
        </w:rPr>
      </w:pPr>
      <w:r w:rsidRPr="00BC521A">
        <w:rPr>
          <w:rFonts w:cs="Arial"/>
        </w:rPr>
        <w:t>Este grupo tiene por objeto gestionar el conocimiento a través de la actualización y retroalimentación en temas de importancia para el rol diario de las autoridades administrativas, sus equipos interdisciplinarios y los funcionarios de los diferentes centros zonales del país. A través de esta estrategia se ha cualificado el trabajo de  los profesionales de las Defensorías y Comisarías de Familia a través del aprendizaje continuo, adquiriendo nuevos conocimientos y habilidades que les  permiten optimizar el  desarrollo de la labor desempeñada. Así, se logró fortalecer las competencias laborales de los Defensores y Comisarios de Familia junto  con los profesionales de los equipos técnicos de trabajo en temas de restablecimiento de derechos, dentro de los cuales se resalta los estudiados en lo que ha transcurrido en el año 2016:  el envío de material de apoyo a las 33 Regionales para la realización de cinco (5) reuniones de los GET con las siguientes temáticas: i) Permisos e impedimentos salida del país; ii)</w:t>
      </w:r>
      <w:r w:rsidRPr="00BC521A">
        <w:rPr>
          <w:rFonts w:cs="Arial"/>
          <w:lang w:val="es-CO"/>
        </w:rPr>
        <w:t xml:space="preserve"> Actuaciones administrativas y atención de niños, niñas y adolescentes en situación de vida en calle; iii) Línea jurisprudencial en temas de Familia; iv) Referentes afectivos; v) Violencia sexual.</w:t>
      </w:r>
    </w:p>
    <w:p w:rsidR="00516340" w:rsidRDefault="00516340" w:rsidP="00BC521A">
      <w:pPr>
        <w:spacing w:after="0" w:line="240" w:lineRule="auto"/>
        <w:contextualSpacing/>
        <w:jc w:val="both"/>
        <w:rPr>
          <w:rFonts w:cs="Arial"/>
          <w:b/>
        </w:rPr>
      </w:pPr>
    </w:p>
    <w:p w:rsidR="00BC521A" w:rsidRPr="00BC521A" w:rsidRDefault="00BC521A" w:rsidP="00BC521A">
      <w:pPr>
        <w:spacing w:after="0" w:line="240" w:lineRule="auto"/>
        <w:contextualSpacing/>
        <w:jc w:val="both"/>
        <w:rPr>
          <w:rFonts w:cs="Arial"/>
          <w:b/>
        </w:rPr>
      </w:pPr>
      <w:r w:rsidRPr="00BC521A">
        <w:rPr>
          <w:rFonts w:cs="Arial"/>
          <w:b/>
        </w:rPr>
        <w:t xml:space="preserve">Respuesta a requerimientos e inquietudes técnico – jurídicas: </w:t>
      </w:r>
      <w:r w:rsidRPr="00BC521A">
        <w:rPr>
          <w:rFonts w:cs="Arial"/>
        </w:rPr>
        <w:t>con el propósito de mantener actualizadas a las Autoridades Administrativas en temas de su interés, útiles en el desempeño de sus actividades, desde el mes de febrero de 2016, se envía mensualmente, a través de correo electrónico, un resumen de las principales providencias de la Corte Constitucional, Corte Suprema de Justicia, Consejo de Estado, Tribunales, Juzgados, así como Conceptos emitidos por la Oficina Asesora Jurídica del ICBF y otras entidades del sector público. En total se enviaron 32 correos de actualización.</w:t>
      </w:r>
    </w:p>
    <w:p w:rsidR="00BC521A" w:rsidRPr="00BC521A" w:rsidRDefault="00BC521A" w:rsidP="00BC521A">
      <w:pPr>
        <w:tabs>
          <w:tab w:val="left" w:pos="851"/>
        </w:tabs>
        <w:autoSpaceDE w:val="0"/>
        <w:autoSpaceDN w:val="0"/>
        <w:adjustRightInd w:val="0"/>
        <w:spacing w:after="0" w:line="240" w:lineRule="auto"/>
        <w:ind w:left="851"/>
        <w:jc w:val="both"/>
        <w:rPr>
          <w:rFonts w:cs="Arial"/>
          <w:lang w:val="es-CO" w:eastAsia="es-CO"/>
        </w:rPr>
      </w:pPr>
    </w:p>
    <w:p w:rsidR="00BC521A" w:rsidRPr="00BC521A" w:rsidRDefault="00BC521A" w:rsidP="00BC521A">
      <w:pPr>
        <w:tabs>
          <w:tab w:val="left" w:pos="851"/>
        </w:tabs>
        <w:autoSpaceDE w:val="0"/>
        <w:autoSpaceDN w:val="0"/>
        <w:adjustRightInd w:val="0"/>
        <w:spacing w:after="0" w:line="240" w:lineRule="auto"/>
        <w:jc w:val="both"/>
        <w:rPr>
          <w:rFonts w:cs="Arial"/>
          <w:lang w:val="es-CO" w:eastAsia="es-CO"/>
        </w:rPr>
      </w:pPr>
      <w:r w:rsidRPr="00BC521A">
        <w:rPr>
          <w:rFonts w:cs="Arial"/>
          <w:lang w:val="es-CO" w:eastAsia="es-CO"/>
        </w:rPr>
        <w:t xml:space="preserve">Se realizó asistencia técnica por diferentes medios a las Autoridades administrativas y equipos técnicos interdisciplinarios: </w:t>
      </w:r>
    </w:p>
    <w:p w:rsidR="00BC521A" w:rsidRPr="00BC521A" w:rsidRDefault="00BC521A" w:rsidP="00BC521A">
      <w:pPr>
        <w:tabs>
          <w:tab w:val="left" w:pos="851"/>
        </w:tabs>
        <w:autoSpaceDE w:val="0"/>
        <w:autoSpaceDN w:val="0"/>
        <w:adjustRightInd w:val="0"/>
        <w:spacing w:after="0" w:line="240" w:lineRule="auto"/>
        <w:ind w:left="851"/>
        <w:jc w:val="both"/>
        <w:rPr>
          <w:rFonts w:cs="Arial"/>
          <w:lang w:val="es-CO" w:eastAsia="es-CO"/>
        </w:rPr>
      </w:pPr>
    </w:p>
    <w:tbl>
      <w:tblPr>
        <w:tblW w:w="7796" w:type="dxa"/>
        <w:tblInd w:w="983"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969"/>
        <w:gridCol w:w="3827"/>
      </w:tblGrid>
      <w:tr w:rsidR="00BC521A" w:rsidRPr="00BC521A" w:rsidTr="00CF694D">
        <w:trPr>
          <w:trHeight w:val="315"/>
          <w:tblHeader/>
        </w:trPr>
        <w:tc>
          <w:tcPr>
            <w:tcW w:w="3969" w:type="dxa"/>
            <w:shd w:val="clear" w:color="auto" w:fill="76923C" w:themeFill="accent3" w:themeFillShade="BF"/>
            <w:noWrap/>
            <w:vAlign w:val="center"/>
            <w:hideMark/>
          </w:tcPr>
          <w:p w:rsidR="00BC521A" w:rsidRPr="00CF694D" w:rsidRDefault="00CF694D" w:rsidP="00BC521A">
            <w:pPr>
              <w:spacing w:after="0" w:line="240" w:lineRule="auto"/>
              <w:jc w:val="center"/>
              <w:rPr>
                <w:rFonts w:eastAsia="Times New Roman" w:cs="Arial"/>
                <w:b/>
                <w:bCs/>
                <w:color w:val="FFFFFF" w:themeColor="background1"/>
                <w:sz w:val="20"/>
                <w:szCs w:val="20"/>
                <w:lang w:val="es-CO" w:eastAsia="es-CO"/>
              </w:rPr>
            </w:pPr>
            <w:r w:rsidRPr="00CF694D">
              <w:rPr>
                <w:rFonts w:eastAsia="Times New Roman" w:cs="Arial"/>
                <w:b/>
                <w:bCs/>
                <w:color w:val="FFFFFF" w:themeColor="background1"/>
                <w:sz w:val="20"/>
                <w:szCs w:val="20"/>
                <w:lang w:val="es-CO" w:eastAsia="es-CO"/>
              </w:rPr>
              <w:t>Medio</w:t>
            </w:r>
          </w:p>
        </w:tc>
        <w:tc>
          <w:tcPr>
            <w:tcW w:w="3827" w:type="dxa"/>
            <w:shd w:val="clear" w:color="auto" w:fill="76923C" w:themeFill="accent3" w:themeFillShade="BF"/>
            <w:noWrap/>
            <w:vAlign w:val="center"/>
            <w:hideMark/>
          </w:tcPr>
          <w:p w:rsidR="00BC521A" w:rsidRPr="00CF694D" w:rsidRDefault="00CF694D" w:rsidP="00BC521A">
            <w:pPr>
              <w:spacing w:after="0" w:line="240" w:lineRule="auto"/>
              <w:jc w:val="center"/>
              <w:rPr>
                <w:rFonts w:eastAsia="Times New Roman" w:cs="Arial"/>
                <w:b/>
                <w:bCs/>
                <w:color w:val="FFFFFF" w:themeColor="background1"/>
                <w:sz w:val="20"/>
                <w:szCs w:val="20"/>
                <w:lang w:val="es-CO" w:eastAsia="es-CO"/>
              </w:rPr>
            </w:pPr>
            <w:r w:rsidRPr="00CF694D">
              <w:rPr>
                <w:rFonts w:eastAsia="Times New Roman" w:cs="Arial"/>
                <w:b/>
                <w:bCs/>
                <w:color w:val="FFFFFF" w:themeColor="background1"/>
                <w:sz w:val="20"/>
                <w:szCs w:val="20"/>
                <w:lang w:val="es-CO" w:eastAsia="es-CO"/>
              </w:rPr>
              <w:t>N° Asistencias Técnicas</w:t>
            </w:r>
          </w:p>
        </w:tc>
      </w:tr>
      <w:tr w:rsidR="00BC521A" w:rsidRPr="00BC521A" w:rsidTr="00CF694D">
        <w:trPr>
          <w:trHeight w:val="240"/>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Consultas Telefónicas</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230</w:t>
            </w:r>
          </w:p>
        </w:tc>
      </w:tr>
      <w:tr w:rsidR="00BC521A" w:rsidRPr="00BC521A" w:rsidTr="00CF694D">
        <w:trPr>
          <w:trHeight w:val="240"/>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Atención Personalizada</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54</w:t>
            </w:r>
          </w:p>
        </w:tc>
      </w:tr>
      <w:tr w:rsidR="00BC521A" w:rsidRPr="00BC521A" w:rsidTr="00CF694D">
        <w:trPr>
          <w:trHeight w:val="240"/>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Consultas Electrónicas</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510</w:t>
            </w:r>
          </w:p>
        </w:tc>
      </w:tr>
      <w:tr w:rsidR="00BC521A" w:rsidRPr="00BC521A" w:rsidTr="00CF694D">
        <w:trPr>
          <w:trHeight w:val="240"/>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Entrevistas Realizadas</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87</w:t>
            </w:r>
          </w:p>
        </w:tc>
      </w:tr>
      <w:tr w:rsidR="00BC521A" w:rsidRPr="00BC521A" w:rsidTr="00CF694D">
        <w:trPr>
          <w:trHeight w:val="240"/>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Correspondencia Física</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238</w:t>
            </w:r>
          </w:p>
        </w:tc>
      </w:tr>
      <w:tr w:rsidR="00BC521A" w:rsidRPr="00BC521A" w:rsidTr="00CF694D">
        <w:trPr>
          <w:trHeight w:val="255"/>
        </w:trPr>
        <w:tc>
          <w:tcPr>
            <w:tcW w:w="3969" w:type="dxa"/>
            <w:shd w:val="clear" w:color="auto" w:fill="auto"/>
            <w:noWrap/>
            <w:vAlign w:val="center"/>
            <w:hideMark/>
          </w:tcPr>
          <w:p w:rsidR="00BC521A" w:rsidRPr="00BC521A" w:rsidRDefault="00CF694D" w:rsidP="00BC521A">
            <w:pPr>
              <w:spacing w:after="0" w:line="240" w:lineRule="auto"/>
              <w:jc w:val="center"/>
              <w:rPr>
                <w:rFonts w:cs="Arial"/>
                <w:sz w:val="20"/>
                <w:szCs w:val="20"/>
              </w:rPr>
            </w:pPr>
            <w:r w:rsidRPr="00BC521A">
              <w:rPr>
                <w:rFonts w:cs="Arial"/>
                <w:sz w:val="20"/>
                <w:szCs w:val="20"/>
              </w:rPr>
              <w:t xml:space="preserve">Entrevistas </w:t>
            </w:r>
            <w:r w:rsidR="005A0D8A" w:rsidRPr="00BC521A">
              <w:rPr>
                <w:rFonts w:cs="Arial"/>
                <w:sz w:val="20"/>
                <w:szCs w:val="20"/>
              </w:rPr>
              <w:t>Medios</w:t>
            </w:r>
            <w:r w:rsidRPr="00BC521A">
              <w:rPr>
                <w:rFonts w:cs="Arial"/>
                <w:sz w:val="20"/>
                <w:szCs w:val="20"/>
              </w:rPr>
              <w:t xml:space="preserve"> Comunicación</w:t>
            </w:r>
          </w:p>
        </w:tc>
        <w:tc>
          <w:tcPr>
            <w:tcW w:w="3827" w:type="dxa"/>
            <w:shd w:val="clear" w:color="auto" w:fill="auto"/>
            <w:noWrap/>
            <w:vAlign w:val="center"/>
            <w:hideMark/>
          </w:tcPr>
          <w:p w:rsidR="00BC521A" w:rsidRPr="00BC521A" w:rsidRDefault="00BC521A" w:rsidP="00BC521A">
            <w:pPr>
              <w:spacing w:after="0" w:line="240" w:lineRule="auto"/>
              <w:jc w:val="center"/>
              <w:rPr>
                <w:rFonts w:eastAsia="Times New Roman" w:cs="Arial"/>
                <w:sz w:val="20"/>
                <w:szCs w:val="20"/>
                <w:lang w:val="es-CO" w:eastAsia="es-CO"/>
              </w:rPr>
            </w:pPr>
            <w:r w:rsidRPr="00BC521A">
              <w:rPr>
                <w:rFonts w:eastAsia="Times New Roman" w:cs="Arial"/>
                <w:sz w:val="20"/>
                <w:szCs w:val="20"/>
                <w:lang w:val="es-CO" w:eastAsia="es-CO"/>
              </w:rPr>
              <w:t>21</w:t>
            </w:r>
          </w:p>
        </w:tc>
      </w:tr>
    </w:tbl>
    <w:p w:rsidR="00BC521A" w:rsidRDefault="005A0D8A" w:rsidP="006C4626">
      <w:pPr>
        <w:tabs>
          <w:tab w:val="left" w:pos="851"/>
        </w:tabs>
        <w:autoSpaceDE w:val="0"/>
        <w:autoSpaceDN w:val="0"/>
        <w:adjustRightInd w:val="0"/>
        <w:spacing w:after="0" w:line="240" w:lineRule="auto"/>
        <w:ind w:left="851"/>
        <w:jc w:val="both"/>
        <w:rPr>
          <w:rFonts w:cs="Arial"/>
          <w:sz w:val="16"/>
          <w:lang w:val="es-CO" w:eastAsia="es-CO"/>
        </w:rPr>
      </w:pPr>
      <w:r>
        <w:rPr>
          <w:rFonts w:cs="Arial"/>
          <w:b/>
          <w:sz w:val="16"/>
          <w:lang w:val="es-CO" w:eastAsia="es-CO"/>
        </w:rPr>
        <w:t xml:space="preserve">   </w:t>
      </w:r>
      <w:r w:rsidR="006C4626" w:rsidRPr="005A0D8A">
        <w:rPr>
          <w:rFonts w:cs="Arial"/>
          <w:b/>
          <w:sz w:val="16"/>
          <w:lang w:val="es-CO" w:eastAsia="es-CO"/>
        </w:rPr>
        <w:t>Fuente:</w:t>
      </w:r>
      <w:r w:rsidR="006C4626">
        <w:rPr>
          <w:rFonts w:cs="Arial"/>
          <w:sz w:val="16"/>
          <w:lang w:val="es-CO" w:eastAsia="es-CO"/>
        </w:rPr>
        <w:t xml:space="preserve"> Dirección de Protección.</w:t>
      </w:r>
    </w:p>
    <w:p w:rsidR="006C4626" w:rsidRPr="00D21160" w:rsidRDefault="006C4626" w:rsidP="006C4626">
      <w:pPr>
        <w:rPr>
          <w:rFonts w:ascii="Calibri" w:hAnsi="Calibri"/>
          <w:i/>
          <w:iCs/>
          <w:sz w:val="16"/>
          <w:lang w:val="es-CO"/>
        </w:rPr>
      </w:pPr>
      <w:r>
        <w:rPr>
          <w:i/>
          <w:iCs/>
          <w:sz w:val="16"/>
        </w:rPr>
        <w:t xml:space="preserve">                  </w:t>
      </w:r>
      <w:r w:rsidR="005A0D8A">
        <w:rPr>
          <w:i/>
          <w:iCs/>
          <w:sz w:val="16"/>
        </w:rPr>
        <w:t xml:space="preserve">    </w:t>
      </w:r>
      <w:r w:rsidRPr="00D21160">
        <w:rPr>
          <w:i/>
          <w:iCs/>
          <w:sz w:val="16"/>
        </w:rPr>
        <w:t>Nota: Información preliminar, sujeta a actualización del cierre oficial de metas sociales y financieras.</w:t>
      </w:r>
    </w:p>
    <w:p w:rsidR="006C4626" w:rsidRPr="006C4626" w:rsidRDefault="006C4626" w:rsidP="006C4626">
      <w:pPr>
        <w:tabs>
          <w:tab w:val="left" w:pos="851"/>
        </w:tabs>
        <w:autoSpaceDE w:val="0"/>
        <w:autoSpaceDN w:val="0"/>
        <w:adjustRightInd w:val="0"/>
        <w:spacing w:after="0" w:line="240" w:lineRule="auto"/>
        <w:ind w:left="851"/>
        <w:jc w:val="both"/>
        <w:rPr>
          <w:rFonts w:cs="Arial"/>
          <w:sz w:val="16"/>
          <w:lang w:val="es-CO" w:eastAsia="es-CO"/>
        </w:rPr>
      </w:pPr>
    </w:p>
    <w:p w:rsidR="00BC521A" w:rsidRPr="00BC521A" w:rsidRDefault="00BC521A" w:rsidP="00BC521A">
      <w:pPr>
        <w:spacing w:after="0" w:line="240" w:lineRule="auto"/>
        <w:jc w:val="both"/>
        <w:rPr>
          <w:rFonts w:cs="Arial"/>
        </w:rPr>
      </w:pPr>
      <w:r w:rsidRPr="00BC521A">
        <w:rPr>
          <w:rFonts w:cs="Arial"/>
        </w:rPr>
        <w:t>De igual manera se ha prestado asistencia técnica personalizada a 4 Defensorías de Familia con el objetivo de apoyar las actuaciones propias de su quehacer misional, teniendo en cuenta su complejidad:</w:t>
      </w:r>
    </w:p>
    <w:p w:rsidR="00BC521A" w:rsidRPr="00BC521A" w:rsidRDefault="00BC521A" w:rsidP="00BC521A">
      <w:pPr>
        <w:spacing w:after="0" w:line="240" w:lineRule="auto"/>
        <w:jc w:val="both"/>
        <w:rPr>
          <w:rFonts w:cs="Arial"/>
        </w:rPr>
      </w:pPr>
    </w:p>
    <w:p w:rsidR="00BC521A" w:rsidRPr="00BC521A" w:rsidRDefault="00BC521A" w:rsidP="00D712DC">
      <w:pPr>
        <w:numPr>
          <w:ilvl w:val="0"/>
          <w:numId w:val="9"/>
        </w:numPr>
        <w:spacing w:after="0" w:line="240" w:lineRule="auto"/>
        <w:ind w:left="993" w:firstLine="0"/>
        <w:jc w:val="both"/>
        <w:rPr>
          <w:rFonts w:cs="Arial"/>
        </w:rPr>
      </w:pPr>
      <w:r w:rsidRPr="00BC521A">
        <w:rPr>
          <w:rFonts w:cs="Arial"/>
        </w:rPr>
        <w:t>Regional Bogotá (Centro Zonal Tunjuelito y Defensoría Bronx).</w:t>
      </w:r>
    </w:p>
    <w:p w:rsidR="00BC521A" w:rsidRPr="00BC521A" w:rsidRDefault="00BC521A" w:rsidP="00D712DC">
      <w:pPr>
        <w:numPr>
          <w:ilvl w:val="0"/>
          <w:numId w:val="9"/>
        </w:numPr>
        <w:spacing w:after="0" w:line="240" w:lineRule="auto"/>
        <w:ind w:left="993" w:firstLine="0"/>
        <w:jc w:val="both"/>
        <w:rPr>
          <w:rFonts w:cs="Arial"/>
        </w:rPr>
      </w:pPr>
      <w:r w:rsidRPr="00BC521A">
        <w:rPr>
          <w:rFonts w:cs="Arial"/>
        </w:rPr>
        <w:t>Regional Chocó (Centro Zonal Quibdó).</w:t>
      </w:r>
    </w:p>
    <w:p w:rsidR="00BC521A" w:rsidRPr="00BC521A" w:rsidRDefault="00BC521A" w:rsidP="00D712DC">
      <w:pPr>
        <w:numPr>
          <w:ilvl w:val="0"/>
          <w:numId w:val="9"/>
        </w:numPr>
        <w:spacing w:after="0" w:line="240" w:lineRule="auto"/>
        <w:ind w:left="993" w:firstLine="0"/>
        <w:jc w:val="both"/>
        <w:rPr>
          <w:rFonts w:cs="Arial"/>
        </w:rPr>
      </w:pPr>
      <w:r w:rsidRPr="00BC521A">
        <w:rPr>
          <w:rFonts w:cs="Arial"/>
        </w:rPr>
        <w:t>Regional Guajira (Centro Zonal Manaure).</w:t>
      </w:r>
    </w:p>
    <w:p w:rsidR="00BC521A" w:rsidRPr="00BC521A" w:rsidRDefault="00BC521A" w:rsidP="00BC521A">
      <w:pPr>
        <w:spacing w:after="0" w:line="240" w:lineRule="auto"/>
        <w:ind w:left="993"/>
        <w:jc w:val="both"/>
        <w:rPr>
          <w:rFonts w:cs="Arial"/>
        </w:rPr>
      </w:pPr>
    </w:p>
    <w:p w:rsidR="00BC521A" w:rsidRPr="00BC521A" w:rsidRDefault="00BC521A" w:rsidP="00BC521A">
      <w:pPr>
        <w:tabs>
          <w:tab w:val="left" w:pos="1276"/>
        </w:tabs>
        <w:spacing w:after="0" w:line="240" w:lineRule="auto"/>
        <w:jc w:val="both"/>
        <w:rPr>
          <w:rFonts w:cs="Arial"/>
          <w:lang w:eastAsia="es-ES"/>
        </w:rPr>
      </w:pPr>
      <w:r w:rsidRPr="00BC521A">
        <w:rPr>
          <w:rFonts w:cs="Arial"/>
          <w:b/>
          <w:lang w:eastAsia="es-ES"/>
        </w:rPr>
        <w:lastRenderedPageBreak/>
        <w:t>Creación del módulo en SIM</w:t>
      </w:r>
      <w:r w:rsidRPr="00BC521A">
        <w:rPr>
          <w:rFonts w:cs="Arial"/>
          <w:lang w:eastAsia="es-ES"/>
        </w:rPr>
        <w:t>: para el registro de información de las Comisarías de Familia a nivel nacional, fue creado un módulo en el Sistema de Información Misional del Instituto Colombiano de Bienestar Familiar. Se obtuvo un registro de 661 comisarías con corte al 30 de noviembre de 2016.</w:t>
      </w:r>
    </w:p>
    <w:p w:rsidR="00BC521A" w:rsidRPr="00BC521A" w:rsidRDefault="00BC521A" w:rsidP="00BC521A">
      <w:pPr>
        <w:spacing w:after="0" w:line="240" w:lineRule="auto"/>
        <w:jc w:val="both"/>
        <w:rPr>
          <w:rFonts w:cs="Arial"/>
          <w:lang w:eastAsia="es-ES"/>
        </w:rPr>
      </w:pPr>
    </w:p>
    <w:p w:rsidR="00BC521A" w:rsidRDefault="00BC521A" w:rsidP="00BC521A">
      <w:pPr>
        <w:spacing w:after="0" w:line="240" w:lineRule="auto"/>
        <w:jc w:val="both"/>
        <w:rPr>
          <w:rFonts w:cs="Arial"/>
          <w:lang w:eastAsia="es-ES"/>
        </w:rPr>
      </w:pPr>
      <w:r w:rsidRPr="00BC521A">
        <w:rPr>
          <w:rFonts w:cs="Arial"/>
          <w:b/>
          <w:lang w:eastAsia="es-ES"/>
        </w:rPr>
        <w:t xml:space="preserve">Plan Piloto SIM: </w:t>
      </w:r>
      <w:r w:rsidRPr="00BC521A">
        <w:rPr>
          <w:rFonts w:cs="Arial"/>
          <w:lang w:eastAsia="es-ES"/>
        </w:rPr>
        <w:t>Se realizó en la Sede Nacional, la capacitación a 10 Comisarías de Familia que se encuentran en 10 municipios de Cundinamarca para el registro de Procesos de Restablecimiento de Derechos en el Sistema de Información Misional del Instituto (SIM) por parte de las Comisarías de Familia.</w:t>
      </w:r>
    </w:p>
    <w:p w:rsidR="00045FE1" w:rsidRPr="00BC521A" w:rsidRDefault="00045FE1" w:rsidP="00BC521A">
      <w:pPr>
        <w:spacing w:after="0" w:line="240" w:lineRule="auto"/>
        <w:jc w:val="both"/>
        <w:rPr>
          <w:rFonts w:cs="Arial"/>
          <w:lang w:eastAsia="es-ES"/>
        </w:rPr>
      </w:pPr>
    </w:p>
    <w:p w:rsidR="00BC521A" w:rsidRPr="00E81A77" w:rsidRDefault="00BC521A" w:rsidP="00045FE1">
      <w:pPr>
        <w:ind w:firstLine="708"/>
        <w:rPr>
          <w:rFonts w:eastAsiaTheme="majorEastAsia"/>
          <w:b/>
        </w:rPr>
      </w:pPr>
      <w:bookmarkStart w:id="108" w:name="_Toc472519281"/>
      <w:r w:rsidRPr="00E81A77">
        <w:rPr>
          <w:rFonts w:eastAsiaTheme="majorEastAsia"/>
          <w:b/>
        </w:rPr>
        <w:t>Censo</w:t>
      </w:r>
      <w:bookmarkEnd w:id="108"/>
    </w:p>
    <w:p w:rsidR="00BC521A" w:rsidRPr="00BC521A" w:rsidRDefault="00BC521A" w:rsidP="00BC521A">
      <w:pPr>
        <w:spacing w:after="0" w:line="240" w:lineRule="auto"/>
        <w:contextualSpacing/>
        <w:jc w:val="both"/>
        <w:rPr>
          <w:rFonts w:cs="Arial"/>
          <w:spacing w:val="-4"/>
        </w:rPr>
      </w:pPr>
      <w:r w:rsidRPr="00BC521A">
        <w:rPr>
          <w:rFonts w:cs="Arial"/>
          <w:spacing w:val="-4"/>
        </w:rPr>
        <w:t xml:space="preserve">Con el fin de permitir un acercamiento directo entre la Dirección de Protección y los niños, niñas y adolescentes que están bajo la medida de protección del ICBF a través de un Proceso Administrativo de Restablecimiento de Derechos, y así identificar los tiempos de permanencia y los casos que requieran de un seguimiento o intervención especial, desde marzo de 2015 la Dirección de Protección diseñó e implementó el censo de niños, niñas y adolescentes ubicados en las instituciones y hogares sustitutos en las 11 regionales con mayor número de cupos (Antioquia, Bogotá, Caldas, Cundinamarca, Magdalena, Norte de Santander, Quindío, Risaralda, Santander, Tolima y Valle del Cauca). </w:t>
      </w:r>
    </w:p>
    <w:p w:rsidR="00BC521A" w:rsidRPr="00BC521A" w:rsidRDefault="00BC521A" w:rsidP="00BC521A">
      <w:pPr>
        <w:spacing w:after="0" w:line="240" w:lineRule="auto"/>
        <w:contextualSpacing/>
        <w:jc w:val="both"/>
        <w:rPr>
          <w:rFonts w:cs="Arial"/>
          <w:spacing w:val="-4"/>
        </w:rPr>
      </w:pPr>
    </w:p>
    <w:p w:rsidR="00BC521A" w:rsidRPr="00BC521A" w:rsidRDefault="00BC521A" w:rsidP="00BC521A">
      <w:pPr>
        <w:spacing w:after="0" w:line="240" w:lineRule="auto"/>
        <w:contextualSpacing/>
        <w:jc w:val="both"/>
        <w:rPr>
          <w:rFonts w:cs="Arial"/>
          <w:spacing w:val="-4"/>
        </w:rPr>
      </w:pPr>
      <w:r w:rsidRPr="00BC521A">
        <w:rPr>
          <w:rFonts w:cs="Arial"/>
          <w:spacing w:val="-4"/>
        </w:rPr>
        <w:t xml:space="preserve">Asimismo, con esta estrategia se busca establecer un perfil para los niños, niñas y adolescentes que teniendo situación legal definida de adoptabilidad, pueden ser vinculados a las diferentes estrategias de búsqueda de familia de la Subdirección de Adopciones. </w:t>
      </w:r>
    </w:p>
    <w:p w:rsidR="00BC521A" w:rsidRPr="00BC521A" w:rsidRDefault="00BC521A" w:rsidP="00BC521A">
      <w:pPr>
        <w:spacing w:after="0" w:line="240" w:lineRule="auto"/>
        <w:contextualSpacing/>
        <w:jc w:val="both"/>
        <w:rPr>
          <w:rFonts w:cs="Arial"/>
          <w:spacing w:val="-4"/>
        </w:rPr>
      </w:pPr>
    </w:p>
    <w:p w:rsidR="00BC521A" w:rsidRPr="00BC521A" w:rsidRDefault="00BC521A" w:rsidP="00BC521A">
      <w:pPr>
        <w:spacing w:after="0" w:line="240" w:lineRule="auto"/>
        <w:contextualSpacing/>
        <w:jc w:val="both"/>
        <w:rPr>
          <w:rFonts w:cs="Arial"/>
          <w:spacing w:val="-4"/>
        </w:rPr>
      </w:pPr>
      <w:r w:rsidRPr="00BC521A">
        <w:rPr>
          <w:rFonts w:cs="Arial"/>
          <w:spacing w:val="-4"/>
        </w:rPr>
        <w:t>En el año 2016 fueron censados 5.604 niños, niñas y adolescentes ubicados en Hogares Sustitutos de las Regionales Antioquía, Caldas, Magdalena, Norte de Santander, Risaralda, Quindío, Santander, Tolima, Valle del Cauca y Cundinamarca.</w:t>
      </w:r>
    </w:p>
    <w:p w:rsidR="00BC521A" w:rsidRPr="00BC521A" w:rsidRDefault="00BC521A" w:rsidP="00BC521A">
      <w:pPr>
        <w:spacing w:after="0" w:line="240" w:lineRule="auto"/>
        <w:contextualSpacing/>
        <w:jc w:val="both"/>
        <w:rPr>
          <w:rFonts w:cs="Arial"/>
          <w:spacing w:val="-4"/>
        </w:rPr>
      </w:pPr>
    </w:p>
    <w:p w:rsidR="00BC521A" w:rsidRPr="00BC521A" w:rsidRDefault="00BC521A" w:rsidP="00BC521A">
      <w:pPr>
        <w:spacing w:after="0" w:line="240" w:lineRule="auto"/>
        <w:jc w:val="both"/>
        <w:rPr>
          <w:rFonts w:cs="Arial"/>
        </w:rPr>
      </w:pPr>
      <w:r w:rsidRPr="00BC521A">
        <w:rPr>
          <w:rFonts w:cs="Arial"/>
        </w:rPr>
        <w:t xml:space="preserve">A continuación, se detallan los resultados obtenidos: </w:t>
      </w:r>
    </w:p>
    <w:p w:rsidR="00BC521A" w:rsidRPr="00BC521A" w:rsidRDefault="00BC521A" w:rsidP="00BC521A">
      <w:pPr>
        <w:spacing w:after="0" w:line="240" w:lineRule="auto"/>
        <w:jc w:val="both"/>
        <w:rPr>
          <w:rFonts w:cs="Arial"/>
        </w:rPr>
      </w:pPr>
    </w:p>
    <w:p w:rsidR="00BC521A" w:rsidRPr="00BC521A" w:rsidRDefault="00BC521A" w:rsidP="00D712DC">
      <w:pPr>
        <w:widowControl w:val="0"/>
        <w:numPr>
          <w:ilvl w:val="0"/>
          <w:numId w:val="194"/>
        </w:numPr>
        <w:autoSpaceDE w:val="0"/>
        <w:autoSpaceDN w:val="0"/>
        <w:adjustRightInd w:val="0"/>
        <w:spacing w:after="0" w:line="240" w:lineRule="auto"/>
        <w:jc w:val="both"/>
        <w:rPr>
          <w:rFonts w:eastAsia="Times New Roman" w:cs="Arial"/>
          <w:b/>
          <w:lang w:eastAsia="es-ES"/>
        </w:rPr>
      </w:pPr>
      <w:r w:rsidRPr="00BC521A">
        <w:rPr>
          <w:rFonts w:eastAsia="Times New Roman" w:cs="Arial"/>
          <w:b/>
          <w:lang w:eastAsia="es-ES"/>
        </w:rPr>
        <w:t>Resultados generales: Hogares Sustitutos</w:t>
      </w:r>
    </w:p>
    <w:p w:rsidR="00BC521A" w:rsidRPr="00BC521A" w:rsidRDefault="00BC521A" w:rsidP="00BC521A">
      <w:pPr>
        <w:spacing w:after="0" w:line="240" w:lineRule="auto"/>
        <w:jc w:val="both"/>
        <w:rPr>
          <w:rFonts w:eastAsia="Times New Roman" w:cs="Arial"/>
          <w:lang w:eastAsia="es-ES"/>
        </w:rPr>
      </w:pPr>
    </w:p>
    <w:p w:rsidR="00BC521A" w:rsidRPr="00BC521A" w:rsidRDefault="00BC521A" w:rsidP="00D712DC">
      <w:pPr>
        <w:numPr>
          <w:ilvl w:val="0"/>
          <w:numId w:val="75"/>
        </w:numPr>
        <w:spacing w:after="0" w:line="240" w:lineRule="auto"/>
        <w:ind w:left="1068"/>
        <w:jc w:val="both"/>
        <w:rPr>
          <w:rFonts w:eastAsia="Times New Roman" w:cs="Arial"/>
          <w:lang w:eastAsia="es-ES"/>
        </w:rPr>
      </w:pPr>
      <w:r w:rsidRPr="00BC521A">
        <w:rPr>
          <w:rFonts w:eastAsia="Times New Roman" w:cs="Arial"/>
          <w:lang w:eastAsia="es-ES"/>
        </w:rPr>
        <w:t>Niños, niñas y adolescentes censados ubicados en Hogares Sustitutos: 5.604</w:t>
      </w:r>
    </w:p>
    <w:p w:rsidR="00BC521A" w:rsidRPr="00BC521A" w:rsidRDefault="00BC521A" w:rsidP="00D712DC">
      <w:pPr>
        <w:numPr>
          <w:ilvl w:val="0"/>
          <w:numId w:val="75"/>
        </w:numPr>
        <w:spacing w:after="0" w:line="240" w:lineRule="auto"/>
        <w:ind w:left="1068"/>
        <w:jc w:val="both"/>
        <w:rPr>
          <w:rFonts w:eastAsia="Times New Roman" w:cs="Arial"/>
          <w:lang w:eastAsia="es-ES"/>
        </w:rPr>
      </w:pPr>
      <w:r w:rsidRPr="00BC521A">
        <w:rPr>
          <w:rFonts w:eastAsia="Times New Roman" w:cs="Arial"/>
          <w:lang w:eastAsia="es-ES"/>
        </w:rPr>
        <w:t>Niños, niñas y adolescentes censados según tiempo de permanencia: 5.604</w:t>
      </w:r>
    </w:p>
    <w:p w:rsidR="00BC521A" w:rsidRPr="00BC521A" w:rsidRDefault="00BC521A" w:rsidP="00D712DC">
      <w:pPr>
        <w:numPr>
          <w:ilvl w:val="0"/>
          <w:numId w:val="75"/>
        </w:numPr>
        <w:spacing w:after="0" w:line="240" w:lineRule="auto"/>
        <w:ind w:left="1068"/>
        <w:jc w:val="both"/>
        <w:rPr>
          <w:rFonts w:eastAsia="Times New Roman" w:cs="Arial"/>
          <w:lang w:eastAsia="es-ES"/>
        </w:rPr>
      </w:pPr>
      <w:r w:rsidRPr="00BC521A">
        <w:rPr>
          <w:rFonts w:eastAsia="Times New Roman" w:cs="Arial"/>
          <w:lang w:eastAsia="es-ES"/>
        </w:rPr>
        <w:t>Niños, niñas y adolescentes censados según estado del proceso legal reportado: 5.604</w:t>
      </w:r>
    </w:p>
    <w:p w:rsidR="00BC521A" w:rsidRPr="00BC521A" w:rsidRDefault="00BC521A" w:rsidP="00BC521A">
      <w:pPr>
        <w:spacing w:after="0" w:line="240" w:lineRule="auto"/>
        <w:ind w:left="720"/>
        <w:jc w:val="both"/>
        <w:rPr>
          <w:rFonts w:eastAsia="Times New Roman" w:cs="Arial"/>
          <w:lang w:eastAsia="es-ES"/>
        </w:rPr>
      </w:pPr>
    </w:p>
    <w:p w:rsidR="00BC521A" w:rsidRPr="00BC521A" w:rsidRDefault="00BC521A" w:rsidP="00D712DC">
      <w:pPr>
        <w:numPr>
          <w:ilvl w:val="0"/>
          <w:numId w:val="194"/>
        </w:numPr>
        <w:spacing w:after="0" w:line="240" w:lineRule="auto"/>
        <w:jc w:val="both"/>
        <w:rPr>
          <w:rFonts w:eastAsia="Times New Roman" w:cs="Arial"/>
          <w:b/>
          <w:lang w:val="es-CO" w:eastAsia="es-ES"/>
        </w:rPr>
      </w:pPr>
      <w:r w:rsidRPr="00BC521A">
        <w:rPr>
          <w:rFonts w:eastAsia="Times New Roman" w:cs="Arial"/>
          <w:b/>
          <w:lang w:eastAsia="es-ES"/>
        </w:rPr>
        <w:t>Niños, niñas y adolescentes censados según</w:t>
      </w:r>
      <w:r w:rsidRPr="00BC521A">
        <w:rPr>
          <w:rFonts w:eastAsia="Times New Roman" w:cs="Arial"/>
          <w:b/>
          <w:lang w:val="es-CO" w:eastAsia="es-ES"/>
        </w:rPr>
        <w:t xml:space="preserve"> condición de salud:</w:t>
      </w:r>
    </w:p>
    <w:p w:rsidR="00BC521A" w:rsidRPr="00BC521A" w:rsidRDefault="00BC521A" w:rsidP="00BC521A">
      <w:pPr>
        <w:spacing w:after="0" w:line="240" w:lineRule="auto"/>
        <w:jc w:val="both"/>
        <w:rPr>
          <w:rFonts w:eastAsia="Times New Roman" w:cs="Arial"/>
          <w:lang w:val="es-CO" w:eastAsia="es-ES"/>
        </w:rPr>
      </w:pPr>
    </w:p>
    <w:tbl>
      <w:tblPr>
        <w:tblW w:w="848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0" w:type="dxa"/>
          <w:right w:w="0" w:type="dxa"/>
        </w:tblCellMar>
        <w:tblLook w:val="0600" w:firstRow="0" w:lastRow="0" w:firstColumn="0" w:lastColumn="0" w:noHBand="1" w:noVBand="1"/>
      </w:tblPr>
      <w:tblGrid>
        <w:gridCol w:w="4390"/>
        <w:gridCol w:w="2126"/>
        <w:gridCol w:w="1966"/>
      </w:tblGrid>
      <w:tr w:rsidR="00CF694D" w:rsidRPr="00CF694D" w:rsidTr="009C72CD">
        <w:trPr>
          <w:trHeight w:val="20"/>
          <w:tblHeader/>
          <w:jc w:val="center"/>
        </w:trPr>
        <w:tc>
          <w:tcPr>
            <w:tcW w:w="4390" w:type="dxa"/>
            <w:shd w:val="clear" w:color="auto" w:fill="76923C" w:themeFill="accent3" w:themeFillShade="BF"/>
            <w:tcMar>
              <w:top w:w="72" w:type="dxa"/>
              <w:left w:w="144" w:type="dxa"/>
              <w:bottom w:w="72" w:type="dxa"/>
              <w:right w:w="144" w:type="dxa"/>
            </w:tcMar>
            <w:vAlign w:val="center"/>
            <w:hideMark/>
          </w:tcPr>
          <w:p w:rsidR="00BC521A" w:rsidRPr="00CF694D" w:rsidRDefault="00CF694D" w:rsidP="00BC521A">
            <w:pPr>
              <w:spacing w:after="0" w:line="240" w:lineRule="auto"/>
              <w:jc w:val="center"/>
              <w:rPr>
                <w:rFonts w:eastAsia="Times New Roman" w:cs="Arial"/>
                <w:b/>
                <w:color w:val="FFFFFF" w:themeColor="background1"/>
                <w:sz w:val="18"/>
                <w:szCs w:val="20"/>
                <w:lang w:val="es-CO" w:eastAsia="es-ES"/>
              </w:rPr>
            </w:pPr>
            <w:r w:rsidRPr="00CF694D">
              <w:rPr>
                <w:rFonts w:eastAsia="Times New Roman" w:cs="Arial"/>
                <w:b/>
                <w:color w:val="FFFFFF" w:themeColor="background1"/>
                <w:sz w:val="18"/>
                <w:szCs w:val="20"/>
                <w:lang w:val="es-CO" w:eastAsia="es-ES"/>
              </w:rPr>
              <w:t>Según Condición De Salud</w:t>
            </w:r>
          </w:p>
        </w:tc>
        <w:tc>
          <w:tcPr>
            <w:tcW w:w="2126" w:type="dxa"/>
            <w:shd w:val="clear" w:color="auto" w:fill="76923C" w:themeFill="accent3" w:themeFillShade="BF"/>
            <w:tcMar>
              <w:top w:w="72" w:type="dxa"/>
              <w:left w:w="144" w:type="dxa"/>
              <w:bottom w:w="72" w:type="dxa"/>
              <w:right w:w="144" w:type="dxa"/>
            </w:tcMar>
            <w:vAlign w:val="center"/>
            <w:hideMark/>
          </w:tcPr>
          <w:p w:rsidR="00BC521A" w:rsidRPr="00CF694D" w:rsidRDefault="00CF694D" w:rsidP="00BC521A">
            <w:pPr>
              <w:spacing w:after="0" w:line="240" w:lineRule="auto"/>
              <w:jc w:val="center"/>
              <w:rPr>
                <w:rFonts w:eastAsia="Times New Roman" w:cs="Arial"/>
                <w:b/>
                <w:color w:val="FFFFFF" w:themeColor="background1"/>
                <w:sz w:val="18"/>
                <w:szCs w:val="20"/>
                <w:lang w:val="es-CO" w:eastAsia="es-ES"/>
              </w:rPr>
            </w:pPr>
            <w:r>
              <w:rPr>
                <w:rFonts w:eastAsia="Times New Roman" w:cs="Arial"/>
                <w:b/>
                <w:color w:val="FFFFFF" w:themeColor="background1"/>
                <w:sz w:val="18"/>
                <w:szCs w:val="20"/>
                <w:lang w:val="es-CO" w:eastAsia="es-ES"/>
              </w:rPr>
              <w:t>Con Vul</w:t>
            </w:r>
            <w:r w:rsidRPr="00CF694D">
              <w:rPr>
                <w:rFonts w:eastAsia="Times New Roman" w:cs="Arial"/>
                <w:b/>
                <w:color w:val="FFFFFF" w:themeColor="background1"/>
                <w:sz w:val="18"/>
                <w:szCs w:val="20"/>
                <w:lang w:val="es-CO" w:eastAsia="es-ES"/>
              </w:rPr>
              <w:t>neración</w:t>
            </w:r>
          </w:p>
        </w:tc>
        <w:tc>
          <w:tcPr>
            <w:tcW w:w="1966" w:type="dxa"/>
            <w:shd w:val="clear" w:color="auto" w:fill="76923C" w:themeFill="accent3" w:themeFillShade="BF"/>
            <w:tcMar>
              <w:top w:w="72" w:type="dxa"/>
              <w:left w:w="144" w:type="dxa"/>
              <w:bottom w:w="72" w:type="dxa"/>
              <w:right w:w="144" w:type="dxa"/>
            </w:tcMar>
            <w:vAlign w:val="center"/>
            <w:hideMark/>
          </w:tcPr>
          <w:p w:rsidR="00BC521A" w:rsidRPr="00CF694D" w:rsidRDefault="00CF694D" w:rsidP="00BC521A">
            <w:pPr>
              <w:spacing w:after="0" w:line="240" w:lineRule="auto"/>
              <w:jc w:val="center"/>
              <w:rPr>
                <w:rFonts w:eastAsia="Times New Roman" w:cs="Arial"/>
                <w:b/>
                <w:color w:val="FFFFFF" w:themeColor="background1"/>
                <w:sz w:val="18"/>
                <w:szCs w:val="20"/>
                <w:lang w:val="es-CO" w:eastAsia="es-ES"/>
              </w:rPr>
            </w:pPr>
            <w:r w:rsidRPr="00CF694D">
              <w:rPr>
                <w:rFonts w:eastAsia="Times New Roman" w:cs="Arial"/>
                <w:b/>
                <w:color w:val="FFFFFF" w:themeColor="background1"/>
                <w:sz w:val="18"/>
                <w:szCs w:val="20"/>
                <w:lang w:val="es-CO" w:eastAsia="es-ES"/>
              </w:rPr>
              <w:t>Con Adoptabilidad</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rPr>
                <w:rFonts w:eastAsia="Times New Roman" w:cs="Arial"/>
                <w:sz w:val="18"/>
                <w:szCs w:val="20"/>
                <w:lang w:eastAsia="es-ES"/>
              </w:rPr>
            </w:pPr>
            <w:r w:rsidRPr="00BC521A">
              <w:rPr>
                <w:rFonts w:eastAsia="Times New Roman" w:cs="Arial"/>
                <w:sz w:val="18"/>
                <w:szCs w:val="20"/>
                <w:lang w:eastAsia="es-ES"/>
              </w:rPr>
              <w:t>Sano</w:t>
            </w:r>
          </w:p>
        </w:tc>
        <w:tc>
          <w:tcPr>
            <w:tcW w:w="212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b/>
                <w:sz w:val="18"/>
                <w:szCs w:val="20"/>
                <w:lang w:eastAsia="es-ES"/>
              </w:rPr>
            </w:pPr>
            <w:r w:rsidRPr="00BC521A">
              <w:rPr>
                <w:rFonts w:eastAsia="Times New Roman" w:cs="Arial"/>
                <w:b/>
                <w:sz w:val="18"/>
                <w:szCs w:val="20"/>
                <w:lang w:eastAsia="es-ES"/>
              </w:rPr>
              <w:t>1.652</w:t>
            </w:r>
          </w:p>
        </w:tc>
        <w:tc>
          <w:tcPr>
            <w:tcW w:w="196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b/>
                <w:sz w:val="18"/>
                <w:szCs w:val="20"/>
                <w:lang w:eastAsia="es-ES"/>
              </w:rPr>
            </w:pPr>
            <w:r w:rsidRPr="00BC521A">
              <w:rPr>
                <w:rFonts w:eastAsia="Times New Roman" w:cs="Arial"/>
                <w:b/>
                <w:sz w:val="18"/>
                <w:szCs w:val="20"/>
                <w:lang w:eastAsia="es-ES"/>
              </w:rPr>
              <w:t>883</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Condición de manejo especial</w:t>
            </w:r>
          </w:p>
        </w:tc>
        <w:tc>
          <w:tcPr>
            <w:tcW w:w="212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cs="Arial"/>
                <w:sz w:val="18"/>
                <w:szCs w:val="20"/>
                <w:lang w:val="es-CO" w:eastAsia="es-CO"/>
              </w:rPr>
            </w:pPr>
            <w:r w:rsidRPr="00BC521A">
              <w:rPr>
                <w:rFonts w:cs="Arial"/>
                <w:sz w:val="18"/>
                <w:szCs w:val="20"/>
              </w:rPr>
              <w:t>194</w:t>
            </w:r>
          </w:p>
        </w:tc>
        <w:tc>
          <w:tcPr>
            <w:tcW w:w="196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198</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Discapacidad física</w:t>
            </w:r>
          </w:p>
        </w:tc>
        <w:tc>
          <w:tcPr>
            <w:tcW w:w="212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cs="Arial"/>
                <w:sz w:val="18"/>
                <w:szCs w:val="20"/>
              </w:rPr>
            </w:pPr>
            <w:r w:rsidRPr="00BC521A">
              <w:rPr>
                <w:rFonts w:cs="Arial"/>
                <w:sz w:val="18"/>
                <w:szCs w:val="20"/>
              </w:rPr>
              <w:t>17</w:t>
            </w:r>
          </w:p>
        </w:tc>
        <w:tc>
          <w:tcPr>
            <w:tcW w:w="196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58</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lastRenderedPageBreak/>
              <w:t>Discapacidad física y cognitiva</w:t>
            </w:r>
          </w:p>
        </w:tc>
        <w:tc>
          <w:tcPr>
            <w:tcW w:w="212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cs="Arial"/>
                <w:sz w:val="18"/>
                <w:szCs w:val="20"/>
              </w:rPr>
            </w:pPr>
            <w:r w:rsidRPr="00BC521A">
              <w:rPr>
                <w:rFonts w:cs="Arial"/>
                <w:sz w:val="18"/>
                <w:szCs w:val="20"/>
              </w:rPr>
              <w:t>1</w:t>
            </w:r>
          </w:p>
        </w:tc>
        <w:tc>
          <w:tcPr>
            <w:tcW w:w="196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8</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Discapacidad física, mental psicosocial y cognitiva</w:t>
            </w:r>
          </w:p>
        </w:tc>
        <w:tc>
          <w:tcPr>
            <w:tcW w:w="212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cs="Arial"/>
                <w:sz w:val="18"/>
                <w:szCs w:val="20"/>
              </w:rPr>
            </w:pPr>
            <w:r w:rsidRPr="00BC521A">
              <w:rPr>
                <w:rFonts w:cs="Arial"/>
                <w:sz w:val="18"/>
                <w:szCs w:val="20"/>
              </w:rPr>
              <w:t>1</w:t>
            </w:r>
          </w:p>
        </w:tc>
        <w:tc>
          <w:tcPr>
            <w:tcW w:w="1966" w:type="dxa"/>
            <w:shd w:val="clear" w:color="auto" w:fill="auto"/>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9</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Discapacidad Mental Psicosocial Y Cognitiva</w:t>
            </w:r>
          </w:p>
        </w:tc>
        <w:tc>
          <w:tcPr>
            <w:tcW w:w="212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cs="Arial"/>
                <w:sz w:val="18"/>
                <w:szCs w:val="20"/>
              </w:rPr>
            </w:pPr>
            <w:r w:rsidRPr="00BC521A">
              <w:rPr>
                <w:rFonts w:cs="Arial"/>
                <w:sz w:val="18"/>
                <w:szCs w:val="20"/>
              </w:rPr>
              <w:t>1</w:t>
            </w:r>
          </w:p>
        </w:tc>
        <w:tc>
          <w:tcPr>
            <w:tcW w:w="196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Discapacidad mental-cognitiva</w:t>
            </w:r>
          </w:p>
        </w:tc>
        <w:tc>
          <w:tcPr>
            <w:tcW w:w="212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cs="Arial"/>
                <w:sz w:val="18"/>
                <w:szCs w:val="20"/>
              </w:rPr>
            </w:pPr>
            <w:r w:rsidRPr="00BC521A">
              <w:rPr>
                <w:rFonts w:cs="Arial"/>
                <w:sz w:val="18"/>
                <w:szCs w:val="20"/>
              </w:rPr>
              <w:t>125</w:t>
            </w:r>
          </w:p>
        </w:tc>
        <w:tc>
          <w:tcPr>
            <w:tcW w:w="196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563</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rPr>
                <w:rFonts w:eastAsia="Times New Roman" w:cs="Arial"/>
                <w:sz w:val="18"/>
                <w:szCs w:val="20"/>
                <w:lang w:val="es-CO" w:eastAsia="es-CO"/>
              </w:rPr>
            </w:pPr>
            <w:r w:rsidRPr="00BC521A">
              <w:rPr>
                <w:rFonts w:eastAsia="Times New Roman" w:cs="Arial"/>
                <w:sz w:val="18"/>
                <w:szCs w:val="20"/>
                <w:lang w:val="es-CO" w:eastAsia="es-CO"/>
              </w:rPr>
              <w:t>Discapacidad mental-psicosocial</w:t>
            </w:r>
          </w:p>
        </w:tc>
        <w:tc>
          <w:tcPr>
            <w:tcW w:w="212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cs="Arial"/>
                <w:sz w:val="18"/>
                <w:szCs w:val="20"/>
              </w:rPr>
            </w:pPr>
            <w:r w:rsidRPr="00BC521A">
              <w:rPr>
                <w:rFonts w:cs="Arial"/>
                <w:sz w:val="18"/>
                <w:szCs w:val="20"/>
              </w:rPr>
              <w:t>55</w:t>
            </w:r>
          </w:p>
        </w:tc>
        <w:tc>
          <w:tcPr>
            <w:tcW w:w="196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74</w:t>
            </w:r>
          </w:p>
        </w:tc>
      </w:tr>
      <w:tr w:rsidR="00BC521A" w:rsidRPr="00BC521A" w:rsidTr="009C72CD">
        <w:trPr>
          <w:trHeight w:val="20"/>
          <w:jc w:val="center"/>
        </w:trPr>
        <w:tc>
          <w:tcPr>
            <w:tcW w:w="4390"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rPr>
                <w:rFonts w:eastAsia="Times New Roman" w:cs="Arial"/>
                <w:sz w:val="18"/>
                <w:szCs w:val="20"/>
                <w:lang w:eastAsia="es-ES"/>
              </w:rPr>
            </w:pPr>
            <w:r w:rsidRPr="00BC521A">
              <w:rPr>
                <w:rFonts w:eastAsia="Times New Roman" w:cs="Arial"/>
                <w:sz w:val="18"/>
                <w:szCs w:val="20"/>
                <w:lang w:val="es-CO" w:eastAsia="es-CO"/>
              </w:rPr>
              <w:t>Se desconoce</w:t>
            </w:r>
          </w:p>
        </w:tc>
        <w:tc>
          <w:tcPr>
            <w:tcW w:w="212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cs="Arial"/>
                <w:sz w:val="18"/>
                <w:szCs w:val="20"/>
              </w:rPr>
            </w:pPr>
            <w:r w:rsidRPr="00BC521A">
              <w:rPr>
                <w:rFonts w:cs="Arial"/>
                <w:sz w:val="18"/>
                <w:szCs w:val="20"/>
              </w:rPr>
              <w:t>62</w:t>
            </w:r>
          </w:p>
        </w:tc>
        <w:tc>
          <w:tcPr>
            <w:tcW w:w="1966" w:type="dxa"/>
            <w:shd w:val="clear" w:color="auto" w:fill="auto"/>
            <w:tcMar>
              <w:top w:w="72" w:type="dxa"/>
              <w:left w:w="144" w:type="dxa"/>
              <w:bottom w:w="72" w:type="dxa"/>
              <w:right w:w="144" w:type="dxa"/>
            </w:tcMar>
            <w:vAlign w:val="center"/>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34</w:t>
            </w:r>
          </w:p>
        </w:tc>
      </w:tr>
      <w:tr w:rsidR="00BC521A" w:rsidRPr="00BC521A" w:rsidTr="009C72CD">
        <w:trPr>
          <w:trHeight w:val="20"/>
          <w:jc w:val="center"/>
        </w:trPr>
        <w:tc>
          <w:tcPr>
            <w:tcW w:w="4390" w:type="dxa"/>
            <w:shd w:val="clear" w:color="auto" w:fill="E2EFDA"/>
            <w:tcMar>
              <w:top w:w="72" w:type="dxa"/>
              <w:left w:w="144" w:type="dxa"/>
              <w:bottom w:w="72" w:type="dxa"/>
              <w:right w:w="144" w:type="dxa"/>
            </w:tcMar>
            <w:vAlign w:val="center"/>
            <w:hideMark/>
          </w:tcPr>
          <w:p w:rsidR="00BC521A" w:rsidRPr="00BC521A" w:rsidRDefault="00CF694D" w:rsidP="00BC521A">
            <w:pPr>
              <w:spacing w:after="0" w:line="240" w:lineRule="auto"/>
              <w:rPr>
                <w:rFonts w:eastAsia="Times New Roman" w:cs="Arial"/>
                <w:b/>
                <w:sz w:val="18"/>
                <w:szCs w:val="20"/>
                <w:lang w:val="es-CO" w:eastAsia="es-ES"/>
              </w:rPr>
            </w:pPr>
            <w:r>
              <w:rPr>
                <w:rFonts w:eastAsia="Times New Roman" w:cs="Arial"/>
                <w:b/>
                <w:sz w:val="18"/>
                <w:szCs w:val="20"/>
                <w:lang w:val="es-CO" w:eastAsia="es-ES"/>
              </w:rPr>
              <w:t>Total G</w:t>
            </w:r>
            <w:r w:rsidR="00BC521A" w:rsidRPr="00BC521A">
              <w:rPr>
                <w:rFonts w:eastAsia="Times New Roman" w:cs="Arial"/>
                <w:b/>
                <w:sz w:val="18"/>
                <w:szCs w:val="20"/>
                <w:lang w:val="es-CO" w:eastAsia="es-ES"/>
              </w:rPr>
              <w:t>eneral</w:t>
            </w:r>
          </w:p>
        </w:tc>
        <w:tc>
          <w:tcPr>
            <w:tcW w:w="2126" w:type="dxa"/>
            <w:shd w:val="clear" w:color="auto" w:fill="E2EFDA"/>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b/>
                <w:sz w:val="18"/>
                <w:szCs w:val="20"/>
                <w:lang w:val="es-CO" w:eastAsia="es-ES"/>
              </w:rPr>
            </w:pPr>
            <w:r w:rsidRPr="00BC521A">
              <w:rPr>
                <w:rFonts w:eastAsia="Times New Roman" w:cs="Arial"/>
                <w:b/>
                <w:sz w:val="18"/>
                <w:szCs w:val="20"/>
                <w:lang w:eastAsia="es-ES"/>
              </w:rPr>
              <w:t>2.108</w:t>
            </w:r>
          </w:p>
        </w:tc>
        <w:tc>
          <w:tcPr>
            <w:tcW w:w="1966" w:type="dxa"/>
            <w:shd w:val="clear" w:color="auto" w:fill="E2EFDA"/>
            <w:tcMar>
              <w:top w:w="72" w:type="dxa"/>
              <w:left w:w="144" w:type="dxa"/>
              <w:bottom w:w="72" w:type="dxa"/>
              <w:right w:w="144" w:type="dxa"/>
            </w:tcMar>
            <w:vAlign w:val="center"/>
            <w:hideMark/>
          </w:tcPr>
          <w:p w:rsidR="00BC521A" w:rsidRPr="00BC521A" w:rsidRDefault="00BC521A" w:rsidP="00BC521A">
            <w:pPr>
              <w:spacing w:after="0" w:line="240" w:lineRule="auto"/>
              <w:jc w:val="center"/>
              <w:rPr>
                <w:rFonts w:eastAsia="Times New Roman" w:cs="Arial"/>
                <w:b/>
                <w:sz w:val="18"/>
                <w:szCs w:val="20"/>
                <w:lang w:val="es-CO" w:eastAsia="es-ES"/>
              </w:rPr>
            </w:pPr>
            <w:r w:rsidRPr="00BC521A">
              <w:rPr>
                <w:rFonts w:eastAsia="Times New Roman" w:cs="Arial"/>
                <w:b/>
                <w:sz w:val="18"/>
                <w:szCs w:val="20"/>
                <w:lang w:eastAsia="es-ES"/>
              </w:rPr>
              <w:t>1.834</w:t>
            </w:r>
          </w:p>
        </w:tc>
      </w:tr>
    </w:tbl>
    <w:p w:rsidR="00BC521A" w:rsidRDefault="005A0D8A" w:rsidP="00BC521A">
      <w:pPr>
        <w:spacing w:after="0" w:line="240" w:lineRule="auto"/>
        <w:jc w:val="both"/>
        <w:rPr>
          <w:rFonts w:cs="Arial"/>
          <w:sz w:val="16"/>
        </w:rPr>
      </w:pPr>
      <w:r>
        <w:rPr>
          <w:rFonts w:cs="Arial"/>
          <w:sz w:val="16"/>
        </w:rPr>
        <w:t xml:space="preserve">          </w:t>
      </w:r>
      <w:r w:rsidR="006C4626" w:rsidRPr="005A0D8A">
        <w:rPr>
          <w:rFonts w:cs="Arial"/>
          <w:b/>
          <w:sz w:val="16"/>
        </w:rPr>
        <w:t>Fuente:</w:t>
      </w:r>
      <w:r w:rsidR="006C4626">
        <w:rPr>
          <w:rFonts w:cs="Arial"/>
          <w:sz w:val="16"/>
        </w:rPr>
        <w:t xml:space="preserve"> Dirección de Protección</w:t>
      </w:r>
    </w:p>
    <w:p w:rsidR="006C4626" w:rsidRPr="00D21160" w:rsidRDefault="005A0D8A" w:rsidP="006C4626">
      <w:pPr>
        <w:rPr>
          <w:rFonts w:ascii="Calibri" w:hAnsi="Calibri"/>
          <w:i/>
          <w:iCs/>
          <w:sz w:val="16"/>
          <w:lang w:val="es-CO"/>
        </w:rPr>
      </w:pPr>
      <w:r>
        <w:rPr>
          <w:i/>
          <w:iCs/>
          <w:sz w:val="16"/>
        </w:rPr>
        <w:t xml:space="preserve">         </w:t>
      </w:r>
      <w:r w:rsidR="006C4626" w:rsidRPr="00D21160">
        <w:rPr>
          <w:i/>
          <w:iCs/>
          <w:sz w:val="16"/>
        </w:rPr>
        <w:t>Nota: Información preliminar, sujeta a actualización del cierre oficial de metas sociales y financieras.</w:t>
      </w:r>
    </w:p>
    <w:p w:rsidR="006C4626" w:rsidRPr="00D21160" w:rsidRDefault="006C4626" w:rsidP="006C4626">
      <w:pPr>
        <w:spacing w:after="0" w:line="240" w:lineRule="auto"/>
        <w:jc w:val="both"/>
        <w:rPr>
          <w:rFonts w:cs="Arial"/>
          <w:sz w:val="16"/>
          <w:lang w:val="es-CO" w:eastAsia="es-ES"/>
        </w:rPr>
      </w:pPr>
    </w:p>
    <w:p w:rsidR="00BC521A" w:rsidRPr="00BC521A" w:rsidRDefault="00BC521A" w:rsidP="00BC521A">
      <w:pPr>
        <w:spacing w:after="0" w:line="240" w:lineRule="auto"/>
        <w:jc w:val="both"/>
        <w:rPr>
          <w:rFonts w:cs="Arial"/>
        </w:rPr>
      </w:pPr>
      <w:r w:rsidRPr="00BC521A">
        <w:rPr>
          <w:rFonts w:cs="Arial"/>
        </w:rPr>
        <w:t>En el marco del cumplimiento de esta estrategia se informó a las regionales sobre los hallazgos y recomendaciones presentadas frente a las visitas realizadas durante 2016, visitas que han servido como herramientas para censar y recolectar información sobre los niños, niñas y adolescentes que se encuentran en la modalidad de ubicación Hogar Sustituto.</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Así mismo y en el marco del cumplimiento de esta estrategia y luego de la revisión y seguimiento a cada uno de los casos resultado de las visitas realizadas, se generaron cuatro servicios no conformes con número: 2888, 2889, 2890 y 2891, cargados a la Regional Antioquia con los siguientes hallazgos identificados:</w:t>
      </w:r>
    </w:p>
    <w:p w:rsidR="00BC521A" w:rsidRPr="00BC521A" w:rsidRDefault="00BC521A" w:rsidP="00BC521A">
      <w:pPr>
        <w:spacing w:after="0" w:line="240" w:lineRule="auto"/>
        <w:ind w:left="720"/>
        <w:jc w:val="both"/>
        <w:rPr>
          <w:rFonts w:cs="Arial"/>
          <w:lang w:eastAsia="es-ES"/>
        </w:rPr>
      </w:pPr>
    </w:p>
    <w:p w:rsidR="00BC521A" w:rsidRPr="00BC521A" w:rsidRDefault="00BC521A" w:rsidP="00D712DC">
      <w:pPr>
        <w:numPr>
          <w:ilvl w:val="0"/>
          <w:numId w:val="76"/>
        </w:numPr>
        <w:spacing w:after="0" w:line="240" w:lineRule="auto"/>
        <w:jc w:val="both"/>
        <w:rPr>
          <w:rFonts w:cs="Arial"/>
          <w:lang w:eastAsia="es-ES"/>
        </w:rPr>
      </w:pPr>
      <w:r w:rsidRPr="00BC521A">
        <w:rPr>
          <w:rFonts w:cs="Arial"/>
          <w:lang w:eastAsia="es-ES"/>
        </w:rPr>
        <w:t>Niños, niñas y adolescentes sin defensor de familia.</w:t>
      </w:r>
    </w:p>
    <w:p w:rsidR="00BC521A" w:rsidRPr="00BC521A" w:rsidRDefault="00BC521A" w:rsidP="00D712DC">
      <w:pPr>
        <w:numPr>
          <w:ilvl w:val="0"/>
          <w:numId w:val="76"/>
        </w:numPr>
        <w:spacing w:after="0" w:line="240" w:lineRule="auto"/>
        <w:jc w:val="both"/>
        <w:rPr>
          <w:rFonts w:cs="Arial"/>
          <w:lang w:eastAsia="es-ES"/>
        </w:rPr>
      </w:pPr>
      <w:r w:rsidRPr="00BC521A">
        <w:rPr>
          <w:rFonts w:cs="Arial"/>
          <w:lang w:eastAsia="es-ES"/>
        </w:rPr>
        <w:t>Niños víctimas de maltrato en hogar sustituto.</w:t>
      </w:r>
    </w:p>
    <w:p w:rsidR="00BC521A" w:rsidRPr="00BC521A" w:rsidRDefault="00BC521A" w:rsidP="00D712DC">
      <w:pPr>
        <w:numPr>
          <w:ilvl w:val="0"/>
          <w:numId w:val="76"/>
        </w:numPr>
        <w:spacing w:after="0" w:line="240" w:lineRule="auto"/>
        <w:jc w:val="both"/>
        <w:rPr>
          <w:rFonts w:cs="Arial"/>
          <w:lang w:eastAsia="es-ES"/>
        </w:rPr>
      </w:pPr>
      <w:r w:rsidRPr="00BC521A">
        <w:rPr>
          <w:rFonts w:cs="Arial"/>
          <w:lang w:eastAsia="es-ES"/>
        </w:rPr>
        <w:t>Niños, niñas y adolescentes sin historias de atención.</w:t>
      </w:r>
    </w:p>
    <w:p w:rsidR="00BC521A" w:rsidRPr="00BC521A" w:rsidRDefault="00BC521A" w:rsidP="00D712DC">
      <w:pPr>
        <w:numPr>
          <w:ilvl w:val="0"/>
          <w:numId w:val="76"/>
        </w:numPr>
        <w:spacing w:after="0" w:line="240" w:lineRule="auto"/>
        <w:jc w:val="both"/>
        <w:rPr>
          <w:rFonts w:cs="Arial"/>
          <w:lang w:eastAsia="es-ES"/>
        </w:rPr>
      </w:pPr>
      <w:r w:rsidRPr="00BC521A">
        <w:rPr>
          <w:rFonts w:cs="Arial"/>
          <w:lang w:eastAsia="es-ES"/>
        </w:rPr>
        <w:t>Sin actualización y registro en el SIM.</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Estos servicios fueron cargados en la herramienta ISolución, que permite al ICBF gestionar todo el proceso de mejora continua desde la generación de la acción de mejora hasta su cierre eficaz.</w:t>
      </w:r>
    </w:p>
    <w:p w:rsidR="00BC521A" w:rsidRPr="00BC521A" w:rsidRDefault="00BC521A" w:rsidP="00BC521A">
      <w:pPr>
        <w:spacing w:after="0" w:line="240" w:lineRule="auto"/>
        <w:jc w:val="both"/>
        <w:rPr>
          <w:rFonts w:cs="Arial"/>
        </w:rPr>
      </w:pPr>
    </w:p>
    <w:p w:rsidR="00BC521A" w:rsidRPr="00BC521A" w:rsidRDefault="00BC521A" w:rsidP="00BC521A">
      <w:pPr>
        <w:widowControl w:val="0"/>
        <w:autoSpaceDE w:val="0"/>
        <w:autoSpaceDN w:val="0"/>
        <w:adjustRightInd w:val="0"/>
        <w:spacing w:after="0" w:line="240" w:lineRule="auto"/>
        <w:jc w:val="both"/>
        <w:rPr>
          <w:rFonts w:cs="Arial"/>
        </w:rPr>
      </w:pPr>
      <w:r w:rsidRPr="00BC521A">
        <w:rPr>
          <w:rFonts w:cs="Arial"/>
        </w:rPr>
        <w:t>En la actualidad, la Dirección de Protección realiza seguimiento a los servicios no conformes y verifica el cumplimiento de las actividades en los tiempos definidos.</w:t>
      </w:r>
    </w:p>
    <w:p w:rsidR="00BC521A" w:rsidRPr="00BC521A" w:rsidRDefault="00BC521A" w:rsidP="00045FE1"/>
    <w:p w:rsidR="00BC521A" w:rsidRPr="00E81A77" w:rsidRDefault="00BC521A" w:rsidP="00045FE1">
      <w:pPr>
        <w:ind w:left="708" w:firstLine="708"/>
        <w:rPr>
          <w:rFonts w:eastAsiaTheme="majorEastAsia"/>
          <w:b/>
        </w:rPr>
      </w:pPr>
      <w:bookmarkStart w:id="109" w:name="_Toc472519282"/>
      <w:r w:rsidRPr="00E81A77">
        <w:rPr>
          <w:rFonts w:eastAsiaTheme="majorEastAsia"/>
          <w:b/>
        </w:rPr>
        <w:t>Plan de descongestión</w:t>
      </w:r>
      <w:bookmarkEnd w:id="109"/>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Teniendo en cuenta las altas cargas de Defensorías de Familia y la necesidad de seguir la movilización de los procesos, en el año 2016 se adelantó una iniciativa de descongestión de 16.995 procesos de niños, niñas y adolescentes, los cuales fueron identificados a partir de 4 variables: Procesos con altas permanencias en los servicios de protección; niños, niñas o adolescentes sin condición de discapacidad; procesos sin situación legal definida en los términos de ley; y denuncias sin verificar entre los años 2015 y 2016.</w:t>
      </w: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 xml:space="preserve">Para lo anterior se aprobaron cargas para las Defensorías de Familia con 207 profesionales y </w:t>
      </w:r>
      <w:r w:rsidRPr="00BC521A">
        <w:rPr>
          <w:rFonts w:eastAsia="Times New Roman" w:cs="Arial"/>
          <w:lang w:eastAsia="es-ES"/>
        </w:rPr>
        <w:lastRenderedPageBreak/>
        <w:t>asistenciales que apoyaron la movilización de los casos, asignados en las Regionales de la siguiente manera:</w:t>
      </w: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p>
    <w:tbl>
      <w:tblPr>
        <w:tblW w:w="9700" w:type="dxa"/>
        <w:tblInd w:w="8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600" w:firstRow="0" w:lastRow="0" w:firstColumn="0" w:lastColumn="0" w:noHBand="1" w:noVBand="1"/>
      </w:tblPr>
      <w:tblGrid>
        <w:gridCol w:w="2042"/>
        <w:gridCol w:w="1275"/>
        <w:gridCol w:w="1280"/>
        <w:gridCol w:w="1555"/>
        <w:gridCol w:w="1418"/>
        <w:gridCol w:w="996"/>
        <w:gridCol w:w="1134"/>
      </w:tblGrid>
      <w:tr w:rsidR="00BC521A" w:rsidRPr="003A07E5" w:rsidTr="00CA4C46">
        <w:trPr>
          <w:cantSplit/>
          <w:trHeight w:val="20"/>
          <w:tblHeader/>
        </w:trPr>
        <w:tc>
          <w:tcPr>
            <w:tcW w:w="2042" w:type="dxa"/>
            <w:shd w:val="clear" w:color="auto" w:fill="76923C" w:themeFill="accent3" w:themeFillShade="BF"/>
            <w:noWrap/>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Regional</w:t>
            </w:r>
          </w:p>
        </w:tc>
        <w:tc>
          <w:tcPr>
            <w:tcW w:w="1275" w:type="dxa"/>
            <w:shd w:val="clear" w:color="auto" w:fill="76923C" w:themeFill="accent3" w:themeFillShade="BF"/>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Abogado</w:t>
            </w:r>
          </w:p>
        </w:tc>
        <w:tc>
          <w:tcPr>
            <w:tcW w:w="1280" w:type="dxa"/>
            <w:shd w:val="clear" w:color="auto" w:fill="76923C" w:themeFill="accent3" w:themeFillShade="BF"/>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Psicólogo</w:t>
            </w:r>
          </w:p>
        </w:tc>
        <w:tc>
          <w:tcPr>
            <w:tcW w:w="1555" w:type="dxa"/>
            <w:shd w:val="clear" w:color="auto" w:fill="76923C" w:themeFill="accent3" w:themeFillShade="BF"/>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Trabajador Social</w:t>
            </w:r>
          </w:p>
        </w:tc>
        <w:tc>
          <w:tcPr>
            <w:tcW w:w="1418" w:type="dxa"/>
            <w:shd w:val="clear" w:color="auto" w:fill="76923C" w:themeFill="accent3" w:themeFillShade="BF"/>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Nutricionista</w:t>
            </w:r>
          </w:p>
        </w:tc>
        <w:tc>
          <w:tcPr>
            <w:tcW w:w="996" w:type="dxa"/>
            <w:shd w:val="clear" w:color="auto" w:fill="76923C" w:themeFill="accent3" w:themeFillShade="BF"/>
            <w:noWrap/>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Técnico</w:t>
            </w:r>
          </w:p>
        </w:tc>
        <w:tc>
          <w:tcPr>
            <w:tcW w:w="1134" w:type="dxa"/>
            <w:shd w:val="clear" w:color="auto" w:fill="76923C" w:themeFill="accent3" w:themeFillShade="BF"/>
            <w:vAlign w:val="center"/>
            <w:hideMark/>
          </w:tcPr>
          <w:p w:rsidR="00BC521A" w:rsidRPr="003A07E5" w:rsidRDefault="003A07E5" w:rsidP="00BC521A">
            <w:pPr>
              <w:spacing w:after="0" w:line="240" w:lineRule="auto"/>
              <w:jc w:val="center"/>
              <w:rPr>
                <w:rFonts w:eastAsia="Times New Roman" w:cs="Arial"/>
                <w:b/>
                <w:bCs/>
                <w:color w:val="FFFFFF" w:themeColor="background1"/>
                <w:sz w:val="18"/>
                <w:szCs w:val="18"/>
                <w:lang w:val="es-CO" w:eastAsia="es-CO"/>
              </w:rPr>
            </w:pPr>
            <w:r w:rsidRPr="003A07E5">
              <w:rPr>
                <w:rFonts w:eastAsia="Times New Roman" w:cs="Arial"/>
                <w:b/>
                <w:bCs/>
                <w:color w:val="FFFFFF" w:themeColor="background1"/>
                <w:sz w:val="18"/>
                <w:szCs w:val="18"/>
                <w:lang w:val="es-CO" w:eastAsia="es-CO"/>
              </w:rPr>
              <w:t>Otro Perfil</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Arauca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Atlántico</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Antioquia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7</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7</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7</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Bogotá</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12</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12</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12</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12</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Bolivar</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Boyacá</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Caldas</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Caldas</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Caquetá</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Cauca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Cordoba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bCs/>
                <w:sz w:val="18"/>
                <w:szCs w:val="18"/>
                <w:lang w:val="es-CO" w:eastAsia="es-CO"/>
              </w:rPr>
            </w:pPr>
            <w:r w:rsidRPr="003A07E5">
              <w:rPr>
                <w:rFonts w:eastAsia="Times New Roman" w:cs="Arial"/>
                <w:bCs/>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Cundinamarca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Huila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5</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Meta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Nariño</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Norte Santander</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Putumayo</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3A07E5">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Quindío</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5A0D8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Risaralda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5A0D8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Sucre</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bCs/>
                <w:sz w:val="18"/>
                <w:szCs w:val="18"/>
                <w:lang w:val="es-CO" w:eastAsia="es-CO"/>
              </w:rPr>
            </w:pPr>
            <w:r w:rsidRPr="003A07E5">
              <w:rPr>
                <w:rFonts w:eastAsia="Times New Roman" w:cs="Arial"/>
                <w:bCs/>
                <w:sz w:val="18"/>
                <w:szCs w:val="18"/>
                <w:lang w:val="es-CO" w:eastAsia="es-CO"/>
              </w:rPr>
              <w:t>1</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5A0D8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Tolima</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3</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1</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bCs/>
                <w:sz w:val="18"/>
                <w:szCs w:val="18"/>
                <w:lang w:val="es-CO" w:eastAsia="es-CO"/>
              </w:rPr>
            </w:pPr>
            <w:r w:rsidRPr="003A07E5">
              <w:rPr>
                <w:rFonts w:eastAsia="Times New Roman" w:cs="Arial"/>
                <w:bCs/>
                <w:sz w:val="18"/>
                <w:szCs w:val="18"/>
                <w:lang w:val="es-CO" w:eastAsia="es-CO"/>
              </w:rPr>
              <w:t>1</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000000" w:fill="FFFFFF"/>
            <w:noWrap/>
            <w:vAlign w:val="bottom"/>
            <w:hideMark/>
          </w:tcPr>
          <w:p w:rsidR="00BC521A" w:rsidRPr="003A07E5" w:rsidRDefault="005A0D8A" w:rsidP="005A0D8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Valle</w:t>
            </w:r>
          </w:p>
        </w:tc>
        <w:tc>
          <w:tcPr>
            <w:tcW w:w="127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c>
          <w:tcPr>
            <w:tcW w:w="1280"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5</w:t>
            </w:r>
          </w:p>
        </w:tc>
        <w:tc>
          <w:tcPr>
            <w:tcW w:w="1555"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5</w:t>
            </w:r>
          </w:p>
        </w:tc>
        <w:tc>
          <w:tcPr>
            <w:tcW w:w="1418"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5</w:t>
            </w:r>
          </w:p>
        </w:tc>
        <w:tc>
          <w:tcPr>
            <w:tcW w:w="996"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6</w:t>
            </w:r>
          </w:p>
        </w:tc>
        <w:tc>
          <w:tcPr>
            <w:tcW w:w="1134" w:type="dxa"/>
            <w:shd w:val="clear" w:color="000000" w:fill="FFFFFF"/>
            <w:noWrap/>
            <w:vAlign w:val="bottom"/>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0</w:t>
            </w:r>
          </w:p>
        </w:tc>
      </w:tr>
      <w:tr w:rsidR="00BC521A" w:rsidRPr="003A07E5" w:rsidTr="003A07E5">
        <w:trPr>
          <w:cantSplit/>
          <w:trHeight w:val="20"/>
        </w:trPr>
        <w:tc>
          <w:tcPr>
            <w:tcW w:w="2042"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TOTAL</w:t>
            </w:r>
          </w:p>
        </w:tc>
        <w:tc>
          <w:tcPr>
            <w:tcW w:w="1275"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26</w:t>
            </w:r>
          </w:p>
        </w:tc>
        <w:tc>
          <w:tcPr>
            <w:tcW w:w="1280"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65</w:t>
            </w:r>
          </w:p>
        </w:tc>
        <w:tc>
          <w:tcPr>
            <w:tcW w:w="1555"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62</w:t>
            </w:r>
          </w:p>
        </w:tc>
        <w:tc>
          <w:tcPr>
            <w:tcW w:w="1418"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35</w:t>
            </w:r>
          </w:p>
        </w:tc>
        <w:tc>
          <w:tcPr>
            <w:tcW w:w="996"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18</w:t>
            </w:r>
          </w:p>
        </w:tc>
        <w:tc>
          <w:tcPr>
            <w:tcW w:w="1134" w:type="dxa"/>
            <w:shd w:val="clear" w:color="auto" w:fill="E2EFDA"/>
            <w:noWrap/>
            <w:vAlign w:val="bottom"/>
            <w:hideMark/>
          </w:tcPr>
          <w:p w:rsidR="00BC521A" w:rsidRPr="003A07E5" w:rsidRDefault="00BC521A" w:rsidP="00BC521A">
            <w:pPr>
              <w:spacing w:after="0" w:line="240" w:lineRule="auto"/>
              <w:jc w:val="center"/>
              <w:rPr>
                <w:rFonts w:eastAsia="Times New Roman" w:cs="Arial"/>
                <w:b/>
                <w:bCs/>
                <w:color w:val="000000" w:themeColor="text1"/>
                <w:sz w:val="18"/>
                <w:szCs w:val="18"/>
                <w:lang w:val="es-CO" w:eastAsia="es-CO"/>
              </w:rPr>
            </w:pPr>
            <w:r w:rsidRPr="003A07E5">
              <w:rPr>
                <w:rFonts w:eastAsia="Times New Roman" w:cs="Arial"/>
                <w:b/>
                <w:bCs/>
                <w:color w:val="000000" w:themeColor="text1"/>
                <w:sz w:val="18"/>
                <w:szCs w:val="18"/>
                <w:lang w:val="es-CO" w:eastAsia="es-CO"/>
              </w:rPr>
              <w:t>1</w:t>
            </w:r>
          </w:p>
        </w:tc>
      </w:tr>
    </w:tbl>
    <w:p w:rsidR="00BC521A" w:rsidRPr="005A0D8A" w:rsidRDefault="005A0D8A" w:rsidP="006C4626">
      <w:pPr>
        <w:widowControl w:val="0"/>
        <w:autoSpaceDE w:val="0"/>
        <w:autoSpaceDN w:val="0"/>
        <w:adjustRightInd w:val="0"/>
        <w:spacing w:after="0" w:line="240" w:lineRule="auto"/>
        <w:jc w:val="both"/>
        <w:rPr>
          <w:rFonts w:eastAsia="Times New Roman" w:cs="Arial"/>
          <w:sz w:val="16"/>
          <w:lang w:eastAsia="es-ES"/>
        </w:rPr>
      </w:pPr>
      <w:r w:rsidRPr="005A0D8A">
        <w:rPr>
          <w:rFonts w:eastAsia="Times New Roman" w:cs="Arial"/>
          <w:sz w:val="16"/>
          <w:lang w:eastAsia="es-ES"/>
        </w:rPr>
        <w:t xml:space="preserve">  </w:t>
      </w:r>
      <w:r w:rsidR="006C4626" w:rsidRPr="005A0D8A">
        <w:rPr>
          <w:rFonts w:eastAsia="Times New Roman" w:cs="Arial"/>
          <w:b/>
          <w:sz w:val="16"/>
          <w:lang w:eastAsia="es-ES"/>
        </w:rPr>
        <w:t>Fuente:</w:t>
      </w:r>
      <w:r w:rsidR="006C4626" w:rsidRPr="005A0D8A">
        <w:rPr>
          <w:rFonts w:eastAsia="Times New Roman" w:cs="Arial"/>
          <w:sz w:val="16"/>
          <w:lang w:eastAsia="es-ES"/>
        </w:rPr>
        <w:t xml:space="preserve"> Dirección de Protección</w:t>
      </w:r>
    </w:p>
    <w:p w:rsidR="006C4626" w:rsidRPr="005A0D8A" w:rsidRDefault="005A0D8A" w:rsidP="006C4626">
      <w:pPr>
        <w:rPr>
          <w:rFonts w:ascii="Calibri" w:hAnsi="Calibri"/>
          <w:i/>
          <w:iCs/>
          <w:sz w:val="16"/>
          <w:lang w:val="es-CO"/>
        </w:rPr>
      </w:pPr>
      <w:r w:rsidRPr="005A0D8A">
        <w:rPr>
          <w:i/>
          <w:iCs/>
          <w:sz w:val="16"/>
        </w:rPr>
        <w:t xml:space="preserve">  </w:t>
      </w:r>
      <w:r w:rsidR="006C4626" w:rsidRPr="005A0D8A">
        <w:rPr>
          <w:i/>
          <w:iCs/>
          <w:sz w:val="16"/>
        </w:rPr>
        <w:t>Nota: Información preliminar, sujeta a actualización del cierre oficial de metas sociales y financieras.</w:t>
      </w: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5A0D8A" w:rsidRDefault="005A0D8A" w:rsidP="00BC521A">
      <w:pPr>
        <w:widowControl w:val="0"/>
        <w:autoSpaceDE w:val="0"/>
        <w:autoSpaceDN w:val="0"/>
        <w:adjustRightInd w:val="0"/>
        <w:spacing w:after="0" w:line="240" w:lineRule="auto"/>
        <w:jc w:val="both"/>
        <w:rPr>
          <w:rFonts w:eastAsia="Times New Roman" w:cs="Arial"/>
          <w:lang w:eastAsia="es-ES"/>
        </w:rPr>
      </w:pPr>
    </w:p>
    <w:p w:rsidR="00BC521A" w:rsidRPr="00BC521A" w:rsidRDefault="006C4626" w:rsidP="00BC521A">
      <w:pPr>
        <w:widowControl w:val="0"/>
        <w:autoSpaceDE w:val="0"/>
        <w:autoSpaceDN w:val="0"/>
        <w:adjustRightInd w:val="0"/>
        <w:spacing w:after="0" w:line="240" w:lineRule="auto"/>
        <w:jc w:val="both"/>
        <w:rPr>
          <w:rFonts w:eastAsia="Times New Roman" w:cs="Arial"/>
          <w:lang w:eastAsia="es-ES"/>
        </w:rPr>
      </w:pPr>
      <w:r>
        <w:rPr>
          <w:rFonts w:eastAsia="Times New Roman" w:cs="Arial"/>
          <w:lang w:eastAsia="es-ES"/>
        </w:rPr>
        <w:lastRenderedPageBreak/>
        <w:t>A</w:t>
      </w:r>
      <w:r w:rsidR="00BC521A" w:rsidRPr="00BC521A">
        <w:rPr>
          <w:rFonts w:eastAsia="Times New Roman" w:cs="Arial"/>
          <w:lang w:eastAsia="es-ES"/>
        </w:rPr>
        <w:t xml:space="preserve"> continuación presentamos los resultados del plan de descongestión: </w:t>
      </w: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p>
    <w:p w:rsidR="00BC521A" w:rsidRPr="00BC521A" w:rsidRDefault="003A07E5" w:rsidP="003A07E5">
      <w:pPr>
        <w:widowControl w:val="0"/>
        <w:autoSpaceDE w:val="0"/>
        <w:autoSpaceDN w:val="0"/>
        <w:adjustRightInd w:val="0"/>
        <w:spacing w:after="0" w:line="240" w:lineRule="auto"/>
        <w:ind w:firstLine="283"/>
        <w:jc w:val="center"/>
        <w:rPr>
          <w:rFonts w:eastAsia="Times New Roman" w:cs="Arial"/>
          <w:lang w:eastAsia="es-ES"/>
        </w:rPr>
      </w:pPr>
      <w:r>
        <w:rPr>
          <w:rFonts w:eastAsia="Times New Roman" w:cs="Arial"/>
          <w:noProof/>
          <w:color w:val="000000"/>
          <w:sz w:val="24"/>
          <w:szCs w:val="24"/>
          <w:lang w:val="es-CO" w:eastAsia="es-CO"/>
        </w:rPr>
        <mc:AlternateContent>
          <mc:Choice Requires="wps">
            <w:drawing>
              <wp:anchor distT="0" distB="0" distL="114300" distR="114300" simplePos="0" relativeHeight="251739648" behindDoc="0" locked="0" layoutInCell="1" allowOverlap="1" wp14:anchorId="4DCD95CE" wp14:editId="62F8D853">
                <wp:simplePos x="0" y="0"/>
                <wp:positionH relativeFrom="column">
                  <wp:posOffset>5073015</wp:posOffset>
                </wp:positionH>
                <wp:positionV relativeFrom="paragraph">
                  <wp:posOffset>3237230</wp:posOffset>
                </wp:positionV>
                <wp:extent cx="304800" cy="161925"/>
                <wp:effectExtent l="0" t="0" r="0" b="9525"/>
                <wp:wrapNone/>
                <wp:docPr id="5" name="Rectángulo 5"/>
                <wp:cNvGraphicFramePr/>
                <a:graphic xmlns:a="http://schemas.openxmlformats.org/drawingml/2006/main">
                  <a:graphicData uri="http://schemas.microsoft.com/office/word/2010/wordprocessingShape">
                    <wps:wsp>
                      <wps:cNvSpPr/>
                      <wps:spPr>
                        <a:xfrm>
                          <a:off x="0" y="0"/>
                          <a:ext cx="30480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10285" id="Rectángulo 5" o:spid="_x0000_s1026" style="position:absolute;margin-left:399.45pt;margin-top:254.9pt;width:24pt;height:12.75pt;z-index:25173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" fillcolor="white [3212]" stroked="f" strokeweight="2pt"/>
            </w:pict>
          </mc:Fallback>
        </mc:AlternateContent>
      </w:r>
      <w:r w:rsidR="00BC521A" w:rsidRPr="00BC521A">
        <w:rPr>
          <w:rFonts w:eastAsia="Times New Roman" w:cs="Arial"/>
          <w:noProof/>
          <w:color w:val="000000"/>
          <w:sz w:val="24"/>
          <w:szCs w:val="24"/>
          <w:lang w:val="es-CO" w:eastAsia="es-CO"/>
        </w:rPr>
        <w:drawing>
          <wp:inline distT="0" distB="0" distL="0" distR="0" wp14:anchorId="7F8FD5D8" wp14:editId="19D739E0">
            <wp:extent cx="5219700" cy="3285449"/>
            <wp:effectExtent l="19050" t="19050" r="19050" b="1079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2329" t="27910" r="4146" b="17464"/>
                    <a:stretch/>
                  </pic:blipFill>
                  <pic:spPr bwMode="auto">
                    <a:xfrm>
                      <a:off x="0" y="0"/>
                      <a:ext cx="5221381" cy="3286507"/>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p>
    <w:p w:rsidR="005A0D8A" w:rsidRDefault="005A0D8A" w:rsidP="00045FE1">
      <w:pPr>
        <w:rPr>
          <w:rFonts w:eastAsiaTheme="majorEastAsia"/>
          <w:b/>
        </w:rPr>
      </w:pPr>
      <w:bookmarkStart w:id="110" w:name="_Toc472519283"/>
    </w:p>
    <w:p w:rsidR="00BC521A" w:rsidRPr="00E81A77" w:rsidRDefault="00BC521A" w:rsidP="00045FE1">
      <w:pPr>
        <w:rPr>
          <w:rFonts w:eastAsiaTheme="majorEastAsia"/>
          <w:b/>
        </w:rPr>
      </w:pPr>
      <w:r w:rsidRPr="00E81A77">
        <w:rPr>
          <w:rFonts w:eastAsiaTheme="majorEastAsia"/>
          <w:b/>
        </w:rPr>
        <w:t>Plan de Asistencia Técnica</w:t>
      </w:r>
      <w:bookmarkEnd w:id="110"/>
    </w:p>
    <w:p w:rsidR="00BC521A" w:rsidRPr="00BC521A" w:rsidRDefault="00BC521A" w:rsidP="00BC521A">
      <w:pPr>
        <w:spacing w:after="0" w:line="240" w:lineRule="auto"/>
        <w:contextualSpacing/>
        <w:jc w:val="both"/>
        <w:rPr>
          <w:rFonts w:cs="Arial"/>
          <w:spacing w:val="-4"/>
        </w:rPr>
      </w:pPr>
      <w:r w:rsidRPr="00BC521A">
        <w:rPr>
          <w:rFonts w:cs="Arial"/>
          <w:spacing w:val="-4"/>
        </w:rPr>
        <w:t xml:space="preserve">En el marco del desarrollo de actividades misionales de la Dirección de Protección, se continuó con la implementación de un Plan de Asistencia Técnica Integral para cualificar a Defensores de Familia, equipos de defensorías, operadores, equipos de centros zonales y profesionales del ICBF, cuyos inicios se remontan desde febrero de 2015. </w:t>
      </w:r>
    </w:p>
    <w:p w:rsidR="00BC521A" w:rsidRPr="00BC521A" w:rsidRDefault="00BC521A" w:rsidP="00BC521A">
      <w:pPr>
        <w:spacing w:after="0" w:line="240" w:lineRule="auto"/>
        <w:contextualSpacing/>
        <w:jc w:val="both"/>
        <w:rPr>
          <w:rFonts w:cs="Arial"/>
          <w:spacing w:val="-4"/>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980"/>
        <w:gridCol w:w="2411"/>
        <w:gridCol w:w="2125"/>
        <w:gridCol w:w="2879"/>
      </w:tblGrid>
      <w:tr w:rsidR="00BC521A" w:rsidRPr="003A07E5" w:rsidTr="003A07E5">
        <w:trPr>
          <w:trHeight w:val="300"/>
          <w:tblHeader/>
        </w:trPr>
        <w:tc>
          <w:tcPr>
            <w:tcW w:w="5000" w:type="pct"/>
            <w:gridSpan w:val="4"/>
            <w:shd w:val="clear" w:color="auto" w:fill="76923C" w:themeFill="accent3" w:themeFillShade="BF"/>
            <w:vAlign w:val="center"/>
            <w:hideMark/>
          </w:tcPr>
          <w:p w:rsidR="00BC521A" w:rsidRPr="003A07E5" w:rsidRDefault="00BC521A" w:rsidP="00BC521A">
            <w:pPr>
              <w:spacing w:after="0" w:line="240" w:lineRule="auto"/>
              <w:jc w:val="center"/>
              <w:rPr>
                <w:rFonts w:eastAsia="Times New Roman" w:cs="Arial"/>
                <w:b/>
                <w:bCs/>
                <w:sz w:val="18"/>
                <w:szCs w:val="18"/>
                <w:lang w:val="es-CO" w:eastAsia="es-CO"/>
              </w:rPr>
            </w:pPr>
            <w:r w:rsidRPr="003A07E5">
              <w:rPr>
                <w:rFonts w:eastAsia="Times New Roman" w:cs="Arial"/>
                <w:b/>
                <w:bCs/>
                <w:color w:val="FFFFFF" w:themeColor="background1"/>
                <w:sz w:val="18"/>
                <w:szCs w:val="18"/>
                <w:lang w:val="es-CO" w:eastAsia="es-CO"/>
              </w:rPr>
              <w:t>Enero – Noviembre 30 de 2016</w:t>
            </w:r>
          </w:p>
        </w:tc>
      </w:tr>
      <w:tr w:rsidR="00BC521A" w:rsidRPr="003A07E5" w:rsidTr="005A0D8A">
        <w:trPr>
          <w:trHeight w:val="210"/>
          <w:tblHeader/>
        </w:trPr>
        <w:tc>
          <w:tcPr>
            <w:tcW w:w="1054" w:type="pct"/>
            <w:shd w:val="clear" w:color="auto" w:fill="E2EFDA"/>
            <w:vAlign w:val="center"/>
            <w:hideMark/>
          </w:tcPr>
          <w:p w:rsidR="00BC521A" w:rsidRPr="003A07E5" w:rsidRDefault="003A07E5" w:rsidP="00BC521A">
            <w:pPr>
              <w:spacing w:after="0" w:line="240" w:lineRule="auto"/>
              <w:jc w:val="center"/>
              <w:rPr>
                <w:rFonts w:eastAsia="Times New Roman" w:cs="Arial"/>
                <w:b/>
                <w:bCs/>
                <w:sz w:val="18"/>
                <w:szCs w:val="18"/>
                <w:lang w:val="es-CO" w:eastAsia="es-CO"/>
              </w:rPr>
            </w:pPr>
            <w:r w:rsidRPr="003A07E5">
              <w:rPr>
                <w:rFonts w:eastAsia="Times New Roman" w:cs="Arial"/>
                <w:b/>
                <w:bCs/>
                <w:sz w:val="18"/>
                <w:szCs w:val="18"/>
                <w:lang w:val="es-CO" w:eastAsia="es-CO"/>
              </w:rPr>
              <w:t>No. de Actividades R</w:t>
            </w:r>
            <w:r w:rsidR="00BC521A" w:rsidRPr="003A07E5">
              <w:rPr>
                <w:rFonts w:eastAsia="Times New Roman" w:cs="Arial"/>
                <w:b/>
                <w:bCs/>
                <w:sz w:val="18"/>
                <w:szCs w:val="18"/>
                <w:lang w:val="es-CO" w:eastAsia="es-CO"/>
              </w:rPr>
              <w:t>ealizadas</w:t>
            </w:r>
          </w:p>
        </w:tc>
        <w:tc>
          <w:tcPr>
            <w:tcW w:w="1283" w:type="pct"/>
            <w:shd w:val="clear" w:color="auto" w:fill="E2EFDA"/>
            <w:noWrap/>
            <w:vAlign w:val="center"/>
            <w:hideMark/>
          </w:tcPr>
          <w:p w:rsidR="00BC521A" w:rsidRPr="003A07E5" w:rsidRDefault="00BC521A" w:rsidP="00BC521A">
            <w:pPr>
              <w:spacing w:after="0" w:line="240" w:lineRule="auto"/>
              <w:jc w:val="center"/>
              <w:rPr>
                <w:rFonts w:eastAsia="Times New Roman" w:cs="Arial"/>
                <w:b/>
                <w:bCs/>
                <w:sz w:val="18"/>
                <w:szCs w:val="18"/>
                <w:lang w:val="es-CO" w:eastAsia="es-CO"/>
              </w:rPr>
            </w:pPr>
            <w:r w:rsidRPr="003A07E5">
              <w:rPr>
                <w:rFonts w:eastAsia="Times New Roman" w:cs="Arial"/>
                <w:b/>
                <w:bCs/>
                <w:sz w:val="18"/>
                <w:szCs w:val="18"/>
                <w:lang w:val="es-CO" w:eastAsia="es-CO"/>
              </w:rPr>
              <w:t>Ciudades</w:t>
            </w:r>
          </w:p>
        </w:tc>
        <w:tc>
          <w:tcPr>
            <w:tcW w:w="1131" w:type="pct"/>
            <w:shd w:val="clear" w:color="auto" w:fill="E2EFDA"/>
            <w:vAlign w:val="center"/>
            <w:hideMark/>
          </w:tcPr>
          <w:p w:rsidR="00BC521A" w:rsidRPr="003A07E5" w:rsidRDefault="003A07E5" w:rsidP="00BC521A">
            <w:pPr>
              <w:spacing w:after="0" w:line="240" w:lineRule="auto"/>
              <w:jc w:val="center"/>
              <w:rPr>
                <w:rFonts w:eastAsia="Times New Roman" w:cs="Arial"/>
                <w:b/>
                <w:bCs/>
                <w:sz w:val="18"/>
                <w:szCs w:val="18"/>
                <w:lang w:val="es-CO" w:eastAsia="es-CO"/>
              </w:rPr>
            </w:pPr>
            <w:r w:rsidRPr="003A07E5">
              <w:rPr>
                <w:rFonts w:eastAsia="Times New Roman" w:cs="Arial"/>
                <w:b/>
                <w:bCs/>
                <w:sz w:val="18"/>
                <w:szCs w:val="18"/>
                <w:lang w:val="es-CO" w:eastAsia="es-CO"/>
              </w:rPr>
              <w:t>No. Personas P</w:t>
            </w:r>
            <w:r w:rsidR="00BC521A" w:rsidRPr="003A07E5">
              <w:rPr>
                <w:rFonts w:eastAsia="Times New Roman" w:cs="Arial"/>
                <w:b/>
                <w:bCs/>
                <w:sz w:val="18"/>
                <w:szCs w:val="18"/>
                <w:lang w:val="es-CO" w:eastAsia="es-CO"/>
              </w:rPr>
              <w:t>articipantes</w:t>
            </w:r>
            <w:r w:rsidR="00BC521A" w:rsidRPr="003A07E5">
              <w:rPr>
                <w:rFonts w:eastAsia="Times New Roman" w:cs="Arial"/>
                <w:b/>
                <w:bCs/>
                <w:sz w:val="18"/>
                <w:szCs w:val="18"/>
                <w:vertAlign w:val="superscript"/>
                <w:lang w:val="es-CO" w:eastAsia="es-CO"/>
              </w:rPr>
              <w:footnoteReference w:id="21"/>
            </w:r>
          </w:p>
        </w:tc>
        <w:tc>
          <w:tcPr>
            <w:tcW w:w="1532" w:type="pct"/>
            <w:shd w:val="clear" w:color="auto" w:fill="E2EFDA"/>
            <w:noWrap/>
            <w:vAlign w:val="center"/>
            <w:hideMark/>
          </w:tcPr>
          <w:p w:rsidR="00BC521A" w:rsidRPr="003A07E5" w:rsidRDefault="00BC521A" w:rsidP="00BC521A">
            <w:pPr>
              <w:spacing w:after="0" w:line="240" w:lineRule="auto"/>
              <w:jc w:val="center"/>
              <w:rPr>
                <w:rFonts w:eastAsia="Times New Roman" w:cs="Arial"/>
                <w:b/>
                <w:bCs/>
                <w:sz w:val="18"/>
                <w:szCs w:val="18"/>
                <w:lang w:val="es-CO" w:eastAsia="es-CO"/>
              </w:rPr>
            </w:pPr>
            <w:r w:rsidRPr="003A07E5">
              <w:rPr>
                <w:rFonts w:eastAsia="Times New Roman" w:cs="Arial"/>
                <w:b/>
                <w:bCs/>
                <w:sz w:val="18"/>
                <w:szCs w:val="18"/>
                <w:lang w:val="es-CO" w:eastAsia="es-CO"/>
              </w:rPr>
              <w:t>Temáticas</w:t>
            </w:r>
          </w:p>
        </w:tc>
      </w:tr>
      <w:tr w:rsidR="00BC521A" w:rsidRPr="003A07E5" w:rsidTr="005A0D8A">
        <w:trPr>
          <w:trHeight w:val="300"/>
        </w:trPr>
        <w:tc>
          <w:tcPr>
            <w:tcW w:w="1054" w:type="pct"/>
            <w:vMerge w:val="restart"/>
            <w:shd w:val="clear" w:color="auto" w:fill="auto"/>
            <w:noWrap/>
            <w:vAlign w:val="center"/>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483</w:t>
            </w:r>
          </w:p>
        </w:tc>
        <w:tc>
          <w:tcPr>
            <w:tcW w:w="1283"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Bogotá (Cundinamarca)</w:t>
            </w:r>
          </w:p>
        </w:tc>
        <w:tc>
          <w:tcPr>
            <w:tcW w:w="1131" w:type="pct"/>
            <w:vMerge w:val="restart"/>
            <w:shd w:val="clear" w:color="auto" w:fill="auto"/>
            <w:vAlign w:val="center"/>
            <w:hideMark/>
          </w:tcPr>
          <w:p w:rsidR="00BC521A" w:rsidRPr="003A07E5" w:rsidRDefault="00BC521A" w:rsidP="00BC521A">
            <w:pPr>
              <w:spacing w:after="0" w:line="240" w:lineRule="auto"/>
              <w:jc w:val="center"/>
              <w:rPr>
                <w:rFonts w:eastAsia="Times New Roman" w:cs="Arial"/>
                <w:sz w:val="18"/>
                <w:szCs w:val="18"/>
                <w:lang w:val="es-CO" w:eastAsia="es-CO"/>
              </w:rPr>
            </w:pPr>
            <w:r w:rsidRPr="003A07E5">
              <w:rPr>
                <w:rFonts w:eastAsia="Times New Roman" w:cs="Arial"/>
                <w:sz w:val="18"/>
                <w:szCs w:val="18"/>
                <w:lang w:val="es-CO" w:eastAsia="es-CO"/>
              </w:rPr>
              <w:t>20.303</w:t>
            </w:r>
          </w:p>
        </w:tc>
        <w:tc>
          <w:tcPr>
            <w:tcW w:w="1532"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Nutrición.</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Ibagué (Tolima)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Trabajo Social.</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Pereira (Risaralda)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Psicología.</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Paipa (Boyacá)</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Adopciones</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Quibdó(Chocó)</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Enfoque Diferencial.</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Yopal (Casanare)</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Hogares Sustitutos.</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Neiva (Huila)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Ley 1098 de 2006.</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Valledupar (Cesar)</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SRPA.</w:t>
            </w:r>
          </w:p>
        </w:tc>
      </w:tr>
      <w:tr w:rsidR="00BC521A" w:rsidRPr="003A07E5" w:rsidTr="005A0D8A">
        <w:trPr>
          <w:trHeight w:val="51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Medellín (Antioquia)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Sistema Nacional de Coordinación de Responsabilidad Penal para Adolescentes.</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Cali (Valle del Cauca)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Pruebas de Investigación de Paternidad.</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Bucaramanga (Santander)</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Módulo SIM.</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Barranquilla (Atlántico)</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Salud.</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Popayán (Cauca)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-PARD y Adopciones.</w:t>
            </w:r>
          </w:p>
        </w:tc>
      </w:tr>
      <w:tr w:rsidR="00BC521A" w:rsidRPr="003A07E5" w:rsidTr="005A0D8A">
        <w:trPr>
          <w:trHeight w:val="30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Villavicencio (Meta)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Referentes Afectivos.</w:t>
            </w:r>
          </w:p>
        </w:tc>
      </w:tr>
      <w:tr w:rsidR="00BC521A" w:rsidRPr="003A07E5" w:rsidTr="005A0D8A">
        <w:trPr>
          <w:trHeight w:val="42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Santa Marta (Magdalena)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shd w:val="clear" w:color="auto" w:fill="auto"/>
            <w:vAlign w:val="center"/>
            <w:hideMark/>
          </w:tcPr>
          <w:p w:rsidR="00BC521A" w:rsidRPr="003A07E5" w:rsidRDefault="00BC521A" w:rsidP="00BC521A">
            <w:pPr>
              <w:spacing w:after="0" w:line="240" w:lineRule="auto"/>
              <w:rPr>
                <w:rFonts w:eastAsia="Times New Roman" w:cs="Arial"/>
                <w:sz w:val="18"/>
                <w:szCs w:val="18"/>
                <w:lang w:val="es-CO" w:eastAsia="es-CO"/>
              </w:rPr>
            </w:pPr>
            <w:r w:rsidRPr="003A07E5">
              <w:rPr>
                <w:rFonts w:eastAsia="Times New Roman" w:cs="Arial"/>
                <w:sz w:val="18"/>
                <w:szCs w:val="18"/>
                <w:lang w:val="es-CO" w:eastAsia="es-CO"/>
              </w:rPr>
              <w:t>-Componente Identidad, Libretas Militares, Estrategia Proyecto Sueños.</w:t>
            </w:r>
          </w:p>
        </w:tc>
      </w:tr>
      <w:tr w:rsidR="00BC521A" w:rsidRPr="003A07E5" w:rsidTr="005A0D8A">
        <w:trPr>
          <w:trHeight w:val="42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Coconuco (Cauca)</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vMerge w:val="restar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-Seguimiento y Diagnóstico a Infraestructura. Socialización de lineamientos Restablecimiento de Derechos.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-Taller Presencial encuentro estrategia Súper Amigos.</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-Ruta para el restablecimiento de derechos de niños, niñas y Adolescentes pertenecientes a grupos indígenas.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-5 Encuentros Intersectoriales de salud con el Ministerio de Salud, las Secretarías de Salud Departamentales y Municipales.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Nuevo lineamiento técnico del programa de adopción - Organismos Acreditados /Adopción Internacional - Promoción, prevención e intervención con Familias del SRPA.</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 Socialización de lineamientos Responsabilidad Penal -Rol del Defensor de Familia en SRPA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Garantía de Derechos. - Modelo de Atención “Dimensión Pedagógica” y Prácticas Restaurativas.</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Mesa Nacional: Socialización y Análisis Ruta para el Restablecimiento de Derechos con de niños, niñas y adolescente indígena</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-Validación Lineamiento Técnico Maltrato Infantil.</w:t>
            </w:r>
          </w:p>
        </w:tc>
      </w:tr>
      <w:tr w:rsidR="00BC521A" w:rsidRPr="003A07E5" w:rsidTr="005A0D8A">
        <w:trPr>
          <w:trHeight w:val="42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Riosucio (Caldas)</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r>
      <w:tr w:rsidR="00BC521A" w:rsidRPr="003A07E5" w:rsidTr="005A0D8A">
        <w:trPr>
          <w:trHeight w:val="42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Buenaventura (Valle)</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r>
      <w:tr w:rsidR="00BC521A" w:rsidRPr="003A07E5" w:rsidTr="005A0D8A">
        <w:trPr>
          <w:trHeight w:val="42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Cúcuta (Norte de Santander)</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r>
      <w:tr w:rsidR="00BC521A" w:rsidRPr="003A07E5" w:rsidTr="005A0D8A">
        <w:trPr>
          <w:trHeight w:val="1860"/>
        </w:trPr>
        <w:tc>
          <w:tcPr>
            <w:tcW w:w="1054"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283" w:type="pct"/>
            <w:shd w:val="clear" w:color="auto" w:fill="auto"/>
            <w:vAlign w:val="center"/>
            <w:hideMark/>
          </w:tcPr>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Armenia (Quindío),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Vichada (Puerto Carreño)</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Guainía (Puerto Inírida)</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Cumaribo (Antioquia)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Sincelejo (Sucre)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Manizales (Caldas)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Florencia (Caquetá)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Montería (Córdoba) </w:t>
            </w:r>
          </w:p>
          <w:p w:rsidR="00BC521A" w:rsidRPr="003A07E5" w:rsidRDefault="00BC521A" w:rsidP="00BC521A">
            <w:pPr>
              <w:spacing w:after="0" w:line="240" w:lineRule="auto"/>
              <w:jc w:val="both"/>
              <w:rPr>
                <w:rFonts w:eastAsia="Times New Roman" w:cs="Arial"/>
                <w:sz w:val="18"/>
                <w:szCs w:val="18"/>
                <w:lang w:val="es-CO" w:eastAsia="es-CO"/>
              </w:rPr>
            </w:pPr>
            <w:r w:rsidRPr="003A07E5">
              <w:rPr>
                <w:rFonts w:eastAsia="Times New Roman" w:cs="Arial"/>
                <w:sz w:val="18"/>
                <w:szCs w:val="18"/>
                <w:lang w:val="es-CO" w:eastAsia="es-CO"/>
              </w:rPr>
              <w:t xml:space="preserve">Guaviare (Cartagena) </w:t>
            </w:r>
          </w:p>
        </w:tc>
        <w:tc>
          <w:tcPr>
            <w:tcW w:w="1131"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c>
          <w:tcPr>
            <w:tcW w:w="1532" w:type="pct"/>
            <w:vMerge/>
            <w:vAlign w:val="center"/>
            <w:hideMark/>
          </w:tcPr>
          <w:p w:rsidR="00BC521A" w:rsidRPr="003A07E5" w:rsidRDefault="00BC521A" w:rsidP="00BC521A">
            <w:pPr>
              <w:spacing w:after="0" w:line="240" w:lineRule="auto"/>
              <w:rPr>
                <w:rFonts w:eastAsia="Times New Roman" w:cs="Arial"/>
                <w:sz w:val="18"/>
                <w:szCs w:val="18"/>
                <w:lang w:val="es-CO" w:eastAsia="es-CO"/>
              </w:rPr>
            </w:pPr>
          </w:p>
        </w:tc>
      </w:tr>
    </w:tbl>
    <w:p w:rsidR="00BC521A" w:rsidRDefault="006C4626" w:rsidP="00BC521A">
      <w:pPr>
        <w:widowControl w:val="0"/>
        <w:autoSpaceDE w:val="0"/>
        <w:autoSpaceDN w:val="0"/>
        <w:adjustRightInd w:val="0"/>
        <w:spacing w:after="0" w:line="240" w:lineRule="auto"/>
        <w:jc w:val="both"/>
        <w:rPr>
          <w:rFonts w:eastAsia="Times New Roman" w:cs="Arial"/>
          <w:sz w:val="16"/>
          <w:lang w:eastAsia="es-ES"/>
        </w:rPr>
      </w:pPr>
      <w:r w:rsidRPr="005A0D8A">
        <w:rPr>
          <w:rFonts w:eastAsia="Times New Roman" w:cs="Arial"/>
          <w:b/>
          <w:sz w:val="16"/>
          <w:lang w:eastAsia="es-ES"/>
        </w:rPr>
        <w:t>Fuente:</w:t>
      </w:r>
      <w:r>
        <w:rPr>
          <w:rFonts w:eastAsia="Times New Roman" w:cs="Arial"/>
          <w:sz w:val="16"/>
          <w:lang w:eastAsia="es-ES"/>
        </w:rPr>
        <w:t xml:space="preserve"> Dirección de Protección. </w:t>
      </w:r>
    </w:p>
    <w:p w:rsidR="006C4626" w:rsidRPr="00D21160" w:rsidRDefault="006C4626" w:rsidP="006C4626">
      <w:pPr>
        <w:rPr>
          <w:rFonts w:ascii="Calibri" w:hAnsi="Calibri"/>
          <w:i/>
          <w:iCs/>
          <w:sz w:val="16"/>
          <w:lang w:val="es-CO"/>
        </w:rPr>
      </w:pPr>
      <w:r w:rsidRPr="00D21160">
        <w:rPr>
          <w:i/>
          <w:iCs/>
          <w:sz w:val="16"/>
        </w:rPr>
        <w:t>Nota: Información preliminar, sujeta a actualización del cierre oficial de metas sociales y financieras.</w:t>
      </w:r>
    </w:p>
    <w:p w:rsidR="006C4626" w:rsidRPr="006C4626" w:rsidRDefault="006C4626" w:rsidP="00BC521A">
      <w:pPr>
        <w:widowControl w:val="0"/>
        <w:autoSpaceDE w:val="0"/>
        <w:autoSpaceDN w:val="0"/>
        <w:adjustRightInd w:val="0"/>
        <w:spacing w:after="0" w:line="240" w:lineRule="auto"/>
        <w:jc w:val="both"/>
        <w:rPr>
          <w:rFonts w:eastAsia="Times New Roman" w:cs="Arial"/>
          <w:sz w:val="16"/>
          <w:lang w:val="es-CO" w:eastAsia="es-ES"/>
        </w:rPr>
      </w:pPr>
    </w:p>
    <w:p w:rsidR="00BC521A" w:rsidRPr="00BC521A" w:rsidRDefault="00BC521A" w:rsidP="00D712DC">
      <w:pPr>
        <w:numPr>
          <w:ilvl w:val="0"/>
          <w:numId w:val="201"/>
        </w:numPr>
        <w:shd w:val="clear" w:color="auto" w:fill="FFFFFF" w:themeFill="background1"/>
        <w:spacing w:after="0" w:line="240" w:lineRule="auto"/>
        <w:jc w:val="both"/>
        <w:rPr>
          <w:rFonts w:cs="Arial"/>
          <w:b/>
          <w:u w:val="single"/>
        </w:rPr>
      </w:pPr>
      <w:r w:rsidRPr="00BC521A">
        <w:rPr>
          <w:rFonts w:cs="Arial"/>
          <w:b/>
          <w:u w:val="single"/>
        </w:rPr>
        <w:lastRenderedPageBreak/>
        <w:t>Asistencia técnica a autoridades administrativas y equipos interdisciplinarios</w:t>
      </w:r>
    </w:p>
    <w:p w:rsidR="00BC521A" w:rsidRPr="00BC521A" w:rsidRDefault="00BC521A" w:rsidP="00BC521A">
      <w:pPr>
        <w:shd w:val="clear" w:color="auto" w:fill="FFFFFF" w:themeFill="background1"/>
        <w:spacing w:after="0" w:line="240" w:lineRule="auto"/>
        <w:jc w:val="both"/>
        <w:rPr>
          <w:rFonts w:cs="Arial"/>
        </w:rPr>
      </w:pPr>
    </w:p>
    <w:p w:rsidR="00BC521A" w:rsidRPr="00BC521A" w:rsidRDefault="00BC521A" w:rsidP="00BC521A">
      <w:pPr>
        <w:shd w:val="clear" w:color="auto" w:fill="FFFFFF" w:themeFill="background1"/>
        <w:tabs>
          <w:tab w:val="left" w:pos="1134"/>
        </w:tabs>
        <w:spacing w:after="0" w:line="240" w:lineRule="auto"/>
        <w:contextualSpacing/>
        <w:jc w:val="both"/>
        <w:rPr>
          <w:rFonts w:cs="Arial"/>
          <w:b/>
        </w:rPr>
      </w:pPr>
      <w:r w:rsidRPr="00BC521A">
        <w:rPr>
          <w:rFonts w:cs="Arial"/>
        </w:rPr>
        <w:t xml:space="preserve">Durante el año 2016 se brindó asistencia técnica a 476 Defensores de Familia, </w:t>
      </w:r>
      <w:r w:rsidRPr="00BC521A">
        <w:rPr>
          <w:rFonts w:eastAsia="Times New Roman" w:cs="Arial"/>
          <w:bCs/>
          <w:sz w:val="20"/>
          <w:szCs w:val="20"/>
          <w:lang w:val="es-CO" w:eastAsia="es-CO"/>
        </w:rPr>
        <w:t>857 Comisarios de Familia</w:t>
      </w:r>
      <w:r w:rsidRPr="00BC521A">
        <w:rPr>
          <w:rFonts w:cs="Arial"/>
        </w:rPr>
        <w:t xml:space="preserve"> y 531 profesionales de equipos técnicos interdisciplinarios, en diferentes espacios y estrategias de gestión de conocimiento, en temas relacionados con el Restablecimiento de Derechos y temas afines a su quehacer misional. Entre estas acciones se pueden destacar las siguientes:</w:t>
      </w:r>
    </w:p>
    <w:p w:rsidR="00BC521A" w:rsidRPr="00BC521A" w:rsidRDefault="00BC521A" w:rsidP="00BC521A">
      <w:pPr>
        <w:shd w:val="clear" w:color="auto" w:fill="FFFFFF" w:themeFill="background1"/>
        <w:tabs>
          <w:tab w:val="left" w:pos="1134"/>
        </w:tabs>
        <w:spacing w:after="0" w:line="240" w:lineRule="auto"/>
        <w:ind w:left="284"/>
        <w:contextualSpacing/>
        <w:jc w:val="both"/>
        <w:rPr>
          <w:rFonts w:cs="Arial"/>
          <w:b/>
        </w:rPr>
      </w:pPr>
    </w:p>
    <w:p w:rsidR="00BC521A" w:rsidRPr="00BC521A" w:rsidRDefault="00BC521A" w:rsidP="00BC521A">
      <w:pPr>
        <w:shd w:val="clear" w:color="auto" w:fill="FFFFFF" w:themeFill="background1"/>
        <w:tabs>
          <w:tab w:val="left" w:pos="1134"/>
        </w:tabs>
        <w:spacing w:after="0" w:line="240" w:lineRule="auto"/>
        <w:contextualSpacing/>
        <w:jc w:val="both"/>
        <w:rPr>
          <w:rFonts w:cs="Arial"/>
        </w:rPr>
      </w:pPr>
      <w:r w:rsidRPr="00BC521A">
        <w:rPr>
          <w:rFonts w:cs="Arial"/>
          <w:b/>
        </w:rPr>
        <w:t xml:space="preserve">Diplomado en Restablecimiento de derechos: </w:t>
      </w:r>
      <w:r w:rsidRPr="00BC521A">
        <w:rPr>
          <w:rFonts w:cs="Arial"/>
        </w:rPr>
        <w:t>por medio del Convenio No. 1197 suscrito con la Organización Internacional para las Migraciones (OIM), la Universidad Nacional de Colombia capacitó a 120 Defensores de Familia de las Regionales Valle del Cauca, Bogotá y Cundinamarca a través de 10 módulos de 8 horas cada uno, en donde se desarrollaron temas como el PARD, SRPA, derechos humanos, relaciones interpersonales, víctimas de conflicto armado, conciliaciones, jurisdicción de familia, entre otras.</w:t>
      </w:r>
    </w:p>
    <w:p w:rsidR="00BC521A" w:rsidRPr="00BC521A" w:rsidRDefault="00BC521A" w:rsidP="00BC521A">
      <w:pPr>
        <w:shd w:val="clear" w:color="auto" w:fill="FFFFFF" w:themeFill="background1"/>
        <w:tabs>
          <w:tab w:val="left" w:pos="1134"/>
        </w:tabs>
        <w:spacing w:after="0" w:line="240" w:lineRule="auto"/>
        <w:ind w:left="284"/>
        <w:contextualSpacing/>
        <w:jc w:val="both"/>
        <w:rPr>
          <w:rFonts w:cs="Arial"/>
        </w:rPr>
      </w:pPr>
    </w:p>
    <w:p w:rsidR="00BC521A" w:rsidRPr="00BC521A" w:rsidRDefault="00BC521A" w:rsidP="00BC521A">
      <w:pPr>
        <w:shd w:val="clear" w:color="auto" w:fill="FFFFFF" w:themeFill="background1"/>
        <w:tabs>
          <w:tab w:val="left" w:pos="284"/>
          <w:tab w:val="left" w:pos="1134"/>
        </w:tabs>
        <w:spacing w:after="0" w:line="240" w:lineRule="auto"/>
        <w:contextualSpacing/>
        <w:jc w:val="both"/>
        <w:rPr>
          <w:rFonts w:cs="Arial"/>
        </w:rPr>
      </w:pPr>
      <w:r w:rsidRPr="00BC521A">
        <w:rPr>
          <w:rFonts w:cs="Arial"/>
          <w:b/>
        </w:rPr>
        <w:t xml:space="preserve">Inducción a Defensores de Familia: </w:t>
      </w:r>
      <w:r w:rsidRPr="00BC521A">
        <w:rPr>
          <w:rFonts w:cs="Arial"/>
        </w:rPr>
        <w:t>asistieron 75 Defensores de Familia que ingresaron durante el último año a desempeñar el cargo de Defensor de Familia; durante la inducción se compartieron temas sobre el Proceso administrativo de Restablecimiento de Derechos, adopciones, Sistema de Responsabilidad Penal, abuso sexual, filiaciones y Sistema de Información misional, entre otros.</w:t>
      </w:r>
    </w:p>
    <w:p w:rsidR="00BC521A" w:rsidRPr="00BC521A" w:rsidRDefault="00BC521A" w:rsidP="00BC521A">
      <w:pPr>
        <w:shd w:val="clear" w:color="auto" w:fill="FFFFFF" w:themeFill="background1"/>
        <w:tabs>
          <w:tab w:val="left" w:pos="284"/>
        </w:tabs>
        <w:spacing w:after="0" w:line="240" w:lineRule="auto"/>
        <w:contextualSpacing/>
        <w:jc w:val="both"/>
        <w:rPr>
          <w:rFonts w:cs="Arial"/>
        </w:rPr>
      </w:pPr>
    </w:p>
    <w:p w:rsidR="00BC521A" w:rsidRPr="00BC521A" w:rsidRDefault="00BC521A" w:rsidP="00BC521A">
      <w:pPr>
        <w:shd w:val="clear" w:color="auto" w:fill="FFFFFF" w:themeFill="background1"/>
        <w:tabs>
          <w:tab w:val="left" w:pos="284"/>
          <w:tab w:val="left" w:pos="1134"/>
        </w:tabs>
        <w:spacing w:after="0" w:line="240" w:lineRule="auto"/>
        <w:contextualSpacing/>
        <w:jc w:val="both"/>
        <w:rPr>
          <w:rFonts w:cs="Arial"/>
        </w:rPr>
      </w:pPr>
      <w:r w:rsidRPr="00BC521A">
        <w:rPr>
          <w:rFonts w:cs="Arial"/>
          <w:b/>
        </w:rPr>
        <w:t>Asistencia Técnica solicitada por las Regionales:</w:t>
      </w:r>
      <w:r w:rsidRPr="00BC521A">
        <w:rPr>
          <w:rFonts w:cs="Arial"/>
        </w:rPr>
        <w:t xml:space="preserve"> se realizó asistencia técnica a 281 las Autoridades Administrativas de las regionales que lo solicitaron: San Andrés de Sotavento (Córdoba) en el tema de enfoque diferencial - autoridad indígena; Popayán en Proceso Administrativo Restablecimiento de Derechos; Antioquía en Principios de la Ley 1098, PARD y Adopciones; Huila y Vaupés en Proceso Administrativo Restablecimiento de Derechos; Casanare - Regulación de la cuota de alimentos; Magdalena en el rol del Defensor de Familia en el marco del SRPA como garante de derechos.</w:t>
      </w:r>
    </w:p>
    <w:p w:rsidR="00BC521A" w:rsidRPr="00BC521A" w:rsidRDefault="00BC521A" w:rsidP="00BC521A">
      <w:pPr>
        <w:shd w:val="clear" w:color="auto" w:fill="FFFFFF" w:themeFill="background1"/>
        <w:tabs>
          <w:tab w:val="left" w:pos="284"/>
          <w:tab w:val="left" w:pos="1134"/>
        </w:tabs>
        <w:spacing w:after="0" w:line="240" w:lineRule="auto"/>
        <w:contextualSpacing/>
        <w:jc w:val="both"/>
        <w:rPr>
          <w:rFonts w:cs="Arial"/>
        </w:rPr>
      </w:pPr>
    </w:p>
    <w:p w:rsidR="00BC521A" w:rsidRPr="00BC521A" w:rsidRDefault="00BC521A" w:rsidP="00BC521A">
      <w:pPr>
        <w:shd w:val="clear" w:color="auto" w:fill="FFFFFF" w:themeFill="background1"/>
        <w:tabs>
          <w:tab w:val="left" w:pos="284"/>
          <w:tab w:val="left" w:pos="1134"/>
        </w:tabs>
        <w:spacing w:after="0" w:line="240" w:lineRule="auto"/>
        <w:contextualSpacing/>
        <w:jc w:val="both"/>
        <w:rPr>
          <w:rFonts w:cs="Arial"/>
        </w:rPr>
      </w:pPr>
      <w:r w:rsidRPr="00BC521A">
        <w:rPr>
          <w:rFonts w:cs="Arial"/>
        </w:rPr>
        <w:t>Adicionalmente, se capacitaron a las regionales: Bogotá, Valle del Cauca, Magdalena, Boyacá, Sucre y Tolima que no se encontraban en el plan de fortalecimiento de la Dirección de Protección, en temas relacionados con el Proceso Administrativo de Restablecimiento de Derechos.</w:t>
      </w:r>
    </w:p>
    <w:p w:rsidR="00BC521A" w:rsidRPr="00BC521A" w:rsidRDefault="00BC521A" w:rsidP="00BC521A">
      <w:pPr>
        <w:shd w:val="clear" w:color="auto" w:fill="FFFFFF" w:themeFill="background1"/>
        <w:tabs>
          <w:tab w:val="left" w:pos="284"/>
        </w:tabs>
        <w:spacing w:after="0" w:line="240" w:lineRule="auto"/>
        <w:contextualSpacing/>
        <w:jc w:val="both"/>
        <w:rPr>
          <w:rFonts w:cs="Arial"/>
        </w:rPr>
      </w:pPr>
    </w:p>
    <w:p w:rsidR="00BC521A" w:rsidRPr="00BC521A" w:rsidRDefault="00BC521A" w:rsidP="00BC521A">
      <w:pPr>
        <w:shd w:val="clear" w:color="auto" w:fill="FFFFFF" w:themeFill="background1"/>
        <w:tabs>
          <w:tab w:val="left" w:pos="284"/>
        </w:tabs>
        <w:spacing w:after="0" w:line="240" w:lineRule="auto"/>
        <w:contextualSpacing/>
        <w:jc w:val="both"/>
        <w:rPr>
          <w:rFonts w:cs="Arial"/>
        </w:rPr>
      </w:pPr>
      <w:r w:rsidRPr="00BC521A">
        <w:rPr>
          <w:rFonts w:cs="Arial"/>
        </w:rPr>
        <w:t>A continuación, se presenta las cifras de las capacitaciones antes mencionadas:</w:t>
      </w:r>
    </w:p>
    <w:p w:rsidR="00BC521A" w:rsidRPr="00BC521A" w:rsidRDefault="00BC521A" w:rsidP="00BC521A">
      <w:pPr>
        <w:shd w:val="clear" w:color="auto" w:fill="FFFFFF" w:themeFill="background1"/>
        <w:spacing w:after="0" w:line="240" w:lineRule="auto"/>
        <w:contextualSpacing/>
        <w:jc w:val="both"/>
        <w:rPr>
          <w:rFonts w:cs="Arial"/>
        </w:rPr>
      </w:pPr>
    </w:p>
    <w:tbl>
      <w:tblPr>
        <w:tblW w:w="532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3199"/>
        <w:gridCol w:w="2127"/>
      </w:tblGrid>
      <w:tr w:rsidR="00BC521A" w:rsidRPr="00BC521A" w:rsidTr="005C173A">
        <w:trPr>
          <w:trHeight w:val="300"/>
          <w:tblHeader/>
          <w:jc w:val="center"/>
        </w:trPr>
        <w:tc>
          <w:tcPr>
            <w:tcW w:w="3199" w:type="dxa"/>
            <w:shd w:val="clear" w:color="auto" w:fill="76923C" w:themeFill="accent3" w:themeFillShade="BF"/>
            <w:noWrap/>
            <w:tcMar>
              <w:top w:w="0" w:type="dxa"/>
              <w:left w:w="70" w:type="dxa"/>
              <w:bottom w:w="0" w:type="dxa"/>
              <w:right w:w="70" w:type="dxa"/>
            </w:tcMar>
            <w:vAlign w:val="center"/>
            <w:hideMark/>
          </w:tcPr>
          <w:p w:rsidR="00BC521A" w:rsidRPr="005C173A" w:rsidRDefault="003A07E5"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Capacitación</w:t>
            </w:r>
          </w:p>
        </w:tc>
        <w:tc>
          <w:tcPr>
            <w:tcW w:w="2127" w:type="dxa"/>
            <w:shd w:val="clear" w:color="auto" w:fill="76923C" w:themeFill="accent3" w:themeFillShade="BF"/>
            <w:noWrap/>
            <w:tcMar>
              <w:top w:w="0" w:type="dxa"/>
              <w:left w:w="70" w:type="dxa"/>
              <w:bottom w:w="0" w:type="dxa"/>
              <w:right w:w="70" w:type="dxa"/>
            </w:tcMar>
            <w:vAlign w:val="center"/>
            <w:hideMark/>
          </w:tcPr>
          <w:p w:rsidR="00BC521A" w:rsidRPr="005C173A" w:rsidRDefault="003A07E5"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Asistentes</w:t>
            </w:r>
          </w:p>
        </w:tc>
      </w:tr>
      <w:tr w:rsidR="00BC521A" w:rsidRPr="00BC521A" w:rsidTr="005C173A">
        <w:trPr>
          <w:trHeight w:val="103"/>
          <w:jc w:val="center"/>
        </w:trPr>
        <w:tc>
          <w:tcPr>
            <w:tcW w:w="3199" w:type="dxa"/>
            <w:shd w:val="clear" w:color="auto" w:fill="auto"/>
            <w:noWrap/>
            <w:tcMar>
              <w:top w:w="0" w:type="dxa"/>
              <w:left w:w="70" w:type="dxa"/>
              <w:bottom w:w="0" w:type="dxa"/>
              <w:right w:w="70" w:type="dxa"/>
            </w:tcMar>
            <w:vAlign w:val="center"/>
            <w:hideMark/>
          </w:tcPr>
          <w:p w:rsidR="00BC521A" w:rsidRPr="00BC521A" w:rsidRDefault="00BC521A" w:rsidP="005C173A">
            <w:pPr>
              <w:shd w:val="clear" w:color="auto" w:fill="FFFFFF" w:themeFill="background1"/>
              <w:spacing w:after="0" w:line="240" w:lineRule="auto"/>
              <w:rPr>
                <w:rFonts w:cs="Arial"/>
                <w:sz w:val="18"/>
                <w:szCs w:val="20"/>
                <w:lang w:eastAsia="es-CO"/>
              </w:rPr>
            </w:pPr>
            <w:r w:rsidRPr="00BC521A">
              <w:rPr>
                <w:rFonts w:cs="Arial"/>
                <w:sz w:val="18"/>
                <w:szCs w:val="20"/>
                <w:lang w:eastAsia="es-CO"/>
              </w:rPr>
              <w:t>Inducción Defensores de Familia</w:t>
            </w:r>
          </w:p>
        </w:tc>
        <w:tc>
          <w:tcPr>
            <w:tcW w:w="2127" w:type="dxa"/>
            <w:shd w:val="clear" w:color="auto" w:fill="auto"/>
            <w:noWrap/>
            <w:tcMar>
              <w:top w:w="0" w:type="dxa"/>
              <w:left w:w="70" w:type="dxa"/>
              <w:bottom w:w="0" w:type="dxa"/>
              <w:right w:w="70" w:type="dxa"/>
            </w:tcMar>
            <w:vAlign w:val="center"/>
            <w:hideMark/>
          </w:tcPr>
          <w:p w:rsidR="00BC521A" w:rsidRPr="00BC521A" w:rsidRDefault="00BC521A" w:rsidP="00BC521A">
            <w:pPr>
              <w:shd w:val="clear" w:color="auto" w:fill="FFFFFF" w:themeFill="background1"/>
              <w:spacing w:after="0" w:line="240" w:lineRule="auto"/>
              <w:jc w:val="center"/>
              <w:rPr>
                <w:rFonts w:cs="Arial"/>
                <w:sz w:val="18"/>
                <w:szCs w:val="20"/>
                <w:lang w:eastAsia="es-CO"/>
              </w:rPr>
            </w:pPr>
            <w:r w:rsidRPr="00BC521A">
              <w:rPr>
                <w:rFonts w:cs="Arial"/>
                <w:sz w:val="18"/>
                <w:szCs w:val="20"/>
                <w:lang w:eastAsia="es-CO"/>
              </w:rPr>
              <w:t>75</w:t>
            </w:r>
          </w:p>
        </w:tc>
      </w:tr>
      <w:tr w:rsidR="00BC521A" w:rsidRPr="00BC521A" w:rsidTr="005C173A">
        <w:trPr>
          <w:trHeight w:val="78"/>
          <w:jc w:val="center"/>
        </w:trPr>
        <w:tc>
          <w:tcPr>
            <w:tcW w:w="3199" w:type="dxa"/>
            <w:shd w:val="clear" w:color="auto" w:fill="auto"/>
            <w:noWrap/>
            <w:tcMar>
              <w:top w:w="0" w:type="dxa"/>
              <w:left w:w="70" w:type="dxa"/>
              <w:bottom w:w="0" w:type="dxa"/>
              <w:right w:w="70" w:type="dxa"/>
            </w:tcMar>
            <w:vAlign w:val="center"/>
            <w:hideMark/>
          </w:tcPr>
          <w:p w:rsidR="00BC521A" w:rsidRPr="00BC521A" w:rsidRDefault="00BC521A" w:rsidP="005C173A">
            <w:pPr>
              <w:shd w:val="clear" w:color="auto" w:fill="FFFFFF" w:themeFill="background1"/>
              <w:spacing w:after="0" w:line="240" w:lineRule="auto"/>
              <w:rPr>
                <w:rFonts w:cs="Arial"/>
                <w:sz w:val="18"/>
                <w:szCs w:val="20"/>
                <w:lang w:eastAsia="es-CO"/>
              </w:rPr>
            </w:pPr>
            <w:r w:rsidRPr="00BC521A">
              <w:rPr>
                <w:rFonts w:cs="Arial"/>
                <w:sz w:val="18"/>
                <w:szCs w:val="20"/>
                <w:lang w:eastAsia="es-CO"/>
              </w:rPr>
              <w:t>Otras Capacitaciones DF</w:t>
            </w:r>
          </w:p>
        </w:tc>
        <w:tc>
          <w:tcPr>
            <w:tcW w:w="2127" w:type="dxa"/>
            <w:shd w:val="clear" w:color="auto" w:fill="auto"/>
            <w:noWrap/>
            <w:tcMar>
              <w:top w:w="0" w:type="dxa"/>
              <w:left w:w="70" w:type="dxa"/>
              <w:bottom w:w="0" w:type="dxa"/>
              <w:right w:w="70" w:type="dxa"/>
            </w:tcMar>
            <w:vAlign w:val="center"/>
            <w:hideMark/>
          </w:tcPr>
          <w:p w:rsidR="00BC521A" w:rsidRPr="00BC521A" w:rsidRDefault="00BC521A" w:rsidP="00BC521A">
            <w:pPr>
              <w:shd w:val="clear" w:color="auto" w:fill="FFFFFF" w:themeFill="background1"/>
              <w:spacing w:after="0" w:line="240" w:lineRule="auto"/>
              <w:jc w:val="center"/>
              <w:rPr>
                <w:rFonts w:cs="Arial"/>
                <w:sz w:val="18"/>
                <w:szCs w:val="20"/>
                <w:lang w:eastAsia="es-CO"/>
              </w:rPr>
            </w:pPr>
            <w:r w:rsidRPr="00BC521A">
              <w:rPr>
                <w:rFonts w:cs="Arial"/>
                <w:sz w:val="18"/>
                <w:szCs w:val="20"/>
                <w:lang w:eastAsia="es-CO"/>
              </w:rPr>
              <w:t>281</w:t>
            </w:r>
          </w:p>
        </w:tc>
      </w:tr>
      <w:tr w:rsidR="00BC521A" w:rsidRPr="00BC521A" w:rsidTr="005C173A">
        <w:trPr>
          <w:trHeight w:val="70"/>
          <w:jc w:val="center"/>
        </w:trPr>
        <w:tc>
          <w:tcPr>
            <w:tcW w:w="3199" w:type="dxa"/>
            <w:shd w:val="clear" w:color="auto" w:fill="auto"/>
            <w:noWrap/>
            <w:tcMar>
              <w:top w:w="0" w:type="dxa"/>
              <w:left w:w="70" w:type="dxa"/>
              <w:bottom w:w="0" w:type="dxa"/>
              <w:right w:w="70" w:type="dxa"/>
            </w:tcMar>
            <w:vAlign w:val="center"/>
            <w:hideMark/>
          </w:tcPr>
          <w:p w:rsidR="00BC521A" w:rsidRPr="00BC521A" w:rsidRDefault="00BC521A" w:rsidP="005C173A">
            <w:pPr>
              <w:shd w:val="clear" w:color="auto" w:fill="FFFFFF" w:themeFill="background1"/>
              <w:spacing w:after="0" w:line="240" w:lineRule="auto"/>
              <w:rPr>
                <w:rFonts w:cs="Arial"/>
                <w:sz w:val="18"/>
                <w:szCs w:val="20"/>
                <w:lang w:eastAsia="es-CO"/>
              </w:rPr>
            </w:pPr>
            <w:r w:rsidRPr="00BC521A">
              <w:rPr>
                <w:rFonts w:cs="Arial"/>
                <w:sz w:val="18"/>
                <w:szCs w:val="20"/>
                <w:lang w:eastAsia="es-CO"/>
              </w:rPr>
              <w:t>Diplomado DF</w:t>
            </w:r>
          </w:p>
        </w:tc>
        <w:tc>
          <w:tcPr>
            <w:tcW w:w="2127" w:type="dxa"/>
            <w:shd w:val="clear" w:color="auto" w:fill="auto"/>
            <w:noWrap/>
            <w:tcMar>
              <w:top w:w="0" w:type="dxa"/>
              <w:left w:w="70" w:type="dxa"/>
              <w:bottom w:w="0" w:type="dxa"/>
              <w:right w:w="70" w:type="dxa"/>
            </w:tcMar>
            <w:vAlign w:val="center"/>
            <w:hideMark/>
          </w:tcPr>
          <w:p w:rsidR="00BC521A" w:rsidRPr="00BC521A" w:rsidRDefault="00BC521A" w:rsidP="00BC521A">
            <w:pPr>
              <w:shd w:val="clear" w:color="auto" w:fill="FFFFFF" w:themeFill="background1"/>
              <w:spacing w:after="0" w:line="240" w:lineRule="auto"/>
              <w:jc w:val="center"/>
              <w:rPr>
                <w:rFonts w:cs="Arial"/>
                <w:sz w:val="18"/>
                <w:szCs w:val="20"/>
                <w:lang w:eastAsia="es-CO"/>
              </w:rPr>
            </w:pPr>
            <w:r w:rsidRPr="00BC521A">
              <w:rPr>
                <w:rFonts w:cs="Arial"/>
                <w:sz w:val="18"/>
                <w:szCs w:val="20"/>
                <w:lang w:eastAsia="es-CO"/>
              </w:rPr>
              <w:t>120</w:t>
            </w:r>
          </w:p>
        </w:tc>
      </w:tr>
      <w:tr w:rsidR="005C173A" w:rsidRPr="005C173A" w:rsidTr="005C173A">
        <w:trPr>
          <w:trHeight w:val="70"/>
          <w:jc w:val="center"/>
        </w:trPr>
        <w:tc>
          <w:tcPr>
            <w:tcW w:w="3199" w:type="dxa"/>
            <w:shd w:val="clear" w:color="auto" w:fill="E2EFDA"/>
            <w:noWrap/>
            <w:tcMar>
              <w:top w:w="0" w:type="dxa"/>
              <w:left w:w="70" w:type="dxa"/>
              <w:bottom w:w="0" w:type="dxa"/>
              <w:right w:w="70" w:type="dxa"/>
            </w:tcMar>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TOTAL</w:t>
            </w:r>
          </w:p>
        </w:tc>
        <w:tc>
          <w:tcPr>
            <w:tcW w:w="2127" w:type="dxa"/>
            <w:shd w:val="clear" w:color="auto" w:fill="E2EFDA"/>
            <w:noWrap/>
            <w:tcMar>
              <w:top w:w="0" w:type="dxa"/>
              <w:left w:w="70" w:type="dxa"/>
              <w:bottom w:w="0" w:type="dxa"/>
              <w:right w:w="70" w:type="dxa"/>
            </w:tcMar>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476</w:t>
            </w:r>
          </w:p>
        </w:tc>
      </w:tr>
    </w:tbl>
    <w:p w:rsidR="00BC521A" w:rsidRDefault="006C4626" w:rsidP="005A0D8A">
      <w:pPr>
        <w:spacing w:after="0" w:line="240" w:lineRule="auto"/>
        <w:jc w:val="center"/>
        <w:rPr>
          <w:rFonts w:eastAsia="Times New Roman" w:cs="Arial"/>
          <w:bCs/>
          <w:sz w:val="16"/>
          <w:szCs w:val="18"/>
          <w:lang w:val="es-CO" w:eastAsia="es-CO"/>
        </w:rPr>
      </w:pPr>
      <w:r w:rsidRPr="00985DD9">
        <w:rPr>
          <w:rFonts w:eastAsia="Times New Roman" w:cs="Arial"/>
          <w:b/>
          <w:bCs/>
          <w:sz w:val="16"/>
          <w:szCs w:val="18"/>
          <w:lang w:val="es-CO" w:eastAsia="es-CO"/>
        </w:rPr>
        <w:t>Fuente:</w:t>
      </w:r>
      <w:r>
        <w:rPr>
          <w:rFonts w:eastAsia="Times New Roman" w:cs="Arial"/>
          <w:bCs/>
          <w:sz w:val="16"/>
          <w:szCs w:val="18"/>
          <w:lang w:val="es-CO" w:eastAsia="es-CO"/>
        </w:rPr>
        <w:t xml:space="preserve"> Dirección de Protección</w:t>
      </w:r>
    </w:p>
    <w:p w:rsidR="006C4626" w:rsidRPr="00D21160" w:rsidRDefault="006C4626" w:rsidP="005A0D8A">
      <w:pPr>
        <w:jc w:val="center"/>
        <w:rPr>
          <w:rFonts w:ascii="Calibri" w:hAnsi="Calibri"/>
          <w:i/>
          <w:iCs/>
          <w:sz w:val="16"/>
          <w:lang w:val="es-CO"/>
        </w:rPr>
      </w:pPr>
      <w:r w:rsidRPr="00D21160">
        <w:rPr>
          <w:i/>
          <w:iCs/>
          <w:sz w:val="16"/>
        </w:rPr>
        <w:t>Nota: Información preliminar, sujeta a actualización del cierre oficial de metas sociales y financieras.</w:t>
      </w:r>
    </w:p>
    <w:p w:rsidR="006C4626" w:rsidRPr="00D21160" w:rsidRDefault="006C4626" w:rsidP="006C4626">
      <w:pPr>
        <w:spacing w:after="0" w:line="240" w:lineRule="auto"/>
        <w:jc w:val="both"/>
        <w:rPr>
          <w:rFonts w:cs="Arial"/>
          <w:sz w:val="16"/>
          <w:lang w:val="es-CO" w:eastAsia="es-ES"/>
        </w:rPr>
      </w:pPr>
    </w:p>
    <w:p w:rsidR="006C4626" w:rsidRDefault="006C4626" w:rsidP="006C4626">
      <w:pPr>
        <w:spacing w:after="0" w:line="240" w:lineRule="auto"/>
        <w:jc w:val="both"/>
        <w:rPr>
          <w:rFonts w:eastAsia="Times New Roman" w:cs="Arial"/>
          <w:bCs/>
          <w:sz w:val="16"/>
          <w:szCs w:val="18"/>
          <w:lang w:val="es-CO" w:eastAsia="es-CO"/>
        </w:rPr>
      </w:pPr>
    </w:p>
    <w:p w:rsidR="006C4626" w:rsidRPr="006C4626" w:rsidRDefault="006C4626" w:rsidP="006C4626">
      <w:pPr>
        <w:spacing w:after="0" w:line="240" w:lineRule="auto"/>
        <w:jc w:val="both"/>
        <w:rPr>
          <w:rFonts w:eastAsia="Times New Roman" w:cs="Arial"/>
          <w:bCs/>
          <w:sz w:val="16"/>
          <w:szCs w:val="18"/>
          <w:lang w:val="es-CO" w:eastAsia="es-CO"/>
        </w:rPr>
      </w:pPr>
    </w:p>
    <w:p w:rsidR="00BC521A" w:rsidRPr="00BC521A" w:rsidRDefault="00BC521A" w:rsidP="00BC521A">
      <w:pPr>
        <w:shd w:val="clear" w:color="auto" w:fill="FFFFFF" w:themeFill="background1"/>
        <w:tabs>
          <w:tab w:val="left" w:pos="993"/>
        </w:tabs>
        <w:spacing w:after="0" w:line="240" w:lineRule="auto"/>
        <w:contextualSpacing/>
        <w:jc w:val="both"/>
        <w:rPr>
          <w:rFonts w:cs="Arial"/>
          <w:b/>
        </w:rPr>
      </w:pPr>
      <w:r w:rsidRPr="00BC521A">
        <w:rPr>
          <w:rFonts w:cs="Arial"/>
          <w:b/>
        </w:rPr>
        <w:t xml:space="preserve">Asistencia Técnica a Comisarios de Familia: </w:t>
      </w:r>
      <w:r w:rsidRPr="00BC521A">
        <w:rPr>
          <w:rFonts w:cs="Arial"/>
        </w:rPr>
        <w:t xml:space="preserve">durante la vigencia se prestó asistencia técnica a 857 Comisarios de Familia de diferentes departamentos, en temáticas como: ruta jurídica del </w:t>
      </w:r>
      <w:r w:rsidRPr="00BC521A">
        <w:rPr>
          <w:rFonts w:cs="Arial"/>
        </w:rPr>
        <w:lastRenderedPageBreak/>
        <w:t xml:space="preserve">Proceso Administrativo de Restablecimiento de Derechos y aspectos relevantes; violencia sexual, enfoque diferencial y víctimas del conflicto armado. En el siguiente cuadro se observan los Departamentos donde se brindó la asistencia técnica: </w:t>
      </w:r>
    </w:p>
    <w:p w:rsidR="00BC521A" w:rsidRDefault="00BC521A" w:rsidP="00BC521A">
      <w:pPr>
        <w:shd w:val="clear" w:color="auto" w:fill="FFFFFF" w:themeFill="background1"/>
        <w:spacing w:after="0" w:line="240" w:lineRule="auto"/>
        <w:contextualSpacing/>
        <w:jc w:val="both"/>
        <w:rPr>
          <w:rFonts w:cs="Arial"/>
        </w:rPr>
      </w:pPr>
    </w:p>
    <w:p w:rsidR="00872A46" w:rsidRPr="00BC521A" w:rsidRDefault="00872A46" w:rsidP="00BC521A">
      <w:pPr>
        <w:shd w:val="clear" w:color="auto" w:fill="FFFFFF" w:themeFill="background1"/>
        <w:spacing w:after="0" w:line="240" w:lineRule="auto"/>
        <w:contextualSpacing/>
        <w:jc w:val="both"/>
        <w:rPr>
          <w:rFonts w:cs="Arial"/>
        </w:rPr>
      </w:pPr>
    </w:p>
    <w:tbl>
      <w:tblPr>
        <w:tblW w:w="663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01"/>
        <w:gridCol w:w="1637"/>
        <w:gridCol w:w="1701"/>
      </w:tblGrid>
      <w:tr w:rsidR="00BC521A" w:rsidRPr="00BC521A" w:rsidTr="005C173A">
        <w:trPr>
          <w:cantSplit/>
          <w:trHeight w:val="20"/>
          <w:tblHeader/>
          <w:jc w:val="center"/>
        </w:trPr>
        <w:tc>
          <w:tcPr>
            <w:tcW w:w="3301" w:type="dxa"/>
            <w:shd w:val="clear" w:color="auto" w:fill="76923C" w:themeFill="accent3" w:themeFillShade="BF"/>
            <w:noWrap/>
            <w:vAlign w:val="center"/>
            <w:hideMark/>
          </w:tcPr>
          <w:p w:rsidR="00BC521A" w:rsidRPr="005C173A" w:rsidRDefault="005C173A"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Departamento</w:t>
            </w:r>
          </w:p>
        </w:tc>
        <w:tc>
          <w:tcPr>
            <w:tcW w:w="1637" w:type="dxa"/>
            <w:shd w:val="clear" w:color="auto" w:fill="76923C" w:themeFill="accent3" w:themeFillShade="BF"/>
            <w:noWrap/>
            <w:vAlign w:val="center"/>
            <w:hideMark/>
          </w:tcPr>
          <w:p w:rsidR="00BC521A" w:rsidRPr="005C173A" w:rsidRDefault="005C173A"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Fecha</w:t>
            </w:r>
          </w:p>
        </w:tc>
        <w:tc>
          <w:tcPr>
            <w:tcW w:w="1701" w:type="dxa"/>
            <w:shd w:val="clear" w:color="auto" w:fill="76923C" w:themeFill="accent3" w:themeFillShade="BF"/>
            <w:noWrap/>
            <w:vAlign w:val="center"/>
            <w:hideMark/>
          </w:tcPr>
          <w:p w:rsidR="00BC521A" w:rsidRPr="005C173A" w:rsidRDefault="005C173A"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Asistentes</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Tolima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16/03/2016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30</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Casanare</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29/04/2016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50</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Magdalena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12-13 /05/2016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25</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Cundinamarca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27/06/2016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70</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Santander</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01/07/2016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110</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Risaralda (Virtual)</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07/07/2016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11</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Huila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11-12/07/2016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36</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Cesar</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22/07/2016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20</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Antioquía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28-29 /07 /2016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59</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Cundinamarca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05/08/2016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37</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Meta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25-26/08/2016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32</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Bolívar</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30/08/2016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24</w:t>
            </w:r>
          </w:p>
        </w:tc>
      </w:tr>
      <w:tr w:rsidR="00BC521A" w:rsidRPr="00BC521A" w:rsidTr="005C173A">
        <w:trPr>
          <w:cantSplit/>
          <w:trHeight w:val="20"/>
          <w:jc w:val="center"/>
        </w:trPr>
        <w:tc>
          <w:tcPr>
            <w:tcW w:w="3301"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Boyacá</w:t>
            </w:r>
          </w:p>
        </w:tc>
        <w:tc>
          <w:tcPr>
            <w:tcW w:w="1637"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22/09/2016</w:t>
            </w:r>
          </w:p>
        </w:tc>
        <w:tc>
          <w:tcPr>
            <w:tcW w:w="1701" w:type="dxa"/>
            <w:shd w:val="clear" w:color="000000" w:fill="FFFFFF"/>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66</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Valle</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22-23/09/2016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49</w:t>
            </w:r>
          </w:p>
        </w:tc>
      </w:tr>
      <w:tr w:rsidR="00BC521A" w:rsidRPr="00BC521A" w:rsidTr="005C173A">
        <w:trPr>
          <w:cantSplit/>
          <w:trHeight w:val="20"/>
          <w:jc w:val="center"/>
        </w:trPr>
        <w:tc>
          <w:tcPr>
            <w:tcW w:w="3301"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Cundinamarca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10/10/2016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43</w:t>
            </w:r>
          </w:p>
        </w:tc>
      </w:tr>
      <w:tr w:rsidR="00BC521A" w:rsidRPr="00BC521A" w:rsidTr="005C173A">
        <w:trPr>
          <w:cantSplit/>
          <w:trHeight w:val="20"/>
          <w:jc w:val="center"/>
        </w:trPr>
        <w:tc>
          <w:tcPr>
            <w:tcW w:w="3301"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Encuentro nacional comisarias</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3 Y 4/11/2016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126</w:t>
            </w:r>
          </w:p>
        </w:tc>
      </w:tr>
      <w:tr w:rsidR="00BC521A" w:rsidRPr="00BC521A" w:rsidTr="005C173A">
        <w:trPr>
          <w:cantSplit/>
          <w:trHeight w:val="20"/>
          <w:jc w:val="center"/>
        </w:trPr>
        <w:tc>
          <w:tcPr>
            <w:tcW w:w="3301"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Cundinamarca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08/11/2016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24</w:t>
            </w:r>
          </w:p>
        </w:tc>
      </w:tr>
      <w:tr w:rsidR="00BC521A" w:rsidRPr="00BC521A" w:rsidTr="005C173A">
        <w:trPr>
          <w:cantSplit/>
          <w:trHeight w:val="20"/>
          <w:jc w:val="center"/>
        </w:trPr>
        <w:tc>
          <w:tcPr>
            <w:tcW w:w="3301"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Cundinamarca</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21/11/2016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38</w:t>
            </w:r>
          </w:p>
        </w:tc>
      </w:tr>
      <w:tr w:rsidR="00BC521A" w:rsidRPr="00BC521A" w:rsidTr="005C173A">
        <w:trPr>
          <w:cantSplit/>
          <w:trHeight w:val="20"/>
          <w:jc w:val="center"/>
        </w:trPr>
        <w:tc>
          <w:tcPr>
            <w:tcW w:w="3301" w:type="dxa"/>
            <w:shd w:val="clear" w:color="000000" w:fill="FFFFFF"/>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Sucre</w:t>
            </w:r>
          </w:p>
        </w:tc>
        <w:tc>
          <w:tcPr>
            <w:tcW w:w="1637" w:type="dxa"/>
            <w:shd w:val="clear" w:color="auto" w:fill="auto"/>
            <w:noWrap/>
            <w:vAlign w:val="center"/>
            <w:hideMark/>
          </w:tcPr>
          <w:p w:rsidR="00BC521A" w:rsidRPr="00BC521A" w:rsidRDefault="00BC521A" w:rsidP="005C173A">
            <w:pPr>
              <w:shd w:val="clear" w:color="auto" w:fill="FFFFFF" w:themeFill="background1"/>
              <w:spacing w:after="0" w:line="240" w:lineRule="auto"/>
              <w:rPr>
                <w:rFonts w:eastAsia="Times New Roman" w:cs="Arial"/>
                <w:sz w:val="18"/>
                <w:szCs w:val="20"/>
                <w:lang w:val="es-CO" w:eastAsia="es-CO"/>
              </w:rPr>
            </w:pPr>
            <w:r w:rsidRPr="00BC521A">
              <w:rPr>
                <w:rFonts w:eastAsia="Times New Roman" w:cs="Arial"/>
                <w:sz w:val="18"/>
                <w:szCs w:val="20"/>
                <w:lang w:val="es-CO" w:eastAsia="es-CO"/>
              </w:rPr>
              <w:t>21 Y 22/11/2016</w:t>
            </w:r>
          </w:p>
        </w:tc>
        <w:tc>
          <w:tcPr>
            <w:tcW w:w="1701" w:type="dxa"/>
            <w:shd w:val="clear" w:color="auto" w:fill="auto"/>
            <w:noWrap/>
            <w:vAlign w:val="center"/>
            <w:hideMark/>
          </w:tcPr>
          <w:p w:rsidR="00BC521A" w:rsidRPr="00BC521A" w:rsidRDefault="00BC521A" w:rsidP="00BC521A">
            <w:pPr>
              <w:shd w:val="clear" w:color="auto" w:fill="FFFFFF" w:themeFill="background1"/>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w:t>
            </w:r>
          </w:p>
        </w:tc>
      </w:tr>
      <w:tr w:rsidR="00BC521A" w:rsidRPr="00BC521A" w:rsidTr="005C173A">
        <w:trPr>
          <w:cantSplit/>
          <w:trHeight w:val="20"/>
          <w:jc w:val="center"/>
        </w:trPr>
        <w:tc>
          <w:tcPr>
            <w:tcW w:w="3301" w:type="dxa"/>
            <w:shd w:val="clear" w:color="auto" w:fill="E2EFDA"/>
            <w:noWrap/>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Total</w:t>
            </w:r>
          </w:p>
        </w:tc>
        <w:tc>
          <w:tcPr>
            <w:tcW w:w="1637" w:type="dxa"/>
            <w:shd w:val="clear" w:color="auto" w:fill="E2EFDA"/>
            <w:noWrap/>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p>
        </w:tc>
        <w:tc>
          <w:tcPr>
            <w:tcW w:w="1701" w:type="dxa"/>
            <w:shd w:val="clear" w:color="auto" w:fill="E2EFDA"/>
            <w:noWrap/>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857</w:t>
            </w:r>
          </w:p>
        </w:tc>
      </w:tr>
    </w:tbl>
    <w:p w:rsidR="00BC521A" w:rsidRDefault="006C4626" w:rsidP="006C4626">
      <w:pPr>
        <w:shd w:val="clear" w:color="auto" w:fill="FFFFFF" w:themeFill="background1"/>
        <w:spacing w:after="0" w:line="240" w:lineRule="auto"/>
        <w:contextualSpacing/>
        <w:jc w:val="both"/>
        <w:rPr>
          <w:rFonts w:cs="Arial"/>
          <w:sz w:val="16"/>
        </w:rPr>
      </w:pPr>
      <w:r>
        <w:rPr>
          <w:rFonts w:cs="Arial"/>
          <w:sz w:val="16"/>
        </w:rPr>
        <w:tab/>
      </w:r>
      <w:r>
        <w:rPr>
          <w:rFonts w:cs="Arial"/>
          <w:sz w:val="16"/>
        </w:rPr>
        <w:tab/>
      </w:r>
      <w:r w:rsidRPr="005A0D8A">
        <w:rPr>
          <w:rFonts w:cs="Arial"/>
          <w:b/>
          <w:sz w:val="16"/>
        </w:rPr>
        <w:t>Fuente</w:t>
      </w:r>
      <w:r>
        <w:rPr>
          <w:rFonts w:cs="Arial"/>
          <w:sz w:val="16"/>
        </w:rPr>
        <w:t>: Dirección de Protección</w:t>
      </w:r>
    </w:p>
    <w:p w:rsidR="006C4626" w:rsidRPr="00D21160" w:rsidRDefault="006C4626" w:rsidP="006C4626">
      <w:pPr>
        <w:rPr>
          <w:rFonts w:ascii="Calibri" w:hAnsi="Calibri"/>
          <w:i/>
          <w:iCs/>
          <w:sz w:val="16"/>
          <w:lang w:val="es-CO"/>
        </w:rPr>
      </w:pPr>
      <w:r>
        <w:rPr>
          <w:rFonts w:cs="Arial"/>
          <w:sz w:val="16"/>
        </w:rPr>
        <w:tab/>
      </w:r>
      <w:r>
        <w:rPr>
          <w:rFonts w:cs="Arial"/>
          <w:sz w:val="16"/>
        </w:rPr>
        <w:tab/>
      </w:r>
      <w:r w:rsidRPr="00D21160">
        <w:rPr>
          <w:i/>
          <w:iCs/>
          <w:sz w:val="16"/>
        </w:rPr>
        <w:t>Nota: Información preliminar, sujeta a actualización del cierre oficial de metas sociales y financieras.</w:t>
      </w:r>
    </w:p>
    <w:p w:rsidR="006C4626" w:rsidRPr="00D21160" w:rsidRDefault="006C4626" w:rsidP="006C4626">
      <w:pPr>
        <w:spacing w:after="0" w:line="240" w:lineRule="auto"/>
        <w:jc w:val="both"/>
        <w:rPr>
          <w:rFonts w:cs="Arial"/>
          <w:sz w:val="16"/>
          <w:lang w:val="es-CO" w:eastAsia="es-ES"/>
        </w:rPr>
      </w:pPr>
    </w:p>
    <w:p w:rsidR="00BC521A" w:rsidRPr="00BC521A" w:rsidRDefault="00BC521A" w:rsidP="00BC521A">
      <w:pPr>
        <w:shd w:val="clear" w:color="auto" w:fill="FFFFFF" w:themeFill="background1"/>
        <w:tabs>
          <w:tab w:val="left" w:pos="1134"/>
        </w:tabs>
        <w:spacing w:after="0" w:line="240" w:lineRule="auto"/>
        <w:contextualSpacing/>
        <w:jc w:val="both"/>
        <w:rPr>
          <w:rFonts w:cs="Arial"/>
        </w:rPr>
      </w:pPr>
      <w:r w:rsidRPr="00BC521A">
        <w:rPr>
          <w:rFonts w:cs="Arial"/>
          <w:b/>
        </w:rPr>
        <w:t xml:space="preserve">Asistencia técnica a equipos técnicos interdisciplinarios: </w:t>
      </w:r>
      <w:r w:rsidRPr="00BC521A">
        <w:rPr>
          <w:rFonts w:cs="Arial"/>
        </w:rPr>
        <w:t>se realizó asistencia técnica en territorio a 531 profesionales de los equipos técnicos de las Defensorías de Familia, en la temática del rol que ejercen dentro del Proceso Administrativo de Restablecimiento de Derechos.</w:t>
      </w:r>
    </w:p>
    <w:p w:rsidR="00BC521A" w:rsidRPr="00BC521A" w:rsidRDefault="00BC521A" w:rsidP="00BC521A">
      <w:pPr>
        <w:shd w:val="clear" w:color="auto" w:fill="FFFFFF" w:themeFill="background1"/>
        <w:spacing w:after="0" w:line="240" w:lineRule="auto"/>
        <w:contextualSpacing/>
        <w:jc w:val="both"/>
        <w:rPr>
          <w:rFonts w:cs="Arial"/>
        </w:rPr>
      </w:pPr>
    </w:p>
    <w:tbl>
      <w:tblPr>
        <w:tblpPr w:leftFromText="141" w:rightFromText="141" w:vertAnchor="text" w:horzAnchor="page" w:tblpX="3826" w:tblpY="-158"/>
        <w:tblW w:w="439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69"/>
        <w:gridCol w:w="2221"/>
      </w:tblGrid>
      <w:tr w:rsidR="00BC521A" w:rsidRPr="00BC521A" w:rsidTr="005C173A">
        <w:trPr>
          <w:cantSplit/>
          <w:trHeight w:val="20"/>
          <w:tblHeader/>
        </w:trPr>
        <w:tc>
          <w:tcPr>
            <w:tcW w:w="2169" w:type="dxa"/>
            <w:shd w:val="clear" w:color="auto" w:fill="76923C" w:themeFill="accent3" w:themeFillShade="BF"/>
            <w:noWrap/>
            <w:vAlign w:val="center"/>
            <w:hideMark/>
          </w:tcPr>
          <w:p w:rsidR="00BC521A" w:rsidRPr="005C173A" w:rsidRDefault="00BC521A"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Regional</w:t>
            </w:r>
          </w:p>
        </w:tc>
        <w:tc>
          <w:tcPr>
            <w:tcW w:w="2221" w:type="dxa"/>
            <w:shd w:val="clear" w:color="auto" w:fill="76923C" w:themeFill="accent3" w:themeFillShade="BF"/>
            <w:noWrap/>
            <w:vAlign w:val="center"/>
            <w:hideMark/>
          </w:tcPr>
          <w:p w:rsidR="00BC521A" w:rsidRPr="005C173A" w:rsidRDefault="00BC521A" w:rsidP="005C173A">
            <w:pPr>
              <w:spacing w:after="0" w:line="240" w:lineRule="auto"/>
              <w:jc w:val="center"/>
              <w:rPr>
                <w:rFonts w:eastAsia="Times New Roman" w:cs="Arial"/>
                <w:b/>
                <w:bCs/>
                <w:color w:val="FFFFFF" w:themeColor="background1"/>
                <w:sz w:val="18"/>
                <w:szCs w:val="18"/>
                <w:lang w:val="es-CO" w:eastAsia="es-CO"/>
              </w:rPr>
            </w:pPr>
            <w:r w:rsidRPr="005C173A">
              <w:rPr>
                <w:rFonts w:eastAsia="Times New Roman" w:cs="Arial"/>
                <w:b/>
                <w:bCs/>
                <w:color w:val="FFFFFF" w:themeColor="background1"/>
                <w:sz w:val="18"/>
                <w:szCs w:val="18"/>
                <w:lang w:val="es-CO" w:eastAsia="es-CO"/>
              </w:rPr>
              <w:t>N° Profesionales</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Meta</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14</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Santander</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33</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Tolima</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71</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Huila</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86</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Cesar</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52</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Guajira</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54</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Magdalena</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82</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Sucre</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52</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Bolívar</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79</w:t>
            </w:r>
          </w:p>
        </w:tc>
      </w:tr>
      <w:tr w:rsidR="00BC521A" w:rsidRPr="00BC521A" w:rsidTr="005C173A">
        <w:trPr>
          <w:cantSplit/>
          <w:trHeight w:val="20"/>
        </w:trPr>
        <w:tc>
          <w:tcPr>
            <w:tcW w:w="2169" w:type="dxa"/>
            <w:shd w:val="clear" w:color="auto" w:fill="auto"/>
            <w:vAlign w:val="center"/>
            <w:hideMark/>
          </w:tcPr>
          <w:p w:rsidR="00BC521A" w:rsidRPr="00BC521A" w:rsidRDefault="00BC521A" w:rsidP="005C173A">
            <w:pPr>
              <w:shd w:val="clear" w:color="auto" w:fill="FFFFFF" w:themeFill="background1"/>
              <w:spacing w:after="0" w:line="240" w:lineRule="auto"/>
              <w:contextualSpacing/>
              <w:rPr>
                <w:rFonts w:cs="Arial"/>
                <w:sz w:val="18"/>
                <w:szCs w:val="20"/>
              </w:rPr>
            </w:pPr>
            <w:r w:rsidRPr="00BC521A">
              <w:rPr>
                <w:rFonts w:cs="Arial"/>
                <w:sz w:val="18"/>
                <w:szCs w:val="20"/>
              </w:rPr>
              <w:t>Sucre</w:t>
            </w:r>
          </w:p>
        </w:tc>
        <w:tc>
          <w:tcPr>
            <w:tcW w:w="2221" w:type="dxa"/>
            <w:shd w:val="clear" w:color="auto" w:fill="auto"/>
            <w:noWrap/>
            <w:vAlign w:val="center"/>
            <w:hideMark/>
          </w:tcPr>
          <w:p w:rsidR="00BC521A" w:rsidRPr="00BC521A" w:rsidRDefault="00BC521A" w:rsidP="00BC521A">
            <w:pPr>
              <w:shd w:val="clear" w:color="auto" w:fill="FFFFFF" w:themeFill="background1"/>
              <w:spacing w:after="0" w:line="240" w:lineRule="auto"/>
              <w:contextualSpacing/>
              <w:jc w:val="center"/>
              <w:rPr>
                <w:rFonts w:cs="Arial"/>
                <w:sz w:val="18"/>
                <w:szCs w:val="20"/>
              </w:rPr>
            </w:pPr>
            <w:r w:rsidRPr="00BC521A">
              <w:rPr>
                <w:rFonts w:cs="Arial"/>
                <w:sz w:val="18"/>
                <w:szCs w:val="20"/>
              </w:rPr>
              <w:t>8</w:t>
            </w:r>
          </w:p>
        </w:tc>
      </w:tr>
      <w:tr w:rsidR="00BC521A" w:rsidRPr="00BC521A" w:rsidTr="005C173A">
        <w:trPr>
          <w:cantSplit/>
          <w:trHeight w:val="20"/>
        </w:trPr>
        <w:tc>
          <w:tcPr>
            <w:tcW w:w="2169" w:type="dxa"/>
            <w:shd w:val="clear" w:color="auto" w:fill="E2EFDA"/>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TOTAL</w:t>
            </w:r>
          </w:p>
        </w:tc>
        <w:tc>
          <w:tcPr>
            <w:tcW w:w="2221" w:type="dxa"/>
            <w:shd w:val="clear" w:color="auto" w:fill="E2EFDA"/>
            <w:noWrap/>
            <w:vAlign w:val="center"/>
            <w:hideMark/>
          </w:tcPr>
          <w:p w:rsidR="00BC521A" w:rsidRPr="005C173A" w:rsidRDefault="00BC521A" w:rsidP="005C173A">
            <w:pPr>
              <w:spacing w:after="0" w:line="240" w:lineRule="auto"/>
              <w:jc w:val="center"/>
              <w:rPr>
                <w:rFonts w:eastAsia="Times New Roman" w:cs="Arial"/>
                <w:b/>
                <w:bCs/>
                <w:sz w:val="18"/>
                <w:szCs w:val="18"/>
                <w:lang w:val="es-CO" w:eastAsia="es-CO"/>
              </w:rPr>
            </w:pPr>
            <w:r w:rsidRPr="005C173A">
              <w:rPr>
                <w:rFonts w:eastAsia="Times New Roman" w:cs="Arial"/>
                <w:b/>
                <w:bCs/>
                <w:sz w:val="18"/>
                <w:szCs w:val="18"/>
                <w:lang w:val="es-CO" w:eastAsia="es-CO"/>
              </w:rPr>
              <w:t>531</w:t>
            </w:r>
          </w:p>
        </w:tc>
      </w:tr>
    </w:tbl>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Pr="00BC521A" w:rsidRDefault="00BC521A" w:rsidP="00BC521A">
      <w:pPr>
        <w:shd w:val="clear" w:color="auto" w:fill="FFFFFF" w:themeFill="background1"/>
        <w:spacing w:after="0" w:line="240" w:lineRule="auto"/>
        <w:contextualSpacing/>
        <w:jc w:val="both"/>
        <w:rPr>
          <w:rFonts w:cs="Arial"/>
        </w:rPr>
      </w:pPr>
    </w:p>
    <w:p w:rsidR="00BC521A" w:rsidRDefault="00337806" w:rsidP="00BC521A">
      <w:pPr>
        <w:shd w:val="clear" w:color="auto" w:fill="FFFFFF" w:themeFill="background1"/>
        <w:spacing w:after="0" w:line="240" w:lineRule="auto"/>
        <w:contextualSpacing/>
        <w:jc w:val="both"/>
        <w:rPr>
          <w:rFonts w:cs="Arial"/>
          <w:sz w:val="16"/>
        </w:rPr>
      </w:pPr>
      <w:r>
        <w:rPr>
          <w:rFonts w:cs="Arial"/>
        </w:rPr>
        <w:tab/>
      </w:r>
      <w:r>
        <w:rPr>
          <w:rFonts w:cs="Arial"/>
        </w:rPr>
        <w:tab/>
      </w:r>
      <w:r>
        <w:rPr>
          <w:rFonts w:cs="Arial"/>
        </w:rPr>
        <w:tab/>
      </w:r>
      <w:r w:rsidRPr="005A0D8A">
        <w:rPr>
          <w:rFonts w:cs="Arial"/>
          <w:b/>
          <w:sz w:val="16"/>
        </w:rPr>
        <w:t>Fuente:</w:t>
      </w:r>
      <w:r>
        <w:rPr>
          <w:rFonts w:cs="Arial"/>
          <w:sz w:val="16"/>
        </w:rPr>
        <w:t xml:space="preserve"> Dirección de </w:t>
      </w:r>
      <w:r w:rsidR="005A0D8A">
        <w:rPr>
          <w:rFonts w:cs="Arial"/>
          <w:sz w:val="16"/>
        </w:rPr>
        <w:t>Protección</w:t>
      </w:r>
      <w:r>
        <w:rPr>
          <w:rFonts w:cs="Arial"/>
          <w:sz w:val="16"/>
        </w:rPr>
        <w:t>.</w:t>
      </w:r>
    </w:p>
    <w:p w:rsidR="00337806" w:rsidRPr="00D21160" w:rsidRDefault="00337806" w:rsidP="00337806">
      <w:pPr>
        <w:rPr>
          <w:rFonts w:ascii="Calibri" w:hAnsi="Calibri"/>
          <w:i/>
          <w:iCs/>
          <w:sz w:val="16"/>
          <w:lang w:val="es-CO"/>
        </w:rPr>
      </w:pPr>
      <w:r>
        <w:rPr>
          <w:rFonts w:cs="Arial"/>
          <w:sz w:val="16"/>
        </w:rPr>
        <w:tab/>
      </w:r>
      <w:r>
        <w:rPr>
          <w:rFonts w:cs="Arial"/>
          <w:sz w:val="16"/>
        </w:rPr>
        <w:tab/>
      </w:r>
      <w:r>
        <w:rPr>
          <w:rFonts w:cs="Arial"/>
          <w:sz w:val="16"/>
        </w:rPr>
        <w:tab/>
      </w:r>
      <w:r w:rsidRPr="00D21160">
        <w:rPr>
          <w:i/>
          <w:iCs/>
          <w:sz w:val="16"/>
        </w:rPr>
        <w:t>Nota: Información preliminar, sujeta a actualización del cierre oficial de metas sociales y financieras.</w:t>
      </w:r>
    </w:p>
    <w:p w:rsidR="00337806" w:rsidRPr="00D21160" w:rsidRDefault="00337806" w:rsidP="00337806">
      <w:pPr>
        <w:spacing w:after="0" w:line="240" w:lineRule="auto"/>
        <w:jc w:val="both"/>
        <w:rPr>
          <w:rFonts w:cs="Arial"/>
          <w:sz w:val="16"/>
          <w:lang w:val="es-CO" w:eastAsia="es-ES"/>
        </w:rPr>
      </w:pPr>
    </w:p>
    <w:p w:rsidR="00337806" w:rsidRPr="00337806" w:rsidRDefault="00337806" w:rsidP="00BC521A">
      <w:pPr>
        <w:shd w:val="clear" w:color="auto" w:fill="FFFFFF" w:themeFill="background1"/>
        <w:spacing w:after="0" w:line="240" w:lineRule="auto"/>
        <w:contextualSpacing/>
        <w:jc w:val="both"/>
        <w:rPr>
          <w:rFonts w:cs="Arial"/>
          <w:sz w:val="16"/>
          <w:lang w:val="es-CO"/>
        </w:rPr>
      </w:pPr>
    </w:p>
    <w:p w:rsidR="00BC521A" w:rsidRPr="00BC521A" w:rsidRDefault="00BC521A" w:rsidP="00BC521A">
      <w:pPr>
        <w:spacing w:after="0" w:line="240" w:lineRule="auto"/>
        <w:contextualSpacing/>
        <w:jc w:val="both"/>
        <w:rPr>
          <w:rFonts w:cs="Arial"/>
        </w:rPr>
      </w:pPr>
    </w:p>
    <w:p w:rsidR="00BC521A" w:rsidRPr="00BC521A" w:rsidRDefault="00BC521A" w:rsidP="00D712DC">
      <w:pPr>
        <w:numPr>
          <w:ilvl w:val="0"/>
          <w:numId w:val="201"/>
        </w:numPr>
        <w:spacing w:after="0" w:line="240" w:lineRule="auto"/>
        <w:jc w:val="both"/>
        <w:rPr>
          <w:rFonts w:cs="Arial"/>
          <w:b/>
          <w:u w:val="single"/>
        </w:rPr>
      </w:pPr>
      <w:r w:rsidRPr="00BC521A">
        <w:rPr>
          <w:rFonts w:cs="Arial"/>
          <w:b/>
          <w:u w:val="single"/>
        </w:rPr>
        <w:lastRenderedPageBreak/>
        <w:t>Asistencias técnicas realizadas a agentes del SNBF y otras entidades en el Proceso Administrativo de Restablecimiento de Derechos</w:t>
      </w:r>
    </w:p>
    <w:p w:rsidR="00BC521A" w:rsidRPr="00BC521A" w:rsidRDefault="00BC521A" w:rsidP="00BC521A">
      <w:pPr>
        <w:spacing w:after="0" w:line="240" w:lineRule="auto"/>
        <w:jc w:val="both"/>
        <w:rPr>
          <w:rFonts w:cs="Arial"/>
          <w:b/>
          <w:u w:val="single"/>
        </w:rPr>
      </w:pPr>
    </w:p>
    <w:p w:rsidR="00BC521A" w:rsidRPr="00BC521A" w:rsidRDefault="00BC521A" w:rsidP="00BC521A">
      <w:pPr>
        <w:spacing w:after="0" w:line="240" w:lineRule="auto"/>
        <w:jc w:val="both"/>
        <w:rPr>
          <w:rFonts w:cs="Arial"/>
        </w:rPr>
      </w:pPr>
      <w:r w:rsidRPr="00BC521A">
        <w:rPr>
          <w:rFonts w:cs="Arial"/>
        </w:rPr>
        <w:t>El restablecimiento de derechos de niños, niñas y adolescentes requiere de un trabajo coordinado y articulado entre los servidores públicos que hacen parte del ICBF a nivel zonal, regional y nacional, así como también de las diferentes entidades nacionales que hacen parte del Sistema Nacional de Bienestar Familiar, e inclusive de entidades de otros Estados, que interactúan en los espacios en donde se debe intervenir para atender diversas vulneraciones en contra de los niños, niñas y adolescentes. Teniendo en cuenta lo anterior, la Dirección de Protección en el año 2016, desarrolló un plan de asistencia técnica dirigido a:</w:t>
      </w:r>
    </w:p>
    <w:p w:rsidR="00BC521A" w:rsidRPr="00BC521A" w:rsidRDefault="00BC521A" w:rsidP="00BC521A">
      <w:pPr>
        <w:spacing w:after="0" w:line="240" w:lineRule="auto"/>
        <w:contextualSpacing/>
        <w:jc w:val="both"/>
        <w:rPr>
          <w:rFonts w:cs="Arial"/>
        </w:rPr>
      </w:pPr>
    </w:p>
    <w:p w:rsidR="00BC521A" w:rsidRDefault="00BC521A" w:rsidP="00D712DC">
      <w:pPr>
        <w:numPr>
          <w:ilvl w:val="0"/>
          <w:numId w:val="52"/>
        </w:numPr>
        <w:spacing w:after="0" w:line="240" w:lineRule="auto"/>
        <w:contextualSpacing/>
        <w:jc w:val="both"/>
        <w:rPr>
          <w:rFonts w:cs="Arial"/>
        </w:rPr>
      </w:pPr>
      <w:r w:rsidRPr="00BC521A">
        <w:rPr>
          <w:rFonts w:cs="Arial"/>
        </w:rPr>
        <w:t>Referentes de Perú y Colombia para la construcción de ruta de atención de niños y niñas migrantes solos.</w:t>
      </w:r>
    </w:p>
    <w:p w:rsidR="005C173A" w:rsidRPr="00BC521A" w:rsidRDefault="005C173A" w:rsidP="005C173A">
      <w:pPr>
        <w:spacing w:after="0" w:line="240" w:lineRule="auto"/>
        <w:ind w:left="720"/>
        <w:contextualSpacing/>
        <w:jc w:val="both"/>
        <w:rPr>
          <w:rFonts w:cs="Arial"/>
        </w:rPr>
      </w:pPr>
    </w:p>
    <w:p w:rsidR="00BC521A" w:rsidRDefault="00BC521A" w:rsidP="00D712DC">
      <w:pPr>
        <w:numPr>
          <w:ilvl w:val="0"/>
          <w:numId w:val="52"/>
        </w:numPr>
        <w:spacing w:after="0" w:line="240" w:lineRule="auto"/>
        <w:contextualSpacing/>
        <w:jc w:val="both"/>
        <w:rPr>
          <w:rFonts w:cs="Arial"/>
        </w:rPr>
      </w:pPr>
      <w:r w:rsidRPr="00BC521A">
        <w:rPr>
          <w:rFonts w:cs="Arial"/>
        </w:rPr>
        <w:t>Profesionales de la línea de atención de violencia sexual del Centro de Contacto adscrito a la Dirección de Servicios y Atención del ICBF.</w:t>
      </w:r>
    </w:p>
    <w:p w:rsidR="005C173A" w:rsidRPr="00BC521A" w:rsidRDefault="005C173A" w:rsidP="005C173A">
      <w:pPr>
        <w:spacing w:after="0" w:line="240" w:lineRule="auto"/>
        <w:contextualSpacing/>
        <w:jc w:val="both"/>
        <w:rPr>
          <w:rFonts w:cs="Arial"/>
        </w:rPr>
      </w:pPr>
    </w:p>
    <w:p w:rsidR="00BC521A" w:rsidRDefault="00BC521A" w:rsidP="00D712DC">
      <w:pPr>
        <w:numPr>
          <w:ilvl w:val="0"/>
          <w:numId w:val="52"/>
        </w:numPr>
        <w:spacing w:after="0" w:line="240" w:lineRule="auto"/>
        <w:contextualSpacing/>
        <w:jc w:val="both"/>
        <w:rPr>
          <w:rFonts w:cs="Arial"/>
        </w:rPr>
      </w:pPr>
      <w:r w:rsidRPr="00BC521A">
        <w:rPr>
          <w:rFonts w:cs="Arial"/>
        </w:rPr>
        <w:t>Integrantes de Migración Colombia, Policía Nacional, Armada Nacional y otras entidades asistentes.</w:t>
      </w:r>
    </w:p>
    <w:p w:rsidR="005C173A" w:rsidRPr="00BC521A" w:rsidRDefault="005C173A" w:rsidP="005C173A">
      <w:pPr>
        <w:spacing w:after="0" w:line="240" w:lineRule="auto"/>
        <w:contextualSpacing/>
        <w:jc w:val="both"/>
        <w:rPr>
          <w:rFonts w:cs="Arial"/>
        </w:rPr>
      </w:pPr>
    </w:p>
    <w:p w:rsidR="00BC521A" w:rsidRPr="00BC521A" w:rsidRDefault="00BC521A" w:rsidP="00D712DC">
      <w:pPr>
        <w:numPr>
          <w:ilvl w:val="0"/>
          <w:numId w:val="52"/>
        </w:numPr>
        <w:spacing w:after="0" w:line="240" w:lineRule="auto"/>
        <w:contextualSpacing/>
        <w:jc w:val="both"/>
        <w:rPr>
          <w:rFonts w:cs="Arial"/>
        </w:rPr>
      </w:pPr>
      <w:r w:rsidRPr="00BC521A">
        <w:rPr>
          <w:rFonts w:cs="Arial"/>
        </w:rPr>
        <w:t>Referentes – operadores de la Dirección de Niñez y Adolescencia – estrategia A.M.A.S.</w:t>
      </w:r>
    </w:p>
    <w:p w:rsidR="00337806" w:rsidRDefault="00337806" w:rsidP="00C82911">
      <w:pPr>
        <w:ind w:firstLine="360"/>
        <w:rPr>
          <w:rFonts w:eastAsiaTheme="majorEastAsia"/>
          <w:b/>
        </w:rPr>
      </w:pPr>
      <w:bookmarkStart w:id="111" w:name="_Toc472519284"/>
    </w:p>
    <w:p w:rsidR="00BC521A" w:rsidRPr="00C82911" w:rsidRDefault="00BC521A" w:rsidP="00C82911">
      <w:pPr>
        <w:ind w:firstLine="360"/>
        <w:rPr>
          <w:rFonts w:eastAsiaTheme="majorEastAsia"/>
          <w:b/>
        </w:rPr>
      </w:pPr>
      <w:r w:rsidRPr="00C82911">
        <w:rPr>
          <w:rFonts w:eastAsiaTheme="majorEastAsia"/>
          <w:b/>
        </w:rPr>
        <w:t>Plan de supervisión</w:t>
      </w:r>
      <w:bookmarkEnd w:id="111"/>
    </w:p>
    <w:p w:rsidR="00BC521A" w:rsidRPr="00BC521A" w:rsidRDefault="00BC521A" w:rsidP="00BC521A">
      <w:pPr>
        <w:spacing w:after="0" w:line="240" w:lineRule="auto"/>
        <w:jc w:val="both"/>
        <w:rPr>
          <w:rFonts w:cs="Arial"/>
        </w:rPr>
      </w:pPr>
      <w:r w:rsidRPr="00BC521A">
        <w:rPr>
          <w:rFonts w:cs="Arial"/>
        </w:rPr>
        <w:t>Con el fin de dar efectivo cumplimiento a lo establecido en los lineamientos técnicos de los servicios de protección, se estableció una estrategia que consistió en el diseño de unos instrumentos para dar cuenta del avance en la implementación los lineamientos. Para tal efecto:</w:t>
      </w:r>
    </w:p>
    <w:p w:rsidR="00BC521A" w:rsidRPr="00BC521A" w:rsidRDefault="00BC521A" w:rsidP="00BC521A">
      <w:pPr>
        <w:spacing w:after="0" w:line="240" w:lineRule="auto"/>
        <w:jc w:val="both"/>
        <w:rPr>
          <w:rFonts w:cs="Arial"/>
        </w:rPr>
      </w:pPr>
    </w:p>
    <w:p w:rsidR="00BC521A" w:rsidRDefault="00BC521A" w:rsidP="00D712DC">
      <w:pPr>
        <w:numPr>
          <w:ilvl w:val="0"/>
          <w:numId w:val="80"/>
        </w:numPr>
        <w:spacing w:after="0" w:line="240" w:lineRule="auto"/>
        <w:contextualSpacing/>
        <w:jc w:val="both"/>
        <w:rPr>
          <w:rFonts w:cs="Arial"/>
        </w:rPr>
      </w:pPr>
      <w:r w:rsidRPr="00BC521A">
        <w:rPr>
          <w:rFonts w:cs="Arial"/>
        </w:rPr>
        <w:t>Se diseñó 1 guía, 26 instrumentos (13 para las modalidades de Restablecimiento de Derechos y 13 para las modalidades de SRPA), 26 registros de observaciones y 8 formatos que orientaron el seguimiento a la implementación de lineamientos de Protección en entidades contr</w:t>
      </w:r>
      <w:r w:rsidR="00985DD9">
        <w:rPr>
          <w:rFonts w:cs="Arial"/>
        </w:rPr>
        <w:t>atistas y Unidades de Servicio.</w:t>
      </w:r>
    </w:p>
    <w:p w:rsidR="00985DD9" w:rsidRPr="00BC521A" w:rsidRDefault="00985DD9" w:rsidP="00985DD9">
      <w:pPr>
        <w:spacing w:after="0" w:line="240" w:lineRule="auto"/>
        <w:ind w:left="360"/>
        <w:contextualSpacing/>
        <w:jc w:val="both"/>
        <w:rPr>
          <w:rFonts w:cs="Arial"/>
        </w:rPr>
      </w:pPr>
    </w:p>
    <w:p w:rsidR="00BC521A" w:rsidRDefault="00BC521A" w:rsidP="00D712DC">
      <w:pPr>
        <w:numPr>
          <w:ilvl w:val="0"/>
          <w:numId w:val="80"/>
        </w:numPr>
        <w:spacing w:after="0" w:line="240" w:lineRule="auto"/>
        <w:contextualSpacing/>
        <w:jc w:val="both"/>
        <w:rPr>
          <w:rFonts w:cs="Arial"/>
        </w:rPr>
      </w:pPr>
      <w:r w:rsidRPr="00BC521A">
        <w:rPr>
          <w:rFonts w:cs="Arial"/>
        </w:rPr>
        <w:t>Se contrataron 202 profesionales que apoyaron la supervisión y la asistencia técnica a centros zonales y entidades contratistas a partir de los resultados del seguimiento a la implementación de lineamientos.</w:t>
      </w:r>
    </w:p>
    <w:p w:rsidR="005C173A" w:rsidRPr="00BC521A" w:rsidRDefault="005C173A" w:rsidP="005C173A">
      <w:pPr>
        <w:spacing w:after="0" w:line="240" w:lineRule="auto"/>
        <w:ind w:left="360"/>
        <w:contextualSpacing/>
        <w:jc w:val="both"/>
        <w:rPr>
          <w:rFonts w:cs="Arial"/>
        </w:rPr>
      </w:pPr>
    </w:p>
    <w:p w:rsidR="00BC521A" w:rsidRDefault="00BC521A" w:rsidP="00D712DC">
      <w:pPr>
        <w:numPr>
          <w:ilvl w:val="0"/>
          <w:numId w:val="80"/>
        </w:numPr>
        <w:spacing w:after="0" w:line="240" w:lineRule="auto"/>
        <w:contextualSpacing/>
        <w:jc w:val="both"/>
        <w:rPr>
          <w:rFonts w:cs="Arial"/>
        </w:rPr>
      </w:pPr>
      <w:r w:rsidRPr="00BC521A">
        <w:rPr>
          <w:rFonts w:cs="Arial"/>
        </w:rPr>
        <w:t>Se realizaron 8 jornadas de socialización de documentos relacionados con el seguimiento, en las que participaron 551 profesionales, entre ellos, supervisores de contratos, equipos de apoyo, coordinadores grupo asistencia técnica y Protección y profesionales asistencia técnica de 32 regionales del ICBF.</w:t>
      </w:r>
    </w:p>
    <w:p w:rsidR="005C173A" w:rsidRPr="00BC521A" w:rsidRDefault="005C173A" w:rsidP="005C173A">
      <w:pPr>
        <w:spacing w:after="0" w:line="240" w:lineRule="auto"/>
        <w:contextualSpacing/>
        <w:jc w:val="both"/>
        <w:rPr>
          <w:rFonts w:cs="Arial"/>
        </w:rPr>
      </w:pPr>
    </w:p>
    <w:p w:rsidR="00BC521A" w:rsidRDefault="00BC521A" w:rsidP="00D712DC">
      <w:pPr>
        <w:numPr>
          <w:ilvl w:val="0"/>
          <w:numId w:val="80"/>
        </w:numPr>
        <w:spacing w:after="0" w:line="240" w:lineRule="auto"/>
        <w:contextualSpacing/>
        <w:jc w:val="both"/>
        <w:rPr>
          <w:rFonts w:cs="Arial"/>
        </w:rPr>
      </w:pPr>
      <w:r w:rsidRPr="00BC521A">
        <w:rPr>
          <w:rFonts w:cs="Arial"/>
        </w:rPr>
        <w:t xml:space="preserve">Se consolidó la información de </w:t>
      </w:r>
      <w:r w:rsidRPr="00BC521A">
        <w:rPr>
          <w:rFonts w:cs="Arial"/>
          <w:b/>
        </w:rPr>
        <w:t xml:space="preserve">2.381 visitas </w:t>
      </w:r>
      <w:r w:rsidRPr="00BC521A">
        <w:rPr>
          <w:rFonts w:cs="Arial"/>
        </w:rPr>
        <w:t>realizadas por 32 regionales, con corte d</w:t>
      </w:r>
      <w:r w:rsidR="005C173A">
        <w:rPr>
          <w:rFonts w:cs="Arial"/>
        </w:rPr>
        <w:t>e resultados al 30/12/2016 así:</w:t>
      </w:r>
    </w:p>
    <w:p w:rsidR="005C173A" w:rsidRPr="00BC521A" w:rsidRDefault="005C173A" w:rsidP="005C173A">
      <w:pPr>
        <w:spacing w:after="0" w:line="240" w:lineRule="auto"/>
        <w:contextualSpacing/>
        <w:jc w:val="both"/>
        <w:rPr>
          <w:rFonts w:cs="Arial"/>
        </w:rPr>
      </w:pPr>
    </w:p>
    <w:p w:rsidR="00BC521A" w:rsidRDefault="00BC521A" w:rsidP="00D20970">
      <w:pPr>
        <w:numPr>
          <w:ilvl w:val="1"/>
          <w:numId w:val="82"/>
        </w:numPr>
        <w:spacing w:after="0" w:line="240" w:lineRule="auto"/>
        <w:ind w:left="774" w:hanging="414"/>
        <w:contextualSpacing/>
        <w:jc w:val="both"/>
        <w:rPr>
          <w:rFonts w:cs="Arial"/>
        </w:rPr>
      </w:pPr>
      <w:r w:rsidRPr="00BC521A">
        <w:rPr>
          <w:rFonts w:cs="Arial"/>
        </w:rPr>
        <w:lastRenderedPageBreak/>
        <w:t>970 visitas a entidades contratistas, para un 91% de cumplimiento de la meta nacional de visitas (1.062 visitas).</w:t>
      </w:r>
    </w:p>
    <w:p w:rsidR="005C173A" w:rsidRPr="00BC521A" w:rsidRDefault="005C173A" w:rsidP="00D20970">
      <w:pPr>
        <w:spacing w:after="0" w:line="240" w:lineRule="auto"/>
        <w:ind w:left="774"/>
        <w:contextualSpacing/>
        <w:jc w:val="both"/>
        <w:rPr>
          <w:rFonts w:cs="Arial"/>
        </w:rPr>
      </w:pPr>
    </w:p>
    <w:p w:rsidR="00BC521A" w:rsidRDefault="00BC521A" w:rsidP="00D20970">
      <w:pPr>
        <w:numPr>
          <w:ilvl w:val="1"/>
          <w:numId w:val="82"/>
        </w:numPr>
        <w:spacing w:after="0" w:line="240" w:lineRule="auto"/>
        <w:ind w:left="774" w:hanging="414"/>
        <w:contextualSpacing/>
        <w:jc w:val="both"/>
        <w:rPr>
          <w:rFonts w:cs="Arial"/>
        </w:rPr>
      </w:pPr>
      <w:r w:rsidRPr="00BC521A">
        <w:rPr>
          <w:rFonts w:cs="Arial"/>
        </w:rPr>
        <w:t>1.380 visitas a hogares sustitutos para un 136% de cumplimiento de la meta nacional de visitas (1.018 visitas).</w:t>
      </w:r>
    </w:p>
    <w:p w:rsidR="005C173A" w:rsidRPr="00BC521A" w:rsidRDefault="005C173A" w:rsidP="00D20970">
      <w:pPr>
        <w:spacing w:after="0" w:line="240" w:lineRule="auto"/>
        <w:contextualSpacing/>
        <w:jc w:val="both"/>
        <w:rPr>
          <w:rFonts w:cs="Arial"/>
        </w:rPr>
      </w:pPr>
    </w:p>
    <w:p w:rsidR="00BC521A" w:rsidRPr="00BC521A" w:rsidRDefault="00BC521A" w:rsidP="00D20970">
      <w:pPr>
        <w:numPr>
          <w:ilvl w:val="1"/>
          <w:numId w:val="82"/>
        </w:numPr>
        <w:spacing w:after="0" w:line="240" w:lineRule="auto"/>
        <w:ind w:left="774" w:hanging="414"/>
        <w:contextualSpacing/>
        <w:jc w:val="both"/>
        <w:rPr>
          <w:rFonts w:cs="Arial"/>
        </w:rPr>
      </w:pPr>
      <w:r w:rsidRPr="00BC521A">
        <w:rPr>
          <w:rFonts w:cs="Arial"/>
        </w:rPr>
        <w:t>31 visitas a hogares sustitutos tutores para un 155% de cumplimiento de la meta nacional de visitas (20 visitas).</w:t>
      </w:r>
    </w:p>
    <w:p w:rsidR="00BC521A" w:rsidRPr="00BC521A" w:rsidRDefault="00BC521A" w:rsidP="00BC521A">
      <w:pPr>
        <w:spacing w:after="0" w:line="240" w:lineRule="auto"/>
        <w:ind w:left="720"/>
        <w:jc w:val="both"/>
        <w:rPr>
          <w:rFonts w:cs="Arial"/>
        </w:rPr>
      </w:pPr>
    </w:p>
    <w:p w:rsidR="00BC521A" w:rsidRDefault="00BC521A" w:rsidP="00D712DC">
      <w:pPr>
        <w:numPr>
          <w:ilvl w:val="0"/>
          <w:numId w:val="81"/>
        </w:numPr>
        <w:spacing w:after="0" w:line="240" w:lineRule="auto"/>
        <w:contextualSpacing/>
        <w:jc w:val="both"/>
        <w:rPr>
          <w:rFonts w:cs="Arial"/>
        </w:rPr>
      </w:pPr>
      <w:r w:rsidRPr="00BC521A">
        <w:rPr>
          <w:rFonts w:cs="Arial"/>
        </w:rPr>
        <w:t>Se definió un porcentaje para establecer cómo se están implementando los lineamientos y se</w:t>
      </w:r>
      <w:r w:rsidR="005C173A">
        <w:rPr>
          <w:rFonts w:cs="Arial"/>
        </w:rPr>
        <w:t xml:space="preserve"> identificaron resultados así:</w:t>
      </w:r>
    </w:p>
    <w:p w:rsidR="005C173A" w:rsidRPr="00BC521A" w:rsidRDefault="005C173A" w:rsidP="005C173A">
      <w:pPr>
        <w:spacing w:after="0" w:line="240" w:lineRule="auto"/>
        <w:ind w:left="360"/>
        <w:contextualSpacing/>
        <w:jc w:val="both"/>
        <w:rPr>
          <w:rFonts w:cs="Arial"/>
        </w:rPr>
      </w:pPr>
    </w:p>
    <w:p w:rsidR="00BC521A" w:rsidRDefault="00BC521A" w:rsidP="00D20970">
      <w:pPr>
        <w:numPr>
          <w:ilvl w:val="1"/>
          <w:numId w:val="83"/>
        </w:numPr>
        <w:spacing w:after="0" w:line="240" w:lineRule="auto"/>
        <w:ind w:left="774" w:hanging="414"/>
        <w:contextualSpacing/>
        <w:jc w:val="both"/>
        <w:rPr>
          <w:rFonts w:cs="Arial"/>
        </w:rPr>
      </w:pPr>
      <w:r w:rsidRPr="00BC521A">
        <w:rPr>
          <w:rFonts w:cs="Arial"/>
        </w:rPr>
        <w:t>En promedio, los lineamientos en las modalidades de restablecimiento</w:t>
      </w:r>
      <w:r w:rsidR="005C173A">
        <w:rPr>
          <w:rFonts w:cs="Arial"/>
        </w:rPr>
        <w:t xml:space="preserve"> se han implementado en un 85%.</w:t>
      </w:r>
    </w:p>
    <w:p w:rsidR="005C173A" w:rsidRPr="00BC521A" w:rsidRDefault="005C173A" w:rsidP="00D20970">
      <w:pPr>
        <w:spacing w:after="0" w:line="240" w:lineRule="auto"/>
        <w:ind w:left="774"/>
        <w:contextualSpacing/>
        <w:jc w:val="both"/>
        <w:rPr>
          <w:rFonts w:cs="Arial"/>
        </w:rPr>
      </w:pPr>
    </w:p>
    <w:p w:rsidR="00BC521A" w:rsidRDefault="00BC521A" w:rsidP="00D20970">
      <w:pPr>
        <w:numPr>
          <w:ilvl w:val="1"/>
          <w:numId w:val="83"/>
        </w:numPr>
        <w:spacing w:after="0" w:line="240" w:lineRule="auto"/>
        <w:ind w:left="774" w:hanging="414"/>
        <w:contextualSpacing/>
        <w:jc w:val="both"/>
        <w:rPr>
          <w:rFonts w:cs="Arial"/>
        </w:rPr>
      </w:pPr>
      <w:r w:rsidRPr="00BC521A">
        <w:rPr>
          <w:rFonts w:cs="Arial"/>
        </w:rPr>
        <w:t>En promedio, los lineamientos en las modalidades de SRPA</w:t>
      </w:r>
      <w:r w:rsidR="005C173A">
        <w:rPr>
          <w:rFonts w:cs="Arial"/>
        </w:rPr>
        <w:t xml:space="preserve"> se han implementado en un 82%.</w:t>
      </w:r>
    </w:p>
    <w:p w:rsidR="005C173A" w:rsidRPr="00BC521A" w:rsidRDefault="005C173A" w:rsidP="00D20970">
      <w:pPr>
        <w:spacing w:after="0" w:line="240" w:lineRule="auto"/>
        <w:contextualSpacing/>
        <w:jc w:val="both"/>
        <w:rPr>
          <w:rFonts w:cs="Arial"/>
        </w:rPr>
      </w:pPr>
    </w:p>
    <w:p w:rsidR="00BC521A" w:rsidRDefault="00BC521A" w:rsidP="00D20970">
      <w:pPr>
        <w:numPr>
          <w:ilvl w:val="1"/>
          <w:numId w:val="83"/>
        </w:numPr>
        <w:spacing w:after="0" w:line="240" w:lineRule="auto"/>
        <w:ind w:left="774" w:hanging="414"/>
        <w:contextualSpacing/>
        <w:jc w:val="both"/>
        <w:rPr>
          <w:rFonts w:cs="Arial"/>
        </w:rPr>
      </w:pPr>
      <w:r w:rsidRPr="00BC521A">
        <w:rPr>
          <w:rFonts w:cs="Arial"/>
        </w:rPr>
        <w:t>En promedio, los lineamientos en la modalidad de hogar sustituto</w:t>
      </w:r>
      <w:r w:rsidR="005C173A">
        <w:rPr>
          <w:rFonts w:cs="Arial"/>
        </w:rPr>
        <w:t xml:space="preserve"> se han implementado en un 86%.</w:t>
      </w:r>
    </w:p>
    <w:p w:rsidR="005C173A" w:rsidRPr="00BC521A" w:rsidRDefault="005C173A" w:rsidP="00D20970">
      <w:pPr>
        <w:spacing w:after="0" w:line="240" w:lineRule="auto"/>
        <w:contextualSpacing/>
        <w:jc w:val="both"/>
        <w:rPr>
          <w:rFonts w:cs="Arial"/>
        </w:rPr>
      </w:pPr>
    </w:p>
    <w:p w:rsidR="00BC521A" w:rsidRPr="00BC521A" w:rsidRDefault="00BC521A" w:rsidP="00D20970">
      <w:pPr>
        <w:numPr>
          <w:ilvl w:val="1"/>
          <w:numId w:val="84"/>
        </w:numPr>
        <w:spacing w:after="0" w:line="240" w:lineRule="auto"/>
        <w:ind w:left="774" w:hanging="414"/>
        <w:contextualSpacing/>
        <w:jc w:val="both"/>
        <w:rPr>
          <w:rFonts w:cs="Arial"/>
        </w:rPr>
      </w:pPr>
      <w:r w:rsidRPr="00BC521A">
        <w:rPr>
          <w:rFonts w:cs="Arial"/>
        </w:rPr>
        <w:t>En promedio, los lineamientos en la modalidad de hogar sustituto tutor se han implementado en un 84%.</w:t>
      </w:r>
    </w:p>
    <w:p w:rsidR="00BC521A" w:rsidRPr="00BC521A" w:rsidRDefault="00BC521A" w:rsidP="00BC521A">
      <w:pPr>
        <w:spacing w:after="0" w:line="240" w:lineRule="auto"/>
        <w:ind w:left="720"/>
        <w:jc w:val="both"/>
        <w:rPr>
          <w:rFonts w:cs="Arial"/>
        </w:rPr>
      </w:pPr>
    </w:p>
    <w:p w:rsidR="00BC521A" w:rsidRDefault="00BC521A" w:rsidP="00D712DC">
      <w:pPr>
        <w:numPr>
          <w:ilvl w:val="0"/>
          <w:numId w:val="80"/>
        </w:numPr>
        <w:spacing w:after="0" w:line="240" w:lineRule="auto"/>
        <w:contextualSpacing/>
        <w:jc w:val="both"/>
        <w:rPr>
          <w:rFonts w:cs="Arial"/>
        </w:rPr>
      </w:pPr>
      <w:r w:rsidRPr="00BC521A">
        <w:rPr>
          <w:rFonts w:cs="Arial"/>
        </w:rPr>
        <w:t xml:space="preserve">Los resultados de las visitas han sido insumo para la supervisión y han facilitado la identificación y gestión de necesidades de asistencia técnica a nivel zonal y regional. De este último aspecto, 28 regionales reportaron haber realizado 949 eventos de asistencia técnica a entidades contratistas y unidades de servicios en el marco de la </w:t>
      </w:r>
      <w:r w:rsidR="005C173A">
        <w:rPr>
          <w:rFonts w:cs="Arial"/>
        </w:rPr>
        <w:t>implementación de lineamientos.</w:t>
      </w:r>
    </w:p>
    <w:p w:rsidR="005C173A" w:rsidRPr="00BC521A" w:rsidRDefault="005C173A" w:rsidP="005C173A">
      <w:pPr>
        <w:spacing w:after="0" w:line="240" w:lineRule="auto"/>
        <w:ind w:left="360"/>
        <w:contextualSpacing/>
        <w:jc w:val="both"/>
        <w:rPr>
          <w:rFonts w:cs="Arial"/>
        </w:rPr>
      </w:pPr>
    </w:p>
    <w:p w:rsidR="00BC521A" w:rsidRPr="00BC521A" w:rsidRDefault="00BC521A" w:rsidP="00D712DC">
      <w:pPr>
        <w:numPr>
          <w:ilvl w:val="0"/>
          <w:numId w:val="80"/>
        </w:numPr>
        <w:spacing w:after="0" w:line="240" w:lineRule="auto"/>
        <w:contextualSpacing/>
        <w:jc w:val="both"/>
        <w:rPr>
          <w:rFonts w:cs="Arial"/>
        </w:rPr>
      </w:pPr>
      <w:r w:rsidRPr="00BC521A">
        <w:rPr>
          <w:rFonts w:cs="Arial"/>
        </w:rPr>
        <w:t xml:space="preserve">Como parte de la evaluación del seguimiento, se realizaron dos jornadas de balance a las que asistieron 135 profesionales entre supervisores de contrato, equipos de apoyo y asistencia técnica de 17 Regionales. </w:t>
      </w:r>
    </w:p>
    <w:p w:rsidR="00337806" w:rsidRDefault="00337806" w:rsidP="006C36A2">
      <w:pPr>
        <w:ind w:firstLine="708"/>
        <w:rPr>
          <w:rFonts w:eastAsiaTheme="majorEastAsia"/>
          <w:b/>
        </w:rPr>
      </w:pPr>
      <w:bookmarkStart w:id="112" w:name="_Toc472519285"/>
    </w:p>
    <w:p w:rsidR="00BC521A" w:rsidRPr="00C43651" w:rsidRDefault="00BC521A" w:rsidP="006C36A2">
      <w:pPr>
        <w:ind w:firstLine="708"/>
        <w:rPr>
          <w:rFonts w:eastAsiaTheme="majorEastAsia"/>
          <w:b/>
        </w:rPr>
      </w:pPr>
      <w:r w:rsidRPr="00C43651">
        <w:rPr>
          <w:rFonts w:eastAsiaTheme="majorEastAsia"/>
          <w:b/>
        </w:rPr>
        <w:t>Impulso normativo</w:t>
      </w:r>
      <w:bookmarkEnd w:id="112"/>
    </w:p>
    <w:p w:rsidR="00BC521A" w:rsidRPr="00BC521A" w:rsidRDefault="00BC521A" w:rsidP="00BC521A">
      <w:pPr>
        <w:spacing w:after="0" w:line="240" w:lineRule="auto"/>
        <w:jc w:val="both"/>
        <w:rPr>
          <w:rFonts w:cs="Arial"/>
          <w:lang w:eastAsia="es-ES"/>
        </w:rPr>
      </w:pPr>
      <w:r w:rsidRPr="00BC521A">
        <w:rPr>
          <w:rFonts w:cs="Arial"/>
          <w:lang w:eastAsia="es-ES"/>
        </w:rPr>
        <w:t>Teniendo en cuenta los vacíos y yerros jurídicos que actualmente se evidencian en la Ley 1098 de 2006, desde el año 2015 se realizan mesas de trabajo con Defensores de Familia y profesionales de las Regionales del ICBF, para identificar aspectos de la Ley que requieren una reforma legal. En este sentido, para el trabajo en 2016 se parte del siguiente avance:</w:t>
      </w:r>
    </w:p>
    <w:p w:rsidR="00BC521A" w:rsidRPr="00BC521A" w:rsidRDefault="00BC521A" w:rsidP="00BC521A">
      <w:pPr>
        <w:spacing w:after="0" w:line="240" w:lineRule="auto"/>
        <w:jc w:val="both"/>
        <w:rPr>
          <w:rFonts w:cs="Arial"/>
        </w:rPr>
      </w:pPr>
    </w:p>
    <w:p w:rsidR="00BC521A" w:rsidRPr="00BC521A" w:rsidRDefault="00BC521A" w:rsidP="00D712DC">
      <w:pPr>
        <w:numPr>
          <w:ilvl w:val="0"/>
          <w:numId w:val="51"/>
        </w:numPr>
        <w:spacing w:after="0" w:line="240" w:lineRule="auto"/>
        <w:contextualSpacing/>
        <w:jc w:val="both"/>
        <w:rPr>
          <w:rFonts w:cs="Arial"/>
        </w:rPr>
      </w:pPr>
      <w:r w:rsidRPr="00BC521A">
        <w:rPr>
          <w:rFonts w:cs="Arial"/>
        </w:rPr>
        <w:t>100% de los artículos revisados.</w:t>
      </w:r>
    </w:p>
    <w:p w:rsidR="00BC521A" w:rsidRPr="00BC521A" w:rsidRDefault="00BC521A" w:rsidP="00D712DC">
      <w:pPr>
        <w:numPr>
          <w:ilvl w:val="0"/>
          <w:numId w:val="51"/>
        </w:numPr>
        <w:spacing w:after="0" w:line="240" w:lineRule="auto"/>
        <w:contextualSpacing/>
        <w:jc w:val="both"/>
        <w:rPr>
          <w:rFonts w:cs="Arial"/>
        </w:rPr>
      </w:pPr>
      <w:r w:rsidRPr="00BC521A">
        <w:rPr>
          <w:rFonts w:cs="Arial"/>
        </w:rPr>
        <w:t>Cronograma con Macro regionales para la revisión y aportes de la Ley 1098 de 2006.</w:t>
      </w:r>
    </w:p>
    <w:p w:rsidR="00BC521A" w:rsidRPr="00BC521A" w:rsidRDefault="00BC521A" w:rsidP="00D712DC">
      <w:pPr>
        <w:numPr>
          <w:ilvl w:val="0"/>
          <w:numId w:val="51"/>
        </w:numPr>
        <w:spacing w:after="0" w:line="240" w:lineRule="auto"/>
        <w:contextualSpacing/>
        <w:jc w:val="both"/>
        <w:rPr>
          <w:rFonts w:cs="Arial"/>
        </w:rPr>
      </w:pPr>
      <w:r w:rsidRPr="00BC521A">
        <w:rPr>
          <w:rFonts w:cs="Arial"/>
        </w:rPr>
        <w:t>Mesas internas de trabajo para la consolidación, análisis e inclusión de aportes.</w:t>
      </w:r>
    </w:p>
    <w:p w:rsidR="00195537" w:rsidRDefault="00BC521A" w:rsidP="00195537">
      <w:pPr>
        <w:numPr>
          <w:ilvl w:val="0"/>
          <w:numId w:val="51"/>
        </w:numPr>
        <w:spacing w:after="0" w:line="240" w:lineRule="auto"/>
        <w:contextualSpacing/>
        <w:jc w:val="both"/>
        <w:rPr>
          <w:rFonts w:cs="Arial"/>
        </w:rPr>
      </w:pPr>
      <w:r w:rsidRPr="00BC521A">
        <w:rPr>
          <w:rFonts w:cs="Arial"/>
        </w:rPr>
        <w:lastRenderedPageBreak/>
        <w:t>Se logró la participación de los Defensores de Familia de las 33 Regionales, mediante 9 mesas de trabajo en donde se analizó el articulado de la Ley 1098 de 2006, teniendo en cuenta los vacíos, inconsistencias y dificultades que la normatividad presenta para su operatividad</w:t>
      </w:r>
      <w:r w:rsidR="00195537">
        <w:rPr>
          <w:rFonts w:cs="Arial"/>
        </w:rPr>
        <w:t>.</w:t>
      </w:r>
    </w:p>
    <w:p w:rsidR="00985DD9" w:rsidRPr="00195537" w:rsidRDefault="00985DD9" w:rsidP="00985DD9">
      <w:pPr>
        <w:spacing w:after="0" w:line="240" w:lineRule="auto"/>
        <w:ind w:left="360"/>
        <w:contextualSpacing/>
        <w:jc w:val="both"/>
        <w:rPr>
          <w:rFonts w:cs="Arial"/>
        </w:rPr>
      </w:pPr>
    </w:p>
    <w:p w:rsidR="00BC521A" w:rsidRPr="00BC521A" w:rsidRDefault="00BC521A" w:rsidP="00D712DC">
      <w:pPr>
        <w:numPr>
          <w:ilvl w:val="0"/>
          <w:numId w:val="51"/>
        </w:numPr>
        <w:spacing w:after="0" w:line="240" w:lineRule="auto"/>
        <w:contextualSpacing/>
        <w:jc w:val="both"/>
        <w:rPr>
          <w:rFonts w:cs="Arial"/>
        </w:rPr>
      </w:pPr>
      <w:r w:rsidRPr="00BC521A">
        <w:rPr>
          <w:rFonts w:cs="Arial"/>
        </w:rPr>
        <w:t>Conformación de mesa técnica con 10 Defensores de Familia a nivel nacional para efectos y proyección del documento que recoja los resultados de trabajo en el documento.</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lang w:val="es-CO"/>
        </w:rPr>
      </w:pPr>
      <w:r w:rsidRPr="00BC521A">
        <w:rPr>
          <w:rFonts w:cs="Arial"/>
        </w:rPr>
        <w:t xml:space="preserve">En el año 2016 </w:t>
      </w:r>
      <w:r w:rsidRPr="00BC521A">
        <w:rPr>
          <w:rFonts w:cs="Arial"/>
          <w:lang w:val="es-CO"/>
        </w:rPr>
        <w:t xml:space="preserve">llevaron a cabo 2 mesas de trabajo con Defensores de Familia de las Regionales Chocó, Cauca, Antioquía, Valle del Cauca, Tolima, Meta, Risaralda, Atlántico, Caldas y Nariño, para continuar el análisis correspondiente. </w:t>
      </w:r>
    </w:p>
    <w:p w:rsidR="00BC521A" w:rsidRPr="00BC521A" w:rsidRDefault="00BC521A" w:rsidP="00BC521A">
      <w:pPr>
        <w:spacing w:after="0" w:line="240" w:lineRule="auto"/>
        <w:jc w:val="both"/>
        <w:rPr>
          <w:rFonts w:cs="Arial"/>
          <w:lang w:val="es-CO"/>
        </w:rPr>
      </w:pPr>
    </w:p>
    <w:p w:rsidR="00BC521A" w:rsidRPr="00BC521A" w:rsidRDefault="00BC521A" w:rsidP="00BC521A">
      <w:pPr>
        <w:spacing w:after="0" w:line="240" w:lineRule="auto"/>
        <w:jc w:val="both"/>
        <w:rPr>
          <w:rFonts w:cs="Arial"/>
          <w:lang w:val="es-CO"/>
        </w:rPr>
      </w:pPr>
      <w:r w:rsidRPr="00BC521A">
        <w:rPr>
          <w:rFonts w:cs="Arial"/>
          <w:lang w:val="es-CO"/>
        </w:rPr>
        <w:t>Asimismo, se elaboró propuesta de reforma para los artículos 52, 99, 100, 103, 107, 108, 110, 124 y 126 de la Ley 1098 de 2006, a fin de dotarlos de mayor claridad en su interpretación, superar vacíos jurídicos, definir legalmente medidas que permitan el restablecimiento material de los derechos de los niños, niñas y adolescentes, y así brindar seguridad jurídica a las decisiones definitivas que respecto de sus vidas determinan las distintas autoridades judiciales y administrativas competentes. </w:t>
      </w:r>
    </w:p>
    <w:p w:rsidR="00BC521A" w:rsidRPr="00BC521A" w:rsidRDefault="00BC521A" w:rsidP="00BC521A">
      <w:pPr>
        <w:spacing w:after="0" w:line="240" w:lineRule="auto"/>
        <w:jc w:val="both"/>
        <w:rPr>
          <w:rFonts w:cs="Arial"/>
        </w:rPr>
      </w:pPr>
    </w:p>
    <w:p w:rsidR="00BC521A" w:rsidRP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Adicionalmente, con el fin de ajustar aspectos necesarios para llevar a cabo los procesos de restablecimiento de derechos de niños, niñas y adolescentes, desde la Dirección de Protección se gestionó la expedición de distintas circulares y resoluciones que impactan el quehacer misional de la Dirección:</w:t>
      </w:r>
    </w:p>
    <w:p w:rsidR="00BC521A" w:rsidRPr="00BC521A" w:rsidRDefault="00BC521A" w:rsidP="00BC521A">
      <w:pPr>
        <w:spacing w:after="0" w:line="240" w:lineRule="auto"/>
        <w:jc w:val="both"/>
        <w:rPr>
          <w:rFonts w:cs="Arial"/>
          <w:spacing w:val="-4"/>
          <w:lang w:val="es-CO"/>
        </w:rPr>
      </w:pPr>
    </w:p>
    <w:p w:rsidR="00BC521A" w:rsidRDefault="00BC521A" w:rsidP="00D20970">
      <w:pPr>
        <w:numPr>
          <w:ilvl w:val="0"/>
          <w:numId w:val="87"/>
        </w:numPr>
        <w:spacing w:after="0" w:line="240" w:lineRule="auto"/>
        <w:ind w:left="360"/>
        <w:contextualSpacing/>
        <w:jc w:val="both"/>
        <w:rPr>
          <w:rFonts w:cs="Arial"/>
          <w:spacing w:val="-4"/>
          <w:lang w:val="es-CO"/>
        </w:rPr>
      </w:pPr>
      <w:r w:rsidRPr="00BC521A">
        <w:rPr>
          <w:rFonts w:cs="Arial"/>
          <w:spacing w:val="-4"/>
          <w:lang w:val="es-CO"/>
        </w:rPr>
        <w:t>Reconocimiento de los gastos para el fortalecimiento en el acompañamiento de educadores a adolescentes ubicados en algunos Centros de Atención Especializada – Resolución No. 8737 del 26 de octubre de 2015.</w:t>
      </w:r>
      <w:r w:rsidRPr="00BC521A">
        <w:rPr>
          <w:rFonts w:eastAsia="MS PGothic" w:cs="Arial"/>
          <w:spacing w:val="-4"/>
          <w:kern w:val="24"/>
          <w:lang w:val="es-CO" w:eastAsia="es-CO"/>
        </w:rPr>
        <w:t xml:space="preserve"> </w:t>
      </w:r>
      <w:r w:rsidRPr="00BC521A">
        <w:rPr>
          <w:rFonts w:cs="Arial"/>
          <w:spacing w:val="-4"/>
          <w:lang w:val="es-CO"/>
        </w:rPr>
        <w:t>Las madres sustitutas se afiliarán, con su grupo familiar, al Régimen Contributivo del Sistema General de Seguridad Social en Salud (SGSSS), en calidad de trabajadores independientes y se harán acreedoras de todas las prestaciones asistenciales y económicas derivadas del Sistema. – Resolución No. 483 del 19 de febrero de 2016.</w:t>
      </w:r>
    </w:p>
    <w:p w:rsidR="005C173A" w:rsidRPr="00BC521A" w:rsidRDefault="005C173A" w:rsidP="00D20970">
      <w:pPr>
        <w:spacing w:after="0" w:line="240" w:lineRule="auto"/>
        <w:ind w:left="360"/>
        <w:contextualSpacing/>
        <w:jc w:val="both"/>
        <w:rPr>
          <w:rFonts w:cs="Arial"/>
          <w:spacing w:val="-4"/>
          <w:lang w:val="es-CO"/>
        </w:rPr>
      </w:pPr>
    </w:p>
    <w:p w:rsidR="00BC521A" w:rsidRDefault="00BC521A" w:rsidP="00D20970">
      <w:pPr>
        <w:numPr>
          <w:ilvl w:val="0"/>
          <w:numId w:val="87"/>
        </w:numPr>
        <w:spacing w:after="0" w:line="240" w:lineRule="auto"/>
        <w:ind w:left="360"/>
        <w:contextualSpacing/>
        <w:jc w:val="both"/>
        <w:rPr>
          <w:rFonts w:cs="Arial"/>
          <w:spacing w:val="-4"/>
          <w:lang w:val="es-CO"/>
        </w:rPr>
      </w:pPr>
      <w:r w:rsidRPr="00BC521A">
        <w:rPr>
          <w:rFonts w:cs="Arial"/>
          <w:spacing w:val="-4"/>
          <w:lang w:val="es-CO"/>
        </w:rPr>
        <w:t>Focalización de familias de niños, niñas y adolescentes vinculados a los servicios de protección, para ser atendidas en la modalidad de Bienestar de la Dirección de Familia y Comunidades – Resolución No. 2400 del 18 de marzo de 2016.</w:t>
      </w:r>
    </w:p>
    <w:p w:rsidR="005C173A" w:rsidRPr="00BC521A" w:rsidRDefault="005C173A" w:rsidP="00D20970">
      <w:pPr>
        <w:spacing w:after="0" w:line="240" w:lineRule="auto"/>
        <w:contextualSpacing/>
        <w:jc w:val="both"/>
        <w:rPr>
          <w:rFonts w:cs="Arial"/>
          <w:spacing w:val="-4"/>
          <w:lang w:val="es-CO"/>
        </w:rPr>
      </w:pPr>
    </w:p>
    <w:p w:rsidR="00BC521A" w:rsidRDefault="00BC521A" w:rsidP="00D20970">
      <w:pPr>
        <w:numPr>
          <w:ilvl w:val="0"/>
          <w:numId w:val="87"/>
        </w:numPr>
        <w:spacing w:after="0" w:line="240" w:lineRule="auto"/>
        <w:ind w:left="360"/>
        <w:contextualSpacing/>
        <w:jc w:val="both"/>
        <w:rPr>
          <w:rFonts w:cs="Arial"/>
          <w:spacing w:val="-4"/>
          <w:lang w:val="es-CO"/>
        </w:rPr>
      </w:pPr>
      <w:r w:rsidRPr="00BC521A">
        <w:rPr>
          <w:rFonts w:cs="Arial"/>
          <w:spacing w:val="-4"/>
          <w:lang w:val="es-CO"/>
        </w:rPr>
        <w:t>Autorización a Defensores de Familia de ACODEFAM para encuentros académicos un viernes de cada mes – Circular 004 del 18 de abril de 2016.</w:t>
      </w:r>
    </w:p>
    <w:p w:rsidR="005C173A" w:rsidRPr="00BC521A" w:rsidRDefault="005C173A" w:rsidP="00D20970">
      <w:pPr>
        <w:spacing w:after="0" w:line="240" w:lineRule="auto"/>
        <w:contextualSpacing/>
        <w:jc w:val="both"/>
        <w:rPr>
          <w:rFonts w:cs="Arial"/>
          <w:spacing w:val="-4"/>
          <w:lang w:val="es-CO"/>
        </w:rPr>
      </w:pPr>
    </w:p>
    <w:p w:rsidR="00BC521A" w:rsidRDefault="00BC521A" w:rsidP="00D20970">
      <w:pPr>
        <w:numPr>
          <w:ilvl w:val="0"/>
          <w:numId w:val="87"/>
        </w:numPr>
        <w:spacing w:after="0" w:line="240" w:lineRule="auto"/>
        <w:ind w:left="360"/>
        <w:contextualSpacing/>
        <w:jc w:val="both"/>
        <w:rPr>
          <w:rFonts w:cs="Arial"/>
          <w:spacing w:val="-4"/>
          <w:lang w:val="es-CO"/>
        </w:rPr>
      </w:pPr>
      <w:r w:rsidRPr="00BC521A">
        <w:rPr>
          <w:rFonts w:cs="Arial"/>
          <w:spacing w:val="-4"/>
          <w:lang w:val="es-CO"/>
        </w:rPr>
        <w:t>Se adicionaron los parágrafos 4° y 5° al artículo 1 de la Resolución No. 2925 de 2013 “Por la cual se regula la entrega de la beca equivalente al salario mínimo legal mensual vigente a los hogares sustitutos y tutores del ICBF” – Resolución No. 3444 del 21 de abril de 2016.</w:t>
      </w:r>
    </w:p>
    <w:p w:rsidR="005C173A" w:rsidRPr="00BC521A" w:rsidRDefault="005C173A" w:rsidP="00D20970">
      <w:pPr>
        <w:spacing w:after="0" w:line="240" w:lineRule="auto"/>
        <w:contextualSpacing/>
        <w:jc w:val="both"/>
        <w:rPr>
          <w:rFonts w:cs="Arial"/>
          <w:spacing w:val="-4"/>
          <w:lang w:val="es-CO"/>
        </w:rPr>
      </w:pPr>
    </w:p>
    <w:p w:rsidR="00BC521A" w:rsidRPr="005C173A" w:rsidRDefault="00BC521A" w:rsidP="00D20970">
      <w:pPr>
        <w:numPr>
          <w:ilvl w:val="0"/>
          <w:numId w:val="87"/>
        </w:numPr>
        <w:spacing w:after="0" w:line="240" w:lineRule="auto"/>
        <w:ind w:left="360"/>
        <w:contextualSpacing/>
        <w:jc w:val="both"/>
        <w:rPr>
          <w:rFonts w:cs="Arial"/>
          <w:spacing w:val="-4"/>
          <w:lang w:val="es-CO"/>
        </w:rPr>
      </w:pPr>
      <w:r w:rsidRPr="00BC521A">
        <w:rPr>
          <w:rFonts w:cs="Arial"/>
          <w:lang w:val="es-EC"/>
        </w:rPr>
        <w:t xml:space="preserve">Se gestionó la suscripción del Decreto por medio del cual se reglamenta el funcionamiento del Fondo contra la Explotación Sexual de Niños, Niñas y Adolescentes, adscrito al ICBF. Este tiene como objeto proveer rentas destinadas garantizar la financiación de los planes y programas de protección integral, garantía y restablecimiento de los derechos de los niños, </w:t>
      </w:r>
      <w:r w:rsidRPr="00BC521A">
        <w:rPr>
          <w:rFonts w:cs="Arial"/>
          <w:lang w:val="es-EC"/>
        </w:rPr>
        <w:lastRenderedPageBreak/>
        <w:t>niñas y adolescentes víctimas de explotación sexual. El Decreto se encuentra en circulación para la firma</w:t>
      </w:r>
      <w:r w:rsidR="005C173A">
        <w:rPr>
          <w:rFonts w:cs="Arial"/>
          <w:lang w:val="es-EC"/>
        </w:rPr>
        <w:t xml:space="preserve"> de las entidades responsables.</w:t>
      </w:r>
    </w:p>
    <w:p w:rsidR="005C173A" w:rsidRPr="00BC521A" w:rsidRDefault="005C173A" w:rsidP="00D20970">
      <w:pPr>
        <w:spacing w:after="0" w:line="240" w:lineRule="auto"/>
        <w:contextualSpacing/>
        <w:jc w:val="both"/>
        <w:rPr>
          <w:rFonts w:cs="Arial"/>
          <w:spacing w:val="-4"/>
          <w:lang w:val="es-CO"/>
        </w:rPr>
      </w:pPr>
    </w:p>
    <w:p w:rsidR="00BC521A" w:rsidRDefault="00BC521A" w:rsidP="00D20970">
      <w:pPr>
        <w:numPr>
          <w:ilvl w:val="0"/>
          <w:numId w:val="87"/>
        </w:numPr>
        <w:spacing w:after="0" w:line="240" w:lineRule="auto"/>
        <w:ind w:left="360"/>
        <w:jc w:val="both"/>
        <w:rPr>
          <w:rFonts w:cs="Arial"/>
          <w:lang w:val="es-EC"/>
        </w:rPr>
      </w:pPr>
      <w:r w:rsidRPr="00BC521A">
        <w:rPr>
          <w:rFonts w:cs="Arial"/>
          <w:lang w:val="es-EC"/>
        </w:rPr>
        <w:t>Por primera vez se gestiona la creación de una cuenta, en cumplimiento de la Ley 679 y la 1336 de 2009, en la cual son consignados los dineros producto de las multas impuestas por el Ministerio de Telecomunicaciones a los proveedores, administradores y usuarios de redes globales de información, responsables de actos asociados con pornografía infantil. Actualmente se cuenta con una suma cercana a los 40 millones de pesos.</w:t>
      </w:r>
    </w:p>
    <w:p w:rsidR="005C173A" w:rsidRPr="00BC521A" w:rsidRDefault="005C173A" w:rsidP="00D20970">
      <w:pPr>
        <w:spacing w:after="0" w:line="240" w:lineRule="auto"/>
        <w:jc w:val="both"/>
        <w:rPr>
          <w:rFonts w:cs="Arial"/>
          <w:lang w:val="es-EC"/>
        </w:rPr>
      </w:pPr>
    </w:p>
    <w:p w:rsidR="00BC521A" w:rsidRDefault="00BC521A" w:rsidP="00D20970">
      <w:pPr>
        <w:numPr>
          <w:ilvl w:val="0"/>
          <w:numId w:val="87"/>
        </w:numPr>
        <w:spacing w:after="0" w:line="240" w:lineRule="auto"/>
        <w:ind w:left="360"/>
        <w:jc w:val="both"/>
        <w:rPr>
          <w:rFonts w:cs="Arial"/>
          <w:lang w:val="es-EC"/>
        </w:rPr>
      </w:pPr>
      <w:r w:rsidRPr="00BC521A">
        <w:rPr>
          <w:rFonts w:cs="Arial"/>
          <w:lang w:val="es-EC"/>
        </w:rPr>
        <w:t>Por primera vez se gestiona la radicación en la Cámara de Representantes del Proyecto de Ley por el cual se adoptan medidas para la consolidación del proyecto de vida para los niños, niñas y adolescentes que se encuentran en el sistema de protección del ICBF.</w:t>
      </w:r>
    </w:p>
    <w:p w:rsidR="005C173A" w:rsidRPr="00BC521A" w:rsidRDefault="005C173A" w:rsidP="00D20970">
      <w:pPr>
        <w:spacing w:after="0" w:line="240" w:lineRule="auto"/>
        <w:jc w:val="both"/>
        <w:rPr>
          <w:rFonts w:cs="Arial"/>
          <w:lang w:val="es-EC"/>
        </w:rPr>
      </w:pPr>
    </w:p>
    <w:p w:rsidR="00BC521A" w:rsidRPr="00BC521A" w:rsidRDefault="00BC521A" w:rsidP="00D20970">
      <w:pPr>
        <w:numPr>
          <w:ilvl w:val="0"/>
          <w:numId w:val="87"/>
        </w:numPr>
        <w:spacing w:after="0" w:line="240" w:lineRule="auto"/>
        <w:ind w:left="360"/>
        <w:jc w:val="both"/>
        <w:rPr>
          <w:rFonts w:cs="Arial"/>
          <w:lang w:val="es-EC"/>
        </w:rPr>
      </w:pPr>
      <w:r w:rsidRPr="00BC521A">
        <w:rPr>
          <w:rFonts w:cs="Arial"/>
          <w:lang w:val="es-EC"/>
        </w:rPr>
        <w:t>Decreto No.1345 del 19 de agosto de 2016 por el cual se reglamenta el artículo 111 de la ley 1769 de 2015, referente al acceso de las Madres Sustitutas otorgado por la Subcuenta de Subsistencia del Fondo de Solidaridad Pensional.</w:t>
      </w:r>
    </w:p>
    <w:p w:rsidR="00BC521A" w:rsidRPr="00BC521A" w:rsidRDefault="00BC521A" w:rsidP="006C36A2"/>
    <w:p w:rsidR="00BC521A" w:rsidRPr="006C36A2" w:rsidRDefault="00BC521A" w:rsidP="006C36A2">
      <w:pPr>
        <w:ind w:left="708"/>
        <w:jc w:val="both"/>
        <w:rPr>
          <w:rFonts w:eastAsiaTheme="majorEastAsia"/>
          <w:b/>
        </w:rPr>
      </w:pPr>
      <w:bookmarkStart w:id="113" w:name="_Toc470095184"/>
      <w:bookmarkStart w:id="114" w:name="_Toc472519286"/>
      <w:r w:rsidRPr="006C36A2">
        <w:rPr>
          <w:rFonts w:eastAsiaTheme="majorEastAsia"/>
          <w:b/>
        </w:rPr>
        <w:t>Acciones para promover el derecho a la protección de niños, niñas y adolescentes</w:t>
      </w:r>
      <w:bookmarkEnd w:id="113"/>
      <w:bookmarkEnd w:id="114"/>
    </w:p>
    <w:p w:rsidR="00BC521A" w:rsidRPr="00BC521A" w:rsidRDefault="00BC521A" w:rsidP="00BC521A">
      <w:pPr>
        <w:spacing w:after="0" w:line="240" w:lineRule="auto"/>
        <w:jc w:val="both"/>
        <w:rPr>
          <w:rFonts w:cs="Arial"/>
        </w:rPr>
      </w:pPr>
      <w:r w:rsidRPr="00BC521A">
        <w:rPr>
          <w:rFonts w:cs="Arial"/>
        </w:rPr>
        <w:t>Dando cumplimiento al desarrollo de acciones para la restauración de la dignidad e integridad de los derechos de niños, niñas, adolescentes como sujetos de derechos, y de su capacidad para disfrutar efectivamente de los derechos que le han sido vulnerados dentro del contexto de la protección integral, la Dirección de Protección durante la vigencia 2016 ha desarrolló las siguientes acciones:</w:t>
      </w:r>
    </w:p>
    <w:p w:rsidR="00337806" w:rsidRDefault="00337806" w:rsidP="00D00D04">
      <w:pPr>
        <w:ind w:left="708" w:firstLine="708"/>
        <w:rPr>
          <w:rFonts w:eastAsiaTheme="majorEastAsia"/>
          <w:b/>
        </w:rPr>
      </w:pPr>
      <w:bookmarkStart w:id="115" w:name="_Toc472519287"/>
    </w:p>
    <w:p w:rsidR="00BC521A" w:rsidRPr="00C43651" w:rsidRDefault="00BC521A" w:rsidP="00D00D04">
      <w:pPr>
        <w:ind w:left="708" w:firstLine="708"/>
        <w:rPr>
          <w:rFonts w:eastAsiaTheme="majorEastAsia"/>
          <w:b/>
        </w:rPr>
      </w:pPr>
      <w:r w:rsidRPr="00C43651">
        <w:rPr>
          <w:rFonts w:eastAsiaTheme="majorEastAsia"/>
          <w:b/>
        </w:rPr>
        <w:t>Filiación</w:t>
      </w:r>
      <w:bookmarkEnd w:id="115"/>
      <w:r w:rsidRPr="00C43651">
        <w:rPr>
          <w:rFonts w:eastAsiaTheme="majorEastAsia"/>
          <w:b/>
        </w:rPr>
        <w:t xml:space="preserve"> </w:t>
      </w:r>
    </w:p>
    <w:p w:rsidR="00BC521A" w:rsidRPr="00BC521A" w:rsidRDefault="00BC521A" w:rsidP="00BC521A">
      <w:pPr>
        <w:spacing w:after="0" w:line="240" w:lineRule="auto"/>
        <w:jc w:val="both"/>
        <w:rPr>
          <w:rFonts w:cs="Arial"/>
        </w:rPr>
      </w:pPr>
      <w:r w:rsidRPr="00BC521A">
        <w:rPr>
          <w:rFonts w:cs="Arial"/>
        </w:rPr>
        <w:t xml:space="preserve">En este caso, el objetivo es articular acciones que contribuyen a la restitución del derecho a la identidad, en su elemento </w:t>
      </w:r>
      <w:r w:rsidRPr="00BC521A">
        <w:rPr>
          <w:rFonts w:cs="Arial"/>
          <w:b/>
          <w:i/>
        </w:rPr>
        <w:t>filiación</w:t>
      </w:r>
      <w:r w:rsidRPr="00BC521A">
        <w:rPr>
          <w:rFonts w:cs="Arial"/>
        </w:rPr>
        <w:t>, de los niños, las niñas y los adolescentes, al 100% de los grupos familiares citados por las autoridades competentes a la práctica de ADN, dentro de los procesos de investigación de paternidad y maternidad.</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 xml:space="preserve">Las principales acciones para el restablecimiento del derecho a la identidad de los niños, niñas y adolescentes entre el 1 de enero y el 30 de noviembre de 2016 fueron las siguientes: </w:t>
      </w:r>
    </w:p>
    <w:p w:rsidR="00BC521A" w:rsidRPr="00BC521A" w:rsidRDefault="00BC521A" w:rsidP="00BC521A">
      <w:pPr>
        <w:spacing w:after="0" w:line="240" w:lineRule="auto"/>
        <w:jc w:val="both"/>
        <w:rPr>
          <w:rFonts w:cs="Arial"/>
        </w:rPr>
      </w:pPr>
    </w:p>
    <w:p w:rsidR="00BC521A" w:rsidRPr="00337806" w:rsidRDefault="00BC521A" w:rsidP="00D712DC">
      <w:pPr>
        <w:numPr>
          <w:ilvl w:val="0"/>
          <w:numId w:val="55"/>
        </w:numPr>
        <w:spacing w:after="0" w:line="240" w:lineRule="auto"/>
        <w:jc w:val="both"/>
        <w:rPr>
          <w:rFonts w:cs="Arial"/>
          <w:i/>
        </w:rPr>
      </w:pPr>
      <w:r w:rsidRPr="00BC521A">
        <w:rPr>
          <w:rFonts w:cs="Arial"/>
        </w:rPr>
        <w:t>Registro de la atención de 4.492 casos, toma de 13.898 muestras biológicas y emisión de 4.294 dictámenes, logrando la atención del 100% de los grupos familiares que han asistido completos a toma de muestras, a través del Contrato Interadministrativo No. 944/16 A 30 de noviembre.</w:t>
      </w:r>
    </w:p>
    <w:p w:rsidR="00337806" w:rsidRDefault="00337806" w:rsidP="00337806">
      <w:pPr>
        <w:spacing w:after="0" w:line="240" w:lineRule="auto"/>
        <w:jc w:val="both"/>
        <w:rPr>
          <w:rFonts w:cs="Arial"/>
        </w:rPr>
      </w:pPr>
    </w:p>
    <w:p w:rsidR="00337806" w:rsidRPr="00BC521A" w:rsidRDefault="00337806" w:rsidP="00337806">
      <w:pPr>
        <w:spacing w:after="0" w:line="240" w:lineRule="auto"/>
        <w:jc w:val="both"/>
        <w:rPr>
          <w:rFonts w:cs="Arial"/>
          <w:i/>
        </w:rPr>
      </w:pPr>
    </w:p>
    <w:tbl>
      <w:tblPr>
        <w:tblStyle w:val="Listaclara-nfasis3"/>
        <w:tblW w:w="692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30"/>
        <w:gridCol w:w="1343"/>
        <w:gridCol w:w="1325"/>
        <w:gridCol w:w="1829"/>
      </w:tblGrid>
      <w:tr w:rsidR="00BC521A" w:rsidRPr="00BC521A" w:rsidTr="006C57C5">
        <w:trPr>
          <w:cnfStyle w:val="100000000000" w:firstRow="1" w:lastRow="0" w:firstColumn="0" w:lastColumn="0" w:oddVBand="0" w:evenVBand="0" w:oddHBand="0"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FFFFFF" w:themeFill="background1"/>
            <w:vAlign w:val="center"/>
          </w:tcPr>
          <w:p w:rsidR="00BC521A" w:rsidRPr="006C57C5" w:rsidRDefault="00BC521A" w:rsidP="00BC521A">
            <w:pPr>
              <w:spacing w:after="0" w:line="240" w:lineRule="auto"/>
              <w:jc w:val="both"/>
              <w:rPr>
                <w:rFonts w:eastAsia="Times New Roman" w:cs="Arial"/>
                <w:sz w:val="18"/>
                <w:szCs w:val="20"/>
              </w:rPr>
            </w:pPr>
          </w:p>
        </w:tc>
        <w:tc>
          <w:tcPr>
            <w:tcW w:w="1343" w:type="dxa"/>
            <w:shd w:val="clear" w:color="auto" w:fill="76923C" w:themeFill="accent3" w:themeFillShade="BF"/>
            <w:vAlign w:val="center"/>
          </w:tcPr>
          <w:p w:rsidR="00BC521A" w:rsidRPr="006C57C5"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6C57C5">
              <w:rPr>
                <w:rFonts w:eastAsia="Times New Roman" w:cs="Arial"/>
                <w:b w:val="0"/>
                <w:bCs w:val="0"/>
                <w:sz w:val="18"/>
                <w:szCs w:val="20"/>
              </w:rPr>
              <w:t xml:space="preserve">Meta </w:t>
            </w:r>
          </w:p>
          <w:p w:rsidR="00BC521A" w:rsidRPr="006C57C5"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6C57C5">
              <w:rPr>
                <w:rFonts w:eastAsia="Times New Roman" w:cs="Arial"/>
                <w:b w:val="0"/>
                <w:bCs w:val="0"/>
                <w:sz w:val="18"/>
                <w:szCs w:val="20"/>
              </w:rPr>
              <w:t>2016</w:t>
            </w:r>
          </w:p>
        </w:tc>
        <w:tc>
          <w:tcPr>
            <w:tcW w:w="1325" w:type="dxa"/>
            <w:shd w:val="clear" w:color="auto" w:fill="76923C" w:themeFill="accent3" w:themeFillShade="BF"/>
            <w:vAlign w:val="center"/>
          </w:tcPr>
          <w:p w:rsidR="00BC521A" w:rsidRPr="006C57C5"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sidRPr="006C57C5">
              <w:rPr>
                <w:rFonts w:eastAsia="Times New Roman" w:cs="Arial"/>
                <w:b w:val="0"/>
                <w:bCs w:val="0"/>
                <w:sz w:val="18"/>
                <w:szCs w:val="20"/>
              </w:rPr>
              <w:t>Avance 2016</w:t>
            </w:r>
          </w:p>
        </w:tc>
        <w:tc>
          <w:tcPr>
            <w:tcW w:w="1829" w:type="dxa"/>
            <w:shd w:val="clear" w:color="auto" w:fill="76923C" w:themeFill="accent3" w:themeFillShade="BF"/>
            <w:vAlign w:val="center"/>
          </w:tcPr>
          <w:p w:rsidR="00BC521A" w:rsidRPr="006C57C5" w:rsidRDefault="006C57C5"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18"/>
                <w:szCs w:val="20"/>
              </w:rPr>
            </w:pPr>
            <w:r>
              <w:rPr>
                <w:rFonts w:eastAsia="Times New Roman" w:cs="Arial"/>
                <w:b w:val="0"/>
                <w:bCs w:val="0"/>
                <w:sz w:val="18"/>
                <w:szCs w:val="20"/>
              </w:rPr>
              <w:t>% de C</w:t>
            </w:r>
            <w:r w:rsidR="00BC521A" w:rsidRPr="006C57C5">
              <w:rPr>
                <w:rFonts w:eastAsia="Times New Roman" w:cs="Arial"/>
                <w:b w:val="0"/>
                <w:bCs w:val="0"/>
                <w:sz w:val="18"/>
                <w:szCs w:val="20"/>
              </w:rPr>
              <w:t>umplimiento</w:t>
            </w:r>
          </w:p>
        </w:tc>
      </w:tr>
      <w:tr w:rsidR="00BC521A" w:rsidRPr="00BC521A" w:rsidTr="006C57C5">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430" w:type="dxa"/>
            <w:tcBorders>
              <w:top w:val="none" w:sz="0" w:space="0" w:color="auto"/>
              <w:left w:val="none" w:sz="0" w:space="0" w:color="auto"/>
              <w:bottom w:val="none" w:sz="0" w:space="0" w:color="auto"/>
            </w:tcBorders>
            <w:shd w:val="clear" w:color="auto" w:fill="auto"/>
            <w:vAlign w:val="center"/>
          </w:tcPr>
          <w:p w:rsidR="00BC521A" w:rsidRPr="006C57C5" w:rsidRDefault="00BC521A" w:rsidP="00BC521A">
            <w:pPr>
              <w:spacing w:after="0" w:line="240" w:lineRule="auto"/>
              <w:jc w:val="both"/>
              <w:rPr>
                <w:rFonts w:eastAsia="Times New Roman" w:cs="Arial"/>
                <w:color w:val="4F6228" w:themeColor="accent3" w:themeShade="80"/>
                <w:sz w:val="18"/>
                <w:szCs w:val="20"/>
              </w:rPr>
            </w:pPr>
            <w:r w:rsidRPr="006C57C5">
              <w:rPr>
                <w:rFonts w:eastAsia="Times New Roman" w:cs="Arial"/>
                <w:b w:val="0"/>
                <w:bCs w:val="0"/>
                <w:color w:val="4F6228" w:themeColor="accent3" w:themeShade="80"/>
                <w:sz w:val="18"/>
                <w:szCs w:val="20"/>
              </w:rPr>
              <w:t>Inversión (millones de $)</w:t>
            </w:r>
          </w:p>
        </w:tc>
        <w:tc>
          <w:tcPr>
            <w:tcW w:w="1343" w:type="dxa"/>
            <w:tcBorders>
              <w:top w:val="none" w:sz="0" w:space="0" w:color="auto"/>
              <w:bottom w:val="none" w:sz="0" w:space="0" w:color="auto"/>
            </w:tcBorders>
            <w:shd w:val="clear" w:color="auto" w:fill="auto"/>
            <w:vAlign w:val="center"/>
          </w:tcPr>
          <w:p w:rsidR="00BC521A" w:rsidRPr="00BC521A" w:rsidRDefault="00BC521A" w:rsidP="00BC52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$ 3.000</w:t>
            </w:r>
          </w:p>
        </w:tc>
        <w:tc>
          <w:tcPr>
            <w:tcW w:w="1325" w:type="dxa"/>
            <w:tcBorders>
              <w:top w:val="none" w:sz="0" w:space="0" w:color="auto"/>
              <w:bottom w:val="none" w:sz="0" w:space="0" w:color="auto"/>
            </w:tcBorders>
            <w:shd w:val="clear" w:color="auto" w:fill="auto"/>
            <w:vAlign w:val="center"/>
          </w:tcPr>
          <w:p w:rsidR="00BC521A" w:rsidRPr="00BC521A" w:rsidRDefault="00BC521A" w:rsidP="00BC52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$ 3.000</w:t>
            </w:r>
          </w:p>
        </w:tc>
        <w:tc>
          <w:tcPr>
            <w:tcW w:w="1829" w:type="dxa"/>
            <w:tcBorders>
              <w:top w:val="none" w:sz="0" w:space="0" w:color="auto"/>
              <w:bottom w:val="none" w:sz="0" w:space="0" w:color="auto"/>
              <w:right w:val="none" w:sz="0" w:space="0" w:color="auto"/>
            </w:tcBorders>
            <w:shd w:val="clear" w:color="auto" w:fill="auto"/>
            <w:vAlign w:val="center"/>
          </w:tcPr>
          <w:p w:rsidR="00BC521A" w:rsidRPr="00BC521A" w:rsidRDefault="00BC521A" w:rsidP="00BC52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100%</w:t>
            </w:r>
          </w:p>
        </w:tc>
      </w:tr>
      <w:tr w:rsidR="00BC521A" w:rsidRPr="00BC521A" w:rsidTr="006C57C5">
        <w:trPr>
          <w:trHeight w:val="333"/>
          <w:jc w:val="center"/>
        </w:trPr>
        <w:tc>
          <w:tcPr>
            <w:cnfStyle w:val="001000000000" w:firstRow="0" w:lastRow="0" w:firstColumn="1" w:lastColumn="0" w:oddVBand="0" w:evenVBand="0" w:oddHBand="0" w:evenHBand="0" w:firstRowFirstColumn="0" w:firstRowLastColumn="0" w:lastRowFirstColumn="0" w:lastRowLastColumn="0"/>
            <w:tcW w:w="2430" w:type="dxa"/>
            <w:shd w:val="clear" w:color="auto" w:fill="auto"/>
            <w:vAlign w:val="center"/>
          </w:tcPr>
          <w:p w:rsidR="00BC521A" w:rsidRPr="006C57C5" w:rsidRDefault="00BC521A" w:rsidP="00BC521A">
            <w:pPr>
              <w:spacing w:after="0" w:line="240" w:lineRule="auto"/>
              <w:jc w:val="both"/>
              <w:rPr>
                <w:rFonts w:eastAsia="Times New Roman" w:cs="Arial"/>
                <w:color w:val="4F6228" w:themeColor="accent3" w:themeShade="80"/>
                <w:sz w:val="18"/>
                <w:szCs w:val="20"/>
              </w:rPr>
            </w:pPr>
            <w:r w:rsidRPr="006C57C5">
              <w:rPr>
                <w:rFonts w:eastAsia="Times New Roman" w:cs="Arial"/>
                <w:b w:val="0"/>
                <w:bCs w:val="0"/>
                <w:color w:val="4F6228" w:themeColor="accent3" w:themeShade="80"/>
                <w:sz w:val="18"/>
                <w:szCs w:val="20"/>
              </w:rPr>
              <w:lastRenderedPageBreak/>
              <w:t>Días de atención</w:t>
            </w:r>
          </w:p>
        </w:tc>
        <w:tc>
          <w:tcPr>
            <w:tcW w:w="1343" w:type="dxa"/>
            <w:shd w:val="clear" w:color="auto" w:fill="auto"/>
            <w:vAlign w:val="center"/>
          </w:tcPr>
          <w:p w:rsidR="00BC521A" w:rsidRPr="00BC521A" w:rsidRDefault="00BC521A" w:rsidP="00BC52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360</w:t>
            </w:r>
          </w:p>
        </w:tc>
        <w:tc>
          <w:tcPr>
            <w:tcW w:w="1325" w:type="dxa"/>
            <w:shd w:val="clear" w:color="auto" w:fill="auto"/>
            <w:vAlign w:val="center"/>
          </w:tcPr>
          <w:p w:rsidR="00BC521A" w:rsidRPr="00BC521A" w:rsidRDefault="00BC521A" w:rsidP="00BC52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360</w:t>
            </w:r>
          </w:p>
        </w:tc>
        <w:tc>
          <w:tcPr>
            <w:tcW w:w="1829" w:type="dxa"/>
            <w:shd w:val="clear" w:color="auto" w:fill="auto"/>
            <w:vAlign w:val="center"/>
          </w:tcPr>
          <w:p w:rsidR="00BC521A" w:rsidRPr="00BC521A" w:rsidRDefault="00BC521A" w:rsidP="00BC52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bCs/>
                <w:sz w:val="18"/>
                <w:szCs w:val="20"/>
              </w:rPr>
            </w:pPr>
            <w:r w:rsidRPr="00BC521A">
              <w:rPr>
                <w:rFonts w:eastAsia="Times New Roman" w:cs="Arial"/>
                <w:bCs/>
                <w:sz w:val="18"/>
                <w:szCs w:val="20"/>
              </w:rPr>
              <w:t>100%</w:t>
            </w:r>
          </w:p>
        </w:tc>
      </w:tr>
    </w:tbl>
    <w:p w:rsidR="00BC521A" w:rsidRDefault="00BC521A" w:rsidP="00BC521A">
      <w:pPr>
        <w:spacing w:after="0" w:line="240" w:lineRule="auto"/>
        <w:ind w:left="1418"/>
        <w:jc w:val="both"/>
        <w:rPr>
          <w:rFonts w:cs="Arial"/>
          <w:sz w:val="16"/>
        </w:rPr>
      </w:pPr>
      <w:r w:rsidRPr="006C57C5">
        <w:rPr>
          <w:rFonts w:cs="Arial"/>
          <w:b/>
          <w:sz w:val="16"/>
        </w:rPr>
        <w:t>Fuente:</w:t>
      </w:r>
      <w:r w:rsidRPr="00BC521A">
        <w:rPr>
          <w:rFonts w:cs="Arial"/>
          <w:sz w:val="16"/>
        </w:rPr>
        <w:t xml:space="preserve"> SIIF NACION II – Corte diciembre 16 de 2016</w:t>
      </w:r>
    </w:p>
    <w:p w:rsidR="00337806" w:rsidRPr="00D21160" w:rsidRDefault="00337806" w:rsidP="00337806">
      <w:pPr>
        <w:ind w:left="710" w:firstLine="708"/>
        <w:rPr>
          <w:rFonts w:ascii="Calibri" w:hAnsi="Calibri"/>
          <w:i/>
          <w:iCs/>
          <w:sz w:val="16"/>
          <w:lang w:val="es-CO"/>
        </w:rPr>
      </w:pPr>
      <w:r w:rsidRPr="00D21160">
        <w:rPr>
          <w:i/>
          <w:iCs/>
          <w:sz w:val="16"/>
        </w:rPr>
        <w:t>Nota: Información preliminar, sujeta a actualización del cierre oficial de metas sociales y financieras.</w:t>
      </w:r>
    </w:p>
    <w:p w:rsidR="00337806" w:rsidRPr="00D21160" w:rsidRDefault="00337806" w:rsidP="00337806">
      <w:pPr>
        <w:spacing w:after="0" w:line="240" w:lineRule="auto"/>
        <w:jc w:val="both"/>
        <w:rPr>
          <w:rFonts w:cs="Arial"/>
          <w:sz w:val="16"/>
          <w:lang w:val="es-CO" w:eastAsia="es-ES"/>
        </w:rPr>
      </w:pPr>
    </w:p>
    <w:p w:rsidR="00BC521A" w:rsidRDefault="00BC521A" w:rsidP="00D712DC">
      <w:pPr>
        <w:pStyle w:val="Prrafodelista"/>
        <w:numPr>
          <w:ilvl w:val="0"/>
          <w:numId w:val="55"/>
        </w:numPr>
        <w:spacing w:after="0" w:line="240" w:lineRule="auto"/>
        <w:jc w:val="both"/>
        <w:rPr>
          <w:rFonts w:cs="Arial"/>
        </w:rPr>
      </w:pPr>
      <w:r w:rsidRPr="00516340">
        <w:rPr>
          <w:rFonts w:cs="Arial"/>
        </w:rPr>
        <w:t>En coordinación con la Registraduría Nacional del Estado Civil y la Superintendencia de Notariado y Registro, en el primer trimestre se logró la implementación del nuevo sistema de información denominado “Actas Complementarias”, para el reporte mensual en línea por parte de las oficinas encargadas de registro civil en Colombia, sobre la información de niños niñas y adolescente NO reconocidos y los reconocidos, posteriormente; con lo cual se minimiza el uso del papel (Acogiendo la Directiva Presidencial 04 de 2012), se hace más eficiente el proceso por la calidad de la información y se armoniza el quehacer organizacional con las políticas de Gobierno En Línea.</w:t>
      </w:r>
    </w:p>
    <w:p w:rsidR="006C57C5" w:rsidRPr="00516340" w:rsidRDefault="006C57C5" w:rsidP="006C57C5">
      <w:pPr>
        <w:pStyle w:val="Prrafodelista"/>
        <w:spacing w:after="0" w:line="240" w:lineRule="auto"/>
        <w:ind w:left="360"/>
        <w:jc w:val="both"/>
        <w:rPr>
          <w:rFonts w:cs="Arial"/>
        </w:rPr>
      </w:pPr>
    </w:p>
    <w:p w:rsidR="00BC521A" w:rsidRDefault="00BC521A" w:rsidP="00D712DC">
      <w:pPr>
        <w:numPr>
          <w:ilvl w:val="0"/>
          <w:numId w:val="6"/>
        </w:numPr>
        <w:spacing w:after="0" w:line="240" w:lineRule="auto"/>
        <w:contextualSpacing/>
        <w:jc w:val="both"/>
        <w:rPr>
          <w:rFonts w:cs="Arial"/>
        </w:rPr>
      </w:pPr>
      <w:r w:rsidRPr="00BC521A">
        <w:rPr>
          <w:rFonts w:cs="Arial"/>
        </w:rPr>
        <w:t xml:space="preserve">Reporte en el sistema de información de Actas Complementarias de </w:t>
      </w:r>
      <w:r w:rsidRPr="00BC521A">
        <w:rPr>
          <w:rFonts w:cs="Arial"/>
          <w:b/>
        </w:rPr>
        <w:t xml:space="preserve">528.340 </w:t>
      </w:r>
      <w:r w:rsidRPr="00BC521A">
        <w:rPr>
          <w:rFonts w:cs="Arial"/>
        </w:rPr>
        <w:t xml:space="preserve">niños, niñas y adolescentes inscritos por primera vez en el registro civil, de los cuales </w:t>
      </w:r>
      <w:r w:rsidRPr="00BC521A">
        <w:rPr>
          <w:rFonts w:cs="Arial"/>
          <w:b/>
        </w:rPr>
        <w:t>55.626</w:t>
      </w:r>
      <w:r w:rsidRPr="00BC521A">
        <w:rPr>
          <w:rFonts w:cs="Arial"/>
          <w:b/>
          <w:bCs/>
          <w:lang w:eastAsia="es-CO"/>
        </w:rPr>
        <w:t xml:space="preserve"> </w:t>
      </w:r>
      <w:r w:rsidRPr="00BC521A">
        <w:rPr>
          <w:rFonts w:cs="Arial"/>
        </w:rPr>
        <w:t xml:space="preserve">NO fueron reconocidos por su padre o presunto padre. Así mismo se encuentra que </w:t>
      </w:r>
      <w:r w:rsidRPr="00BC521A">
        <w:rPr>
          <w:rFonts w:cs="Arial"/>
          <w:b/>
        </w:rPr>
        <w:t xml:space="preserve">23.868 </w:t>
      </w:r>
      <w:r w:rsidRPr="00BC521A">
        <w:rPr>
          <w:rFonts w:cs="Arial"/>
        </w:rPr>
        <w:t>fueron reconocidos en fecha posterior a su registro (incluye niños registrados en años anteriores).</w:t>
      </w:r>
    </w:p>
    <w:p w:rsidR="002311A3" w:rsidRPr="00BC521A" w:rsidRDefault="002311A3" w:rsidP="002311A3">
      <w:pPr>
        <w:spacing w:after="0" w:line="240" w:lineRule="auto"/>
        <w:ind w:left="360"/>
        <w:contextualSpacing/>
        <w:jc w:val="both"/>
        <w:rPr>
          <w:rFonts w:cs="Arial"/>
        </w:rPr>
      </w:pPr>
    </w:p>
    <w:p w:rsidR="00BC521A" w:rsidRDefault="00BC521A" w:rsidP="00D712DC">
      <w:pPr>
        <w:numPr>
          <w:ilvl w:val="0"/>
          <w:numId w:val="56"/>
        </w:numPr>
        <w:spacing w:after="0" w:line="240" w:lineRule="auto"/>
        <w:jc w:val="both"/>
        <w:rPr>
          <w:rFonts w:cs="Arial"/>
        </w:rPr>
      </w:pPr>
      <w:r w:rsidRPr="00BC521A">
        <w:rPr>
          <w:rFonts w:cs="Arial"/>
        </w:rPr>
        <w:t>Se crearon 875 usuarios en el sistema de información de Actas Complementarias para el registro mensual de información por parte de las notarías a nivel nacional.</w:t>
      </w:r>
    </w:p>
    <w:p w:rsidR="002311A3" w:rsidRPr="00BC521A" w:rsidRDefault="002311A3" w:rsidP="002311A3">
      <w:pPr>
        <w:spacing w:after="0" w:line="240" w:lineRule="auto"/>
        <w:ind w:left="360"/>
        <w:jc w:val="both"/>
        <w:rPr>
          <w:rFonts w:cs="Arial"/>
        </w:rPr>
      </w:pPr>
    </w:p>
    <w:p w:rsidR="002311A3" w:rsidRPr="002311A3" w:rsidRDefault="00BC521A" w:rsidP="00D712DC">
      <w:pPr>
        <w:numPr>
          <w:ilvl w:val="0"/>
          <w:numId w:val="53"/>
        </w:numPr>
        <w:spacing w:after="0" w:line="240" w:lineRule="auto"/>
        <w:jc w:val="both"/>
        <w:rPr>
          <w:rFonts w:cs="Arial"/>
          <w:u w:val="single"/>
        </w:rPr>
      </w:pPr>
      <w:r w:rsidRPr="00BC521A">
        <w:rPr>
          <w:rFonts w:cs="Arial"/>
        </w:rPr>
        <w:t>Con lo anterior se logró la verificación del restablecimiento del derecho a la identidad en su elemento Filiación, vulnerado a los niños, niñas y adolescentes involucrados, a un total de</w:t>
      </w:r>
      <w:r w:rsidRPr="00BC521A">
        <w:rPr>
          <w:rFonts w:cs="Arial"/>
          <w:b/>
        </w:rPr>
        <w:t xml:space="preserve"> 4.895 casos</w:t>
      </w:r>
      <w:r w:rsidRPr="00BC521A">
        <w:rPr>
          <w:rFonts w:cs="Arial"/>
        </w:rPr>
        <w:t>, en los cuales</w:t>
      </w:r>
      <w:r w:rsidRPr="00BC521A">
        <w:rPr>
          <w:rFonts w:cs="Arial"/>
          <w:b/>
        </w:rPr>
        <w:t xml:space="preserve"> </w:t>
      </w:r>
      <w:r w:rsidRPr="00BC521A">
        <w:rPr>
          <w:rFonts w:cs="Arial"/>
        </w:rPr>
        <w:t xml:space="preserve">se actualizó la información pasando a estado de “solicitud resuelta”, y en </w:t>
      </w:r>
      <w:r w:rsidRPr="00BC521A">
        <w:rPr>
          <w:rFonts w:cs="Arial"/>
          <w:b/>
        </w:rPr>
        <w:t>2.238 casos</w:t>
      </w:r>
      <w:r w:rsidRPr="00BC521A">
        <w:rPr>
          <w:rFonts w:cs="Arial"/>
        </w:rPr>
        <w:t xml:space="preserve"> oficiados a las autoridades a fin de que informen el estado actual de los procesos en los que no se pudo establecer el restablecimiento del derecho vulnerado.</w:t>
      </w:r>
    </w:p>
    <w:p w:rsidR="00BC521A" w:rsidRPr="00BC521A" w:rsidRDefault="00BC521A" w:rsidP="002311A3">
      <w:pPr>
        <w:spacing w:after="0" w:line="240" w:lineRule="auto"/>
        <w:ind w:left="360"/>
        <w:jc w:val="both"/>
        <w:rPr>
          <w:rFonts w:cs="Arial"/>
          <w:u w:val="single"/>
        </w:rPr>
      </w:pPr>
      <w:r w:rsidRPr="00BC521A">
        <w:rPr>
          <w:rFonts w:cs="Arial"/>
        </w:rPr>
        <w:t xml:space="preserve"> </w:t>
      </w:r>
    </w:p>
    <w:p w:rsidR="00BC521A" w:rsidRPr="002311A3" w:rsidRDefault="00BC521A" w:rsidP="00D712DC">
      <w:pPr>
        <w:numPr>
          <w:ilvl w:val="0"/>
          <w:numId w:val="54"/>
        </w:numPr>
        <w:spacing w:after="0" w:line="240" w:lineRule="auto"/>
        <w:jc w:val="both"/>
        <w:rPr>
          <w:rFonts w:cs="Arial"/>
        </w:rPr>
      </w:pPr>
      <w:r w:rsidRPr="00BC521A">
        <w:rPr>
          <w:rFonts w:cs="Arial"/>
        </w:rPr>
        <w:t xml:space="preserve">Se realizaron las reuniones No. 69 y 70 de la </w:t>
      </w:r>
      <w:r w:rsidRPr="00BC521A">
        <w:rPr>
          <w:rFonts w:eastAsiaTheme="majorEastAsia" w:cs="Arial"/>
          <w:lang w:val="es-CO"/>
        </w:rPr>
        <w:t>Comisión de Acreditación y Vigilancia de los laboratorios que practican pruebas de paternidad y maternidad con marcadores de ADN.</w:t>
      </w:r>
    </w:p>
    <w:p w:rsidR="002311A3" w:rsidRPr="00BC521A" w:rsidRDefault="002311A3" w:rsidP="002311A3">
      <w:pPr>
        <w:spacing w:after="0" w:line="240" w:lineRule="auto"/>
        <w:ind w:left="360"/>
        <w:jc w:val="both"/>
        <w:rPr>
          <w:rFonts w:cs="Arial"/>
        </w:rPr>
      </w:pPr>
    </w:p>
    <w:p w:rsidR="00BC521A" w:rsidRPr="00BC521A" w:rsidRDefault="00BC521A" w:rsidP="00BC521A">
      <w:pPr>
        <w:spacing w:after="0" w:line="240" w:lineRule="auto"/>
        <w:jc w:val="both"/>
        <w:rPr>
          <w:rFonts w:cs="Arial"/>
        </w:rPr>
      </w:pPr>
    </w:p>
    <w:p w:rsidR="00BC521A" w:rsidRPr="00D00D04" w:rsidRDefault="00BC521A" w:rsidP="00D00D04">
      <w:pPr>
        <w:ind w:left="708"/>
        <w:jc w:val="both"/>
        <w:rPr>
          <w:b/>
        </w:rPr>
      </w:pPr>
      <w:bookmarkStart w:id="116" w:name="_Toc472519288"/>
      <w:r w:rsidRPr="00D00D04">
        <w:rPr>
          <w:b/>
        </w:rPr>
        <w:t>Restablecimiento de derechos de niños, niñas y adolescentes víctimas de violencia</w:t>
      </w:r>
      <w:bookmarkEnd w:id="116"/>
    </w:p>
    <w:p w:rsidR="00BC521A" w:rsidRDefault="00BC521A" w:rsidP="00BC521A">
      <w:pPr>
        <w:spacing w:after="0" w:line="240" w:lineRule="auto"/>
        <w:jc w:val="both"/>
        <w:rPr>
          <w:rFonts w:cs="Arial"/>
        </w:rPr>
      </w:pPr>
      <w:r w:rsidRPr="00BC521A">
        <w:rPr>
          <w:rFonts w:cs="Arial"/>
        </w:rPr>
        <w:t>Frente al restablecimiento de derechos de niños, niñas y adolescentes víctimas de violencia las principales acciones realizadas durante 2016 fueron:</w:t>
      </w:r>
    </w:p>
    <w:p w:rsidR="002311A3" w:rsidRDefault="002311A3" w:rsidP="00BC521A">
      <w:pPr>
        <w:spacing w:after="0" w:line="240" w:lineRule="auto"/>
        <w:jc w:val="both"/>
        <w:rPr>
          <w:rFonts w:cs="Arial"/>
        </w:rPr>
      </w:pPr>
    </w:p>
    <w:p w:rsidR="00BC521A" w:rsidRDefault="00BC521A" w:rsidP="00D712DC">
      <w:pPr>
        <w:numPr>
          <w:ilvl w:val="0"/>
          <w:numId w:val="59"/>
        </w:numPr>
        <w:spacing w:after="0" w:line="240" w:lineRule="auto"/>
        <w:contextualSpacing/>
        <w:jc w:val="both"/>
        <w:rPr>
          <w:rFonts w:cs="Arial"/>
        </w:rPr>
      </w:pPr>
      <w:r w:rsidRPr="00BC521A">
        <w:rPr>
          <w:rFonts w:cs="Arial"/>
        </w:rPr>
        <w:t>Elaboración de documento preliminar del Lineamiento para la atención de niños, niñas y adolescentes con sus derechos, inobservados, amenazados y vulnerados por causa de la violencia, el cual permite una comprensión más amplia y operacional del concepto de maltrato infantil.</w:t>
      </w:r>
    </w:p>
    <w:p w:rsidR="002311A3" w:rsidRPr="00BC521A" w:rsidRDefault="002311A3" w:rsidP="002311A3">
      <w:pPr>
        <w:spacing w:after="0" w:line="240" w:lineRule="auto"/>
        <w:ind w:left="360"/>
        <w:contextualSpacing/>
        <w:jc w:val="both"/>
        <w:rPr>
          <w:rFonts w:cs="Arial"/>
        </w:rPr>
      </w:pPr>
    </w:p>
    <w:p w:rsidR="00BC521A" w:rsidRDefault="00BC521A" w:rsidP="00D712DC">
      <w:pPr>
        <w:numPr>
          <w:ilvl w:val="0"/>
          <w:numId w:val="57"/>
        </w:numPr>
        <w:spacing w:after="0" w:line="240" w:lineRule="auto"/>
        <w:contextualSpacing/>
        <w:jc w:val="both"/>
        <w:rPr>
          <w:rFonts w:cs="Arial"/>
        </w:rPr>
      </w:pPr>
      <w:r w:rsidRPr="00BC521A">
        <w:rPr>
          <w:rFonts w:cs="Arial"/>
        </w:rPr>
        <w:t>Atendiendo la recomendación del Comité de Derechos de los niños, sobre la abolición del castigo corporal se adelantaron reuniones con las distintas áreas misionales y la oficina de Asesoría Jurídica con el objeto de proponer un proyecto de ley orientado a la prohibición del Castigo Corporal y acciones pedagógicas orientadas a fortalecer la crianza y cuidado brindado por las familias libres de cualquier tipo de violencia.</w:t>
      </w:r>
    </w:p>
    <w:p w:rsidR="00BC521A" w:rsidRPr="00BC521A" w:rsidRDefault="00BC521A" w:rsidP="00D712DC">
      <w:pPr>
        <w:numPr>
          <w:ilvl w:val="0"/>
          <w:numId w:val="58"/>
        </w:numPr>
        <w:spacing w:after="0" w:line="240" w:lineRule="auto"/>
        <w:ind w:left="360"/>
        <w:contextualSpacing/>
        <w:jc w:val="both"/>
        <w:rPr>
          <w:rFonts w:cs="Arial"/>
        </w:rPr>
      </w:pPr>
      <w:r w:rsidRPr="00BC521A">
        <w:rPr>
          <w:rFonts w:cs="Arial"/>
        </w:rPr>
        <w:lastRenderedPageBreak/>
        <w:t xml:space="preserve">En concordancia con la Directiva de capacitación 2016 dirigida a las Fuerzas Militares y a la Policía Nacional y conforme a las funciones establecidas en el Decreto 987 de 2012 y la Resolución 60 de 2013 del ICBF, se realizaron 5 capacitaciones en Derechos de Infancia y Adolescencia y violencia contra niños, niñas y adolescentes a 300 personas miembros de las fuerzas militares y de Policía, en el marco de un proceso de formación en Derechos Humanos realizado desde el Ministerio de Defensa en las ciudades de Cúcuta, Leticia, Tumaco, Pasto y Carepa. </w:t>
      </w:r>
    </w:p>
    <w:p w:rsidR="00BC521A" w:rsidRPr="00BC521A" w:rsidRDefault="00BC521A" w:rsidP="00D00D04"/>
    <w:p w:rsidR="00BC521A" w:rsidRPr="00D00D04" w:rsidRDefault="00BC521A" w:rsidP="00D00D04">
      <w:pPr>
        <w:ind w:left="708"/>
        <w:jc w:val="both"/>
        <w:rPr>
          <w:rFonts w:eastAsiaTheme="majorEastAsia"/>
          <w:b/>
        </w:rPr>
      </w:pPr>
      <w:bookmarkStart w:id="117" w:name="_Toc472519289"/>
      <w:r w:rsidRPr="00D00D04">
        <w:rPr>
          <w:rFonts w:eastAsiaTheme="majorEastAsia"/>
          <w:b/>
        </w:rPr>
        <w:t>Restablecimiento de derechos de niños, niñas y adolescentes víctimas de violencia sexual</w:t>
      </w:r>
      <w:bookmarkEnd w:id="117"/>
    </w:p>
    <w:p w:rsidR="00872A46" w:rsidRDefault="00BC521A" w:rsidP="00BC521A">
      <w:pPr>
        <w:spacing w:after="0" w:line="240" w:lineRule="auto"/>
        <w:contextualSpacing/>
        <w:jc w:val="both"/>
        <w:rPr>
          <w:rFonts w:cs="Arial"/>
          <w:kern w:val="24"/>
        </w:rPr>
      </w:pPr>
      <w:r w:rsidRPr="00BC521A">
        <w:rPr>
          <w:rFonts w:cs="Arial"/>
        </w:rPr>
        <w:t>Durante la vigencia 2016 se ejecutaron 706 cupos</w:t>
      </w:r>
      <w:r w:rsidRPr="00BC521A">
        <w:rPr>
          <w:rFonts w:cs="Arial"/>
          <w:vertAlign w:val="superscript"/>
        </w:rPr>
        <w:footnoteReference w:id="22"/>
      </w:r>
      <w:r w:rsidRPr="00BC521A">
        <w:rPr>
          <w:rFonts w:cs="Arial"/>
        </w:rPr>
        <w:t xml:space="preserve"> para la atención a niños, niñas y adolescentes víctimas de violencia sexual, los cuales son atendidos a través de las </w:t>
      </w:r>
      <w:r w:rsidRPr="00BC521A">
        <w:rPr>
          <w:rFonts w:cs="Arial"/>
          <w:lang w:eastAsia="es-ES"/>
        </w:rPr>
        <w:t>Modalidades de Apoyo y fortalecimiento a la familia (</w:t>
      </w:r>
      <w:r w:rsidRPr="00BC521A">
        <w:rPr>
          <w:rFonts w:cs="Arial"/>
          <w:kern w:val="24"/>
        </w:rPr>
        <w:t>Intervención de apoyo – Violencia Sexual, Intervención de apoyo psicológico especializado</w:t>
      </w:r>
      <w:r w:rsidRPr="00BC521A">
        <w:rPr>
          <w:rFonts w:cs="Arial"/>
          <w:kern w:val="24"/>
          <w:vertAlign w:val="superscript"/>
        </w:rPr>
        <w:footnoteReference w:id="23"/>
      </w:r>
      <w:r w:rsidRPr="00BC521A">
        <w:rPr>
          <w:rFonts w:cs="Arial"/>
          <w:kern w:val="24"/>
        </w:rPr>
        <w:t xml:space="preserve"> – víctimas de violencia sexual dentro y fuera del conflicto armado, Externado media jornada – Violencia Sexual, Hogar Gestor- para víctimas de violencia sexual en el marco del conflicto armado) y las  </w:t>
      </w:r>
      <w:r w:rsidRPr="00BC521A">
        <w:rPr>
          <w:rFonts w:cs="Arial"/>
        </w:rPr>
        <w:t>Modalidades de atención en medio diferente a la familia o red vincular (</w:t>
      </w:r>
      <w:r w:rsidRPr="00BC521A">
        <w:rPr>
          <w:rFonts w:cs="Arial"/>
          <w:kern w:val="24"/>
        </w:rPr>
        <w:t>Internado – Violencia Sexual y Hogar Sustituto – Vulneración).</w:t>
      </w:r>
    </w:p>
    <w:p w:rsidR="007E1A7A" w:rsidRPr="00BC521A" w:rsidRDefault="00BC521A" w:rsidP="00BC521A">
      <w:pPr>
        <w:spacing w:after="0" w:line="240" w:lineRule="auto"/>
        <w:contextualSpacing/>
        <w:jc w:val="both"/>
        <w:rPr>
          <w:rFonts w:cs="Arial"/>
          <w:kern w:val="24"/>
        </w:rPr>
      </w:pPr>
      <w:r w:rsidRPr="00BC521A">
        <w:rPr>
          <w:rFonts w:cs="Arial"/>
          <w:kern w:val="24"/>
        </w:rPr>
        <w:t xml:space="preserve"> </w:t>
      </w:r>
    </w:p>
    <w:tbl>
      <w:tblPr>
        <w:tblW w:w="9205"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06"/>
        <w:gridCol w:w="951"/>
        <w:gridCol w:w="1125"/>
        <w:gridCol w:w="1073"/>
        <w:gridCol w:w="1241"/>
        <w:gridCol w:w="1509"/>
      </w:tblGrid>
      <w:tr w:rsidR="00BC521A" w:rsidRPr="002311A3" w:rsidTr="00D00D04">
        <w:trPr>
          <w:trHeight w:val="519"/>
          <w:tblHeader/>
          <w:jc w:val="center"/>
        </w:trPr>
        <w:tc>
          <w:tcPr>
            <w:tcW w:w="3306"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NOMBRE</w:t>
            </w:r>
          </w:p>
        </w:tc>
        <w:tc>
          <w:tcPr>
            <w:tcW w:w="951"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Unidades</w:t>
            </w:r>
          </w:p>
        </w:tc>
        <w:tc>
          <w:tcPr>
            <w:tcW w:w="1125"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Cupos</w:t>
            </w:r>
          </w:p>
        </w:tc>
        <w:tc>
          <w:tcPr>
            <w:tcW w:w="1073"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Usuarios</w:t>
            </w:r>
          </w:p>
        </w:tc>
        <w:tc>
          <w:tcPr>
            <w:tcW w:w="1241"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Usuarios</w:t>
            </w:r>
            <w:r w:rsidRPr="002311A3">
              <w:rPr>
                <w:rFonts w:eastAsia="Times New Roman" w:cs="Arial"/>
                <w:b/>
                <w:bCs/>
                <w:color w:val="FFFFFF" w:themeColor="background1"/>
                <w:sz w:val="18"/>
                <w:szCs w:val="18"/>
                <w:lang w:val="es-CO" w:eastAsia="es-CO"/>
              </w:rPr>
              <w:br/>
              <w:t>Desplazados</w:t>
            </w:r>
          </w:p>
        </w:tc>
        <w:tc>
          <w:tcPr>
            <w:tcW w:w="1509" w:type="dxa"/>
            <w:shd w:val="clear" w:color="auto" w:fill="76923C" w:themeFill="accent3" w:themeFillShade="BF"/>
            <w:vAlign w:val="center"/>
            <w:hideMark/>
          </w:tcPr>
          <w:p w:rsidR="00BC521A" w:rsidRPr="002311A3" w:rsidRDefault="00BC521A" w:rsidP="00BC521A">
            <w:pPr>
              <w:spacing w:after="0" w:line="240" w:lineRule="auto"/>
              <w:jc w:val="center"/>
              <w:rPr>
                <w:rFonts w:eastAsia="Times New Roman" w:cs="Arial"/>
                <w:b/>
                <w:bCs/>
                <w:color w:val="FFFFFF" w:themeColor="background1"/>
                <w:sz w:val="18"/>
                <w:szCs w:val="18"/>
                <w:lang w:val="es-CO" w:eastAsia="es-CO"/>
              </w:rPr>
            </w:pPr>
            <w:r w:rsidRPr="002311A3">
              <w:rPr>
                <w:rFonts w:eastAsia="Times New Roman" w:cs="Arial"/>
                <w:b/>
                <w:bCs/>
                <w:color w:val="FFFFFF" w:themeColor="background1"/>
                <w:sz w:val="18"/>
                <w:szCs w:val="18"/>
                <w:lang w:val="es-CO" w:eastAsia="es-CO"/>
              </w:rPr>
              <w:t>Obligación</w:t>
            </w:r>
            <w:r w:rsidRPr="002311A3">
              <w:rPr>
                <w:rFonts w:eastAsia="Times New Roman" w:cs="Arial"/>
                <w:b/>
                <w:bCs/>
                <w:color w:val="FFFFFF" w:themeColor="background1"/>
                <w:sz w:val="18"/>
                <w:szCs w:val="18"/>
                <w:lang w:val="es-CO" w:eastAsia="es-CO"/>
              </w:rPr>
              <w:br/>
              <w:t>SIM</w:t>
            </w:r>
          </w:p>
        </w:tc>
      </w:tr>
      <w:tr w:rsidR="00BC521A" w:rsidRPr="002311A3" w:rsidTr="002311A3">
        <w:trPr>
          <w:trHeight w:val="519"/>
          <w:jc w:val="center"/>
        </w:trPr>
        <w:tc>
          <w:tcPr>
            <w:tcW w:w="3306" w:type="dxa"/>
            <w:shd w:val="clear" w:color="auto" w:fill="auto"/>
            <w:vAlign w:val="center"/>
            <w:hideMark/>
          </w:tcPr>
          <w:p w:rsidR="00BC521A" w:rsidRPr="002311A3" w:rsidRDefault="002311A3" w:rsidP="00BC521A">
            <w:pPr>
              <w:spacing w:after="0" w:line="240" w:lineRule="auto"/>
              <w:rPr>
                <w:rFonts w:eastAsia="Times New Roman" w:cs="Arial"/>
                <w:color w:val="000000"/>
                <w:sz w:val="18"/>
                <w:szCs w:val="18"/>
                <w:lang w:val="es-CO" w:eastAsia="es-CO"/>
              </w:rPr>
            </w:pPr>
            <w:r w:rsidRPr="002311A3">
              <w:rPr>
                <w:rFonts w:eastAsia="Times New Roman" w:cs="Arial"/>
                <w:color w:val="000000"/>
                <w:sz w:val="18"/>
                <w:szCs w:val="18"/>
                <w:lang w:val="es-CO" w:eastAsia="es-CO"/>
              </w:rPr>
              <w:t>Intervención De Apoyo - Violencia Sexual</w:t>
            </w:r>
          </w:p>
        </w:tc>
        <w:tc>
          <w:tcPr>
            <w:tcW w:w="951"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125"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413</w:t>
            </w:r>
          </w:p>
        </w:tc>
        <w:tc>
          <w:tcPr>
            <w:tcW w:w="1073"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767</w:t>
            </w:r>
          </w:p>
        </w:tc>
        <w:tc>
          <w:tcPr>
            <w:tcW w:w="1241"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3</w:t>
            </w:r>
          </w:p>
        </w:tc>
        <w:tc>
          <w:tcPr>
            <w:tcW w:w="1509"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897.870.961</w:t>
            </w:r>
          </w:p>
        </w:tc>
      </w:tr>
      <w:tr w:rsidR="00BC521A" w:rsidRPr="002311A3" w:rsidTr="002311A3">
        <w:trPr>
          <w:trHeight w:val="1024"/>
          <w:jc w:val="center"/>
        </w:trPr>
        <w:tc>
          <w:tcPr>
            <w:tcW w:w="3306" w:type="dxa"/>
            <w:shd w:val="clear" w:color="auto" w:fill="auto"/>
            <w:vAlign w:val="center"/>
            <w:hideMark/>
          </w:tcPr>
          <w:p w:rsidR="00BC521A" w:rsidRPr="002311A3" w:rsidRDefault="002311A3" w:rsidP="00BC521A">
            <w:pPr>
              <w:spacing w:after="0" w:line="240" w:lineRule="auto"/>
              <w:rPr>
                <w:rFonts w:eastAsia="Times New Roman" w:cs="Arial"/>
                <w:color w:val="000000"/>
                <w:sz w:val="18"/>
                <w:szCs w:val="18"/>
                <w:lang w:val="es-CO" w:eastAsia="es-CO"/>
              </w:rPr>
            </w:pPr>
            <w:r w:rsidRPr="002311A3">
              <w:rPr>
                <w:rFonts w:eastAsia="Times New Roman" w:cs="Arial"/>
                <w:color w:val="000000"/>
                <w:sz w:val="18"/>
                <w:szCs w:val="18"/>
                <w:lang w:val="es-CO" w:eastAsia="es-CO"/>
              </w:rPr>
              <w:t xml:space="preserve">Intervención </w:t>
            </w:r>
            <w:r>
              <w:rPr>
                <w:rFonts w:eastAsia="Times New Roman" w:cs="Arial"/>
                <w:color w:val="000000"/>
                <w:sz w:val="18"/>
                <w:szCs w:val="18"/>
                <w:lang w:val="es-CO" w:eastAsia="es-CO"/>
              </w:rPr>
              <w:t>d</w:t>
            </w:r>
            <w:r w:rsidRPr="002311A3">
              <w:rPr>
                <w:rFonts w:eastAsia="Times New Roman" w:cs="Arial"/>
                <w:color w:val="000000"/>
                <w:sz w:val="18"/>
                <w:szCs w:val="18"/>
                <w:lang w:val="es-CO" w:eastAsia="es-CO"/>
              </w:rPr>
              <w:t>e Apoyo - Ap</w:t>
            </w:r>
            <w:r>
              <w:rPr>
                <w:rFonts w:eastAsia="Times New Roman" w:cs="Arial"/>
                <w:color w:val="000000"/>
                <w:sz w:val="18"/>
                <w:szCs w:val="18"/>
                <w:lang w:val="es-CO" w:eastAsia="es-CO"/>
              </w:rPr>
              <w:t>oyo Psicológico Especializado  de Acuerdo con el Concepto de l</w:t>
            </w:r>
            <w:r w:rsidRPr="002311A3">
              <w:rPr>
                <w:rFonts w:eastAsia="Times New Roman" w:cs="Arial"/>
                <w:color w:val="000000"/>
                <w:sz w:val="18"/>
                <w:szCs w:val="18"/>
                <w:lang w:val="es-CO" w:eastAsia="es-CO"/>
              </w:rPr>
              <w:t>a Autoridad Administrativa</w:t>
            </w:r>
          </w:p>
        </w:tc>
        <w:tc>
          <w:tcPr>
            <w:tcW w:w="951"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125"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073"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53.703</w:t>
            </w:r>
          </w:p>
        </w:tc>
        <w:tc>
          <w:tcPr>
            <w:tcW w:w="1241"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509"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10.009.577.247</w:t>
            </w:r>
          </w:p>
        </w:tc>
      </w:tr>
      <w:tr w:rsidR="00BC521A" w:rsidRPr="002311A3" w:rsidTr="002311A3">
        <w:trPr>
          <w:trHeight w:val="371"/>
          <w:jc w:val="center"/>
        </w:trPr>
        <w:tc>
          <w:tcPr>
            <w:tcW w:w="3306" w:type="dxa"/>
            <w:shd w:val="clear" w:color="auto" w:fill="auto"/>
            <w:vAlign w:val="center"/>
            <w:hideMark/>
          </w:tcPr>
          <w:p w:rsidR="00BC521A" w:rsidRPr="002311A3" w:rsidRDefault="002311A3" w:rsidP="00BC521A">
            <w:pPr>
              <w:spacing w:after="0" w:line="240" w:lineRule="auto"/>
              <w:rPr>
                <w:rFonts w:eastAsia="Times New Roman" w:cs="Arial"/>
                <w:color w:val="000000"/>
                <w:sz w:val="18"/>
                <w:szCs w:val="18"/>
                <w:lang w:val="es-CO" w:eastAsia="es-CO"/>
              </w:rPr>
            </w:pPr>
            <w:r w:rsidRPr="002311A3">
              <w:rPr>
                <w:rFonts w:eastAsia="Times New Roman" w:cs="Arial"/>
                <w:color w:val="000000"/>
                <w:sz w:val="18"/>
                <w:szCs w:val="18"/>
                <w:lang w:val="es-CO" w:eastAsia="es-CO"/>
              </w:rPr>
              <w:t>Internado - Violencia Sexual</w:t>
            </w:r>
          </w:p>
        </w:tc>
        <w:tc>
          <w:tcPr>
            <w:tcW w:w="951"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125"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216</w:t>
            </w:r>
          </w:p>
        </w:tc>
        <w:tc>
          <w:tcPr>
            <w:tcW w:w="1073"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230</w:t>
            </w:r>
          </w:p>
        </w:tc>
        <w:tc>
          <w:tcPr>
            <w:tcW w:w="1241"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509"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2.599.785.643</w:t>
            </w:r>
          </w:p>
        </w:tc>
      </w:tr>
      <w:tr w:rsidR="00BC521A" w:rsidRPr="002311A3" w:rsidTr="002311A3">
        <w:trPr>
          <w:trHeight w:val="519"/>
          <w:jc w:val="center"/>
        </w:trPr>
        <w:tc>
          <w:tcPr>
            <w:tcW w:w="3306" w:type="dxa"/>
            <w:shd w:val="clear" w:color="auto" w:fill="auto"/>
            <w:vAlign w:val="center"/>
            <w:hideMark/>
          </w:tcPr>
          <w:p w:rsidR="00BC521A" w:rsidRPr="002311A3" w:rsidRDefault="00BC521A" w:rsidP="00BC521A">
            <w:pPr>
              <w:spacing w:after="0" w:line="240" w:lineRule="auto"/>
              <w:rPr>
                <w:rFonts w:eastAsia="Times New Roman" w:cs="Arial"/>
                <w:color w:val="000000"/>
                <w:sz w:val="18"/>
                <w:szCs w:val="18"/>
                <w:lang w:val="es-CO" w:eastAsia="es-CO"/>
              </w:rPr>
            </w:pPr>
            <w:r w:rsidRPr="002311A3">
              <w:rPr>
                <w:rFonts w:eastAsia="Times New Roman" w:cs="Arial"/>
                <w:color w:val="000000"/>
                <w:sz w:val="18"/>
                <w:szCs w:val="18"/>
                <w:lang w:val="es-CO" w:eastAsia="es-CO"/>
              </w:rPr>
              <w:t>ACOGIDA Y DESARROLLO - VIOLENCIA SEXUAL</w:t>
            </w:r>
          </w:p>
        </w:tc>
        <w:tc>
          <w:tcPr>
            <w:tcW w:w="951" w:type="dxa"/>
            <w:shd w:val="clear" w:color="auto" w:fill="auto"/>
            <w:noWrap/>
            <w:vAlign w:val="center"/>
            <w:hideMark/>
          </w:tcPr>
          <w:p w:rsidR="00BC521A" w:rsidRPr="002311A3" w:rsidRDefault="00BC521A" w:rsidP="007E1A7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r w:rsidR="007E1A7A" w:rsidRPr="002311A3">
              <w:rPr>
                <w:rStyle w:val="Refdenotaalpie"/>
                <w:rFonts w:eastAsia="Times New Roman" w:cs="Arial"/>
                <w:color w:val="000000"/>
                <w:sz w:val="18"/>
                <w:szCs w:val="18"/>
                <w:lang w:val="es-CO" w:eastAsia="es-CO"/>
              </w:rPr>
              <w:footnoteReference w:id="24"/>
            </w:r>
          </w:p>
        </w:tc>
        <w:tc>
          <w:tcPr>
            <w:tcW w:w="1125"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77</w:t>
            </w:r>
          </w:p>
        </w:tc>
        <w:tc>
          <w:tcPr>
            <w:tcW w:w="1073" w:type="dxa"/>
            <w:shd w:val="clear" w:color="auto" w:fill="auto"/>
            <w:noWrap/>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142</w:t>
            </w:r>
          </w:p>
        </w:tc>
        <w:tc>
          <w:tcPr>
            <w:tcW w:w="1241"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0</w:t>
            </w:r>
          </w:p>
        </w:tc>
        <w:tc>
          <w:tcPr>
            <w:tcW w:w="1509" w:type="dxa"/>
            <w:shd w:val="clear" w:color="auto" w:fill="auto"/>
            <w:vAlign w:val="center"/>
            <w:hideMark/>
          </w:tcPr>
          <w:p w:rsidR="00BC521A" w:rsidRPr="002311A3" w:rsidRDefault="00BC521A" w:rsidP="00BC521A">
            <w:pPr>
              <w:spacing w:after="0" w:line="240" w:lineRule="auto"/>
              <w:jc w:val="center"/>
              <w:rPr>
                <w:rFonts w:eastAsia="Times New Roman" w:cs="Arial"/>
                <w:color w:val="000000"/>
                <w:sz w:val="18"/>
                <w:szCs w:val="18"/>
                <w:lang w:val="es-CO" w:eastAsia="es-CO"/>
              </w:rPr>
            </w:pPr>
            <w:r w:rsidRPr="002311A3">
              <w:rPr>
                <w:rFonts w:eastAsia="Times New Roman" w:cs="Arial"/>
                <w:color w:val="000000"/>
                <w:sz w:val="18"/>
                <w:szCs w:val="18"/>
                <w:lang w:val="es-CO" w:eastAsia="es-CO"/>
              </w:rPr>
              <w:t>539.940.361</w:t>
            </w:r>
          </w:p>
        </w:tc>
      </w:tr>
    </w:tbl>
    <w:p w:rsidR="00BC521A" w:rsidRDefault="00990714" w:rsidP="00BC521A">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contextualSpacing/>
        <w:jc w:val="both"/>
        <w:rPr>
          <w:rFonts w:eastAsia="Times New Roman" w:cs="Arial"/>
          <w:color w:val="000000"/>
          <w:sz w:val="16"/>
          <w:szCs w:val="16"/>
          <w:lang w:val="es-CO" w:eastAsia="es-CO"/>
        </w:rPr>
      </w:pPr>
      <w:r w:rsidRPr="00990714">
        <w:rPr>
          <w:rFonts w:eastAsia="Times New Roman" w:cs="Arial"/>
          <w:b/>
          <w:color w:val="000000"/>
          <w:sz w:val="16"/>
          <w:szCs w:val="16"/>
          <w:lang w:val="es-CO" w:eastAsia="es-CO"/>
        </w:rPr>
        <w:t>Fuente:</w:t>
      </w:r>
      <w:r w:rsidRPr="00990714">
        <w:rPr>
          <w:rFonts w:eastAsia="Times New Roman" w:cs="Arial"/>
          <w:color w:val="000000"/>
          <w:sz w:val="16"/>
          <w:szCs w:val="16"/>
          <w:lang w:val="es-CO" w:eastAsia="es-CO"/>
        </w:rPr>
        <w:t xml:space="preserve"> Ejecución de Metas Sociales y Financieras Vigencia 2016 - Reporte Ejecución Municipal - SIM - Diciembre Preliminar</w:t>
      </w:r>
    </w:p>
    <w:p w:rsidR="00337806" w:rsidRPr="00D21160" w:rsidRDefault="00337806" w:rsidP="00337806">
      <w:pPr>
        <w:rPr>
          <w:rFonts w:ascii="Calibri" w:hAnsi="Calibri"/>
          <w:i/>
          <w:iCs/>
          <w:sz w:val="16"/>
          <w:lang w:val="es-CO"/>
        </w:rPr>
      </w:pPr>
      <w:r w:rsidRPr="00D21160">
        <w:rPr>
          <w:i/>
          <w:iCs/>
          <w:sz w:val="16"/>
        </w:rPr>
        <w:t>Nota: Información preliminar, sujeta a actualización del cierre oficial de metas sociales y financieras.</w:t>
      </w:r>
    </w:p>
    <w:p w:rsidR="00BC521A" w:rsidRDefault="00BC521A" w:rsidP="00BC521A">
      <w:pPr>
        <w:widowControl w:val="0"/>
        <w:spacing w:after="0" w:line="240" w:lineRule="auto"/>
        <w:jc w:val="both"/>
        <w:rPr>
          <w:rFonts w:cs="Arial"/>
        </w:rPr>
      </w:pPr>
      <w:r w:rsidRPr="00BC521A">
        <w:rPr>
          <w:rFonts w:cs="Arial"/>
        </w:rPr>
        <w:t>Las acciones destacadas durante la vigencia fueron:</w:t>
      </w:r>
    </w:p>
    <w:p w:rsidR="00990714" w:rsidRPr="00BC521A" w:rsidRDefault="00990714" w:rsidP="00BC521A">
      <w:pPr>
        <w:widowControl w:val="0"/>
        <w:spacing w:after="0" w:line="240" w:lineRule="auto"/>
        <w:jc w:val="both"/>
        <w:rPr>
          <w:rFonts w:cs="Arial"/>
        </w:rPr>
      </w:pPr>
    </w:p>
    <w:p w:rsidR="00BC521A" w:rsidRDefault="00BC521A" w:rsidP="00D712DC">
      <w:pPr>
        <w:numPr>
          <w:ilvl w:val="0"/>
          <w:numId w:val="60"/>
        </w:numPr>
        <w:spacing w:after="0" w:line="240" w:lineRule="auto"/>
        <w:jc w:val="both"/>
        <w:rPr>
          <w:rFonts w:cs="Arial"/>
          <w:spacing w:val="-4"/>
        </w:rPr>
      </w:pPr>
      <w:r w:rsidRPr="00BC521A">
        <w:rPr>
          <w:rFonts w:cs="Arial"/>
        </w:rPr>
        <w:t xml:space="preserve">Campaña: </w:t>
      </w:r>
      <w:r w:rsidRPr="00BC521A">
        <w:rPr>
          <w:rFonts w:cs="Arial"/>
          <w:bCs/>
          <w:i/>
          <w:iCs/>
          <w:lang w:val="es-CO"/>
        </w:rPr>
        <w:t xml:space="preserve">“Violencia Sexual: la importancia de las primeras 72 horas”: </w:t>
      </w:r>
      <w:r w:rsidRPr="00BC521A">
        <w:rPr>
          <w:rFonts w:cs="Arial"/>
          <w:u w:color="000000"/>
          <w:lang w:val="es-ES_tradnl" w:eastAsia="es-CO"/>
        </w:rPr>
        <w:t>El objetivo de esta campaña es</w:t>
      </w:r>
      <w:r w:rsidRPr="00BC521A">
        <w:rPr>
          <w:rFonts w:cs="Arial"/>
          <w:lang w:val="es-CO"/>
        </w:rPr>
        <w:t xml:space="preserve"> generar el fortalecimiento de capacidades y competencias en los defensores y defensoras de familia y los equipos interdisciplinarios, profesionales de servicios y atención en los aspectos normativos, respecto a </w:t>
      </w:r>
      <w:r w:rsidRPr="00BC521A">
        <w:rPr>
          <w:rFonts w:cs="Arial"/>
          <w:spacing w:val="-4"/>
        </w:rPr>
        <w:t xml:space="preserve">la activación de la ruta de atención integral a los niños, </w:t>
      </w:r>
      <w:r w:rsidRPr="00BC521A">
        <w:rPr>
          <w:rFonts w:cs="Arial"/>
          <w:spacing w:val="-4"/>
        </w:rPr>
        <w:lastRenderedPageBreak/>
        <w:t>niñas y adolescentes víctimas de violencia sexual y articular de manera oportuna e integral las acciones pertinentes con los sectores salud y justicia.</w:t>
      </w:r>
    </w:p>
    <w:p w:rsidR="00990714" w:rsidRPr="00BC521A" w:rsidRDefault="00990714" w:rsidP="00990714">
      <w:pPr>
        <w:spacing w:after="0" w:line="240" w:lineRule="auto"/>
        <w:ind w:left="360"/>
        <w:jc w:val="both"/>
        <w:rPr>
          <w:rFonts w:cs="Arial"/>
          <w:spacing w:val="-4"/>
        </w:rPr>
      </w:pPr>
    </w:p>
    <w:p w:rsidR="00BC521A" w:rsidRDefault="00BC521A" w:rsidP="00BC521A">
      <w:pPr>
        <w:spacing w:after="0" w:line="240" w:lineRule="auto"/>
        <w:ind w:left="360"/>
        <w:jc w:val="both"/>
        <w:rPr>
          <w:rFonts w:eastAsia="Times New Roman" w:cs="Arial"/>
          <w:bCs/>
          <w:lang w:eastAsia="es-CO"/>
        </w:rPr>
      </w:pPr>
      <w:r w:rsidRPr="00BC521A">
        <w:rPr>
          <w:rFonts w:cs="Arial"/>
        </w:rPr>
        <w:t xml:space="preserve">En este sentido se capacitaron </w:t>
      </w:r>
      <w:r w:rsidRPr="00BC521A">
        <w:rPr>
          <w:rFonts w:eastAsia="Times New Roman" w:cs="Arial"/>
          <w:bCs/>
          <w:lang w:eastAsia="es-CO"/>
        </w:rPr>
        <w:t>993 profesionales en 46 jornadas en las regionales Cauca, Córdoba, Norte de Santander, Bolívar, Cundinamarca, Cesar, Bogotá, Magdalena, Caldas, Valle del Cauca, Antioquia, Meta, Sucre, Neiva,  y Caquetá de la siguiente manera:</w:t>
      </w:r>
    </w:p>
    <w:p w:rsidR="00990714" w:rsidRPr="00BC521A" w:rsidRDefault="00990714" w:rsidP="00BC521A">
      <w:pPr>
        <w:spacing w:after="0" w:line="240" w:lineRule="auto"/>
        <w:ind w:left="360"/>
        <w:jc w:val="both"/>
        <w:rPr>
          <w:rFonts w:eastAsia="Times New Roman" w:cs="Arial"/>
          <w:bCs/>
          <w:lang w:eastAsia="es-CO"/>
        </w:rPr>
      </w:pPr>
    </w:p>
    <w:p w:rsidR="00BC521A" w:rsidRPr="00BC521A" w:rsidRDefault="00BC521A" w:rsidP="00D712DC">
      <w:pPr>
        <w:numPr>
          <w:ilvl w:val="0"/>
          <w:numId w:val="61"/>
        </w:numPr>
        <w:spacing w:after="0" w:line="240" w:lineRule="auto"/>
        <w:jc w:val="both"/>
        <w:rPr>
          <w:rFonts w:cs="Arial"/>
        </w:rPr>
      </w:pPr>
      <w:r w:rsidRPr="00BC521A">
        <w:rPr>
          <w:rFonts w:cs="Arial"/>
        </w:rPr>
        <w:t>228 Defensores de Familia.</w:t>
      </w:r>
    </w:p>
    <w:p w:rsidR="00BC521A" w:rsidRPr="00BC521A" w:rsidRDefault="00BC521A" w:rsidP="00D712DC">
      <w:pPr>
        <w:numPr>
          <w:ilvl w:val="0"/>
          <w:numId w:val="61"/>
        </w:numPr>
        <w:spacing w:after="0" w:line="240" w:lineRule="auto"/>
        <w:jc w:val="both"/>
        <w:rPr>
          <w:rFonts w:eastAsia="Times New Roman" w:cs="Arial"/>
          <w:bCs/>
          <w:lang w:eastAsia="es-CO"/>
        </w:rPr>
      </w:pPr>
      <w:r w:rsidRPr="00BC521A">
        <w:rPr>
          <w:rFonts w:cs="Arial"/>
        </w:rPr>
        <w:t xml:space="preserve">480 </w:t>
      </w:r>
      <w:r w:rsidRPr="00BC521A">
        <w:rPr>
          <w:rFonts w:eastAsia="Times New Roman" w:cs="Arial"/>
          <w:bCs/>
          <w:lang w:eastAsia="es-CO"/>
        </w:rPr>
        <w:t>Equipos Psicosociales (Psicólogas/os y Trabajadores/as Sociales).</w:t>
      </w:r>
    </w:p>
    <w:p w:rsidR="00BC521A" w:rsidRPr="00BC521A" w:rsidRDefault="00BC521A" w:rsidP="00D712DC">
      <w:pPr>
        <w:numPr>
          <w:ilvl w:val="0"/>
          <w:numId w:val="61"/>
        </w:numPr>
        <w:spacing w:after="0" w:line="240" w:lineRule="auto"/>
        <w:jc w:val="both"/>
        <w:rPr>
          <w:rFonts w:cs="Arial"/>
        </w:rPr>
      </w:pPr>
      <w:r w:rsidRPr="00BC521A">
        <w:rPr>
          <w:rFonts w:eastAsia="Times New Roman" w:cs="Arial"/>
          <w:bCs/>
          <w:lang w:eastAsia="es-CO"/>
        </w:rPr>
        <w:t>215 Servicios, Atención y un integrante de Unidades Móviles.</w:t>
      </w:r>
    </w:p>
    <w:p w:rsidR="00BC521A" w:rsidRPr="00BC521A" w:rsidRDefault="00BC521A" w:rsidP="00BC521A">
      <w:pPr>
        <w:spacing w:after="0" w:line="240" w:lineRule="auto"/>
        <w:ind w:left="720"/>
        <w:jc w:val="both"/>
        <w:rPr>
          <w:rFonts w:cs="Arial"/>
        </w:rPr>
      </w:pPr>
    </w:p>
    <w:p w:rsidR="00BC521A" w:rsidRPr="00BC521A" w:rsidRDefault="00BC521A" w:rsidP="00BC521A">
      <w:pPr>
        <w:spacing w:after="0" w:line="240" w:lineRule="auto"/>
        <w:jc w:val="both"/>
        <w:rPr>
          <w:rFonts w:cs="Arial"/>
        </w:rPr>
      </w:pPr>
      <w:r w:rsidRPr="00BC521A">
        <w:rPr>
          <w:rFonts w:cs="Arial"/>
        </w:rPr>
        <w:t>Adicionalmente, a través de videoconferencia se presentó la campaña “Violencia Sexual: la importancia de las primeras 72 horas” en las regionales Amazonas, Arauca, Caquetá, Guainía, Guaviare, Putumayo, San Andrés, Vaupés, Vichada, Santander. Por otra parte, se brindó asistencia técnica presencial a las siguientes regionales: Cauca, Córdoba, Norte de Santander, Bolívar, Cundinamarca, Cesar, Magdalena, Caldas, Valle del Cauca, Antioquia, Meta, Sucre y Huila.</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eastAsia="Arial Unicode MS" w:cs="Arial"/>
          <w:bdr w:val="nil"/>
          <w:lang w:val="es-ES_tradnl" w:eastAsia="es-CO"/>
        </w:rPr>
      </w:pPr>
      <w:r w:rsidRPr="00BC521A">
        <w:rPr>
          <w:rFonts w:eastAsia="Arial Unicode MS" w:cs="Arial"/>
          <w:bdr w:val="nil"/>
          <w:lang w:val="es-ES_tradnl" w:eastAsia="es-CO"/>
        </w:rPr>
        <w:t xml:space="preserve">Se realizaron reuniones con el Ministerio de Salud y Protección Social para superar las barreras intersectoriales que impiden respetar las decisiones de las niñas y adolescentes y garantizar con oportunidad la prestación del servicio de salud para la realización de la interrupción voluntaria del embarazo. </w:t>
      </w:r>
    </w:p>
    <w:p w:rsidR="00BC521A" w:rsidRPr="00BC521A" w:rsidRDefault="00BC521A" w:rsidP="00BC521A">
      <w:pPr>
        <w:spacing w:after="0" w:line="240" w:lineRule="auto"/>
        <w:jc w:val="both"/>
        <w:rPr>
          <w:rFonts w:eastAsia="Arial Unicode MS" w:cs="Arial"/>
          <w:bdr w:val="nil"/>
          <w:lang w:val="es-ES_tradnl" w:eastAsia="es-CO"/>
        </w:rPr>
      </w:pPr>
    </w:p>
    <w:p w:rsidR="00BC521A" w:rsidRPr="00BC521A" w:rsidRDefault="00BC521A" w:rsidP="00BC521A">
      <w:pPr>
        <w:spacing w:after="0" w:line="240" w:lineRule="auto"/>
        <w:jc w:val="both"/>
        <w:rPr>
          <w:rFonts w:eastAsia="Arial Unicode MS" w:cs="Arial"/>
          <w:bdr w:val="nil"/>
          <w:lang w:val="es-ES_tradnl" w:eastAsia="es-CO"/>
        </w:rPr>
      </w:pPr>
      <w:r w:rsidRPr="00BC521A">
        <w:rPr>
          <w:rFonts w:eastAsia="Arial Unicode MS" w:cs="Arial"/>
          <w:bdr w:val="nil"/>
          <w:lang w:val="es-ES_tradnl" w:eastAsia="es-CO"/>
        </w:rPr>
        <w:t>En este sentido, se capacitaron 97 Comisarios y Comisarias de Familia del Departamento de Cundinamarca, 36 Huila, 50 de Antioquia y Meta 26 para un total de: 209  Comisarios, Comisarias y Equipos Psicosociales de las Comisarias de Familia, en 5 sesiones de capacitación.</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contextualSpacing/>
        <w:jc w:val="both"/>
        <w:rPr>
          <w:rFonts w:eastAsia="MS Mincho" w:cs="Arial"/>
          <w:noProof/>
          <w:kern w:val="24"/>
          <w:lang w:val="es-ES_tradnl" w:eastAsia="es-ES"/>
        </w:rPr>
      </w:pPr>
      <w:r w:rsidRPr="00BC521A">
        <w:rPr>
          <w:rFonts w:eastAsia="MS Mincho" w:cs="Arial"/>
          <w:noProof/>
          <w:lang w:val="es-ES_tradnl" w:eastAsia="es-ES"/>
        </w:rPr>
        <w:t xml:space="preserve">A la fecha  se han capacitado </w:t>
      </w:r>
      <w:r w:rsidRPr="00BC521A">
        <w:rPr>
          <w:rFonts w:eastAsia="MS Mincho" w:cs="Arial"/>
          <w:noProof/>
          <w:kern w:val="24"/>
          <w:lang w:val="es-ES_tradnl" w:eastAsia="es-ES"/>
        </w:rPr>
        <w:t xml:space="preserve">en 5 sesiones a </w:t>
      </w:r>
      <w:r w:rsidRPr="00BC521A">
        <w:rPr>
          <w:rFonts w:eastAsia="MS Mincho" w:cs="Arial"/>
          <w:noProof/>
          <w:lang w:val="es-ES_tradnl" w:eastAsia="es-ES"/>
        </w:rPr>
        <w:t xml:space="preserve">97 Comisarios y Comisarias de Familia del Departamento de Cundinamarca, 36 de Huila, 50 de Antioquia y Meta 26 </w:t>
      </w:r>
      <w:r w:rsidRPr="00BC521A">
        <w:rPr>
          <w:rFonts w:eastAsia="MS Mincho" w:cs="Arial"/>
          <w:noProof/>
          <w:kern w:val="24"/>
          <w:lang w:val="es-ES_tradnl" w:eastAsia="es-ES"/>
        </w:rPr>
        <w:t>para un total de 209 Comisarios, Comisarias y Equipos Psicosociales de las Comisarias de Familia.</w:t>
      </w:r>
    </w:p>
    <w:p w:rsidR="00BC521A" w:rsidRPr="00BC521A" w:rsidRDefault="00BC521A" w:rsidP="00BC521A">
      <w:pPr>
        <w:spacing w:after="0" w:line="240" w:lineRule="auto"/>
        <w:ind w:left="360"/>
        <w:contextualSpacing/>
        <w:jc w:val="both"/>
        <w:rPr>
          <w:rFonts w:cs="Arial"/>
          <w:lang w:val="es-ES_tradnl"/>
        </w:rPr>
      </w:pPr>
    </w:p>
    <w:p w:rsidR="00BC521A" w:rsidRPr="00BC521A" w:rsidRDefault="00BC521A" w:rsidP="00BC521A">
      <w:pPr>
        <w:spacing w:after="0" w:line="240" w:lineRule="auto"/>
        <w:jc w:val="both"/>
        <w:rPr>
          <w:rFonts w:cs="Arial"/>
        </w:rPr>
      </w:pPr>
      <w:r w:rsidRPr="00BC521A">
        <w:rPr>
          <w:rFonts w:cs="Arial"/>
        </w:rPr>
        <w:t>Se ha brindado asistencia técnica a 120 municipios en 2015 y 260</w:t>
      </w:r>
      <w:r w:rsidRPr="00BC521A">
        <w:rPr>
          <w:rFonts w:cs="Arial"/>
          <w:vertAlign w:val="superscript"/>
        </w:rPr>
        <w:footnoteReference w:id="25"/>
      </w:r>
      <w:r w:rsidRPr="00BC521A">
        <w:rPr>
          <w:rFonts w:cs="Arial"/>
        </w:rPr>
        <w:t xml:space="preserve"> municipios para la implementación de las rutas de atención integral para el Restablecimiento de Derechos de la menor de 14 años embarazada.</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cs="Arial"/>
        </w:rPr>
      </w:pPr>
      <w:r w:rsidRPr="00BC521A">
        <w:rPr>
          <w:rFonts w:eastAsia="Times New Roman" w:cs="Arial"/>
          <w:bCs/>
          <w:iCs/>
          <w:lang w:eastAsia="es-ES"/>
        </w:rPr>
        <w:t xml:space="preserve">En el marco de la Secretaria Técnica permanente del </w:t>
      </w:r>
      <w:r w:rsidRPr="00BC521A">
        <w:rPr>
          <w:rFonts w:eastAsia="Times" w:cs="Arial"/>
          <w:lang w:eastAsia="es-ES"/>
        </w:rPr>
        <w:t>Comité</w:t>
      </w:r>
      <w:r w:rsidRPr="00BC521A">
        <w:rPr>
          <w:rFonts w:eastAsia="Times New Roman" w:cs="Arial"/>
          <w:bCs/>
          <w:iCs/>
          <w:lang w:eastAsia="es-ES"/>
        </w:rPr>
        <w:t xml:space="preserve"> Nacional Interinstitucional de Prevención y Erradicación de la Explotación Sexual Comercial de Niños, Niñas y Adolescentes (ESCNNA), ordenada por la Ley 1336 del 2009 </w:t>
      </w:r>
      <w:r w:rsidRPr="00BC521A">
        <w:rPr>
          <w:rFonts w:cs="Arial"/>
        </w:rPr>
        <w:t xml:space="preserve">se desarrollaron tres (3) reuniones de Secretaría Técnica (04, 20 de abril y 3 de noviembre de 2016); en la primera se socializó el proyecto de Decreto del “Fondo contra la Explotación Sexual Comercial”; en la segunda se socializó la estructura del Plan de Acción del Comité Nacional Interinstitucional para la prevención y erradicación de la explotación sexual comercial de niños, niñas y adolescentes; y en la tercera se preparó la agenda, y convocatoria de la sesión ordinaria del comité nacional. </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cs="Arial"/>
          <w:lang w:val="es-CO"/>
        </w:rPr>
      </w:pPr>
      <w:r w:rsidRPr="00BC521A">
        <w:rPr>
          <w:rFonts w:eastAsia="MS Mincho" w:cs="Arial"/>
          <w:lang w:eastAsia="es-CO"/>
        </w:rPr>
        <w:lastRenderedPageBreak/>
        <w:t>Se llevaron a cabo diez (</w:t>
      </w:r>
      <w:r w:rsidRPr="00BC521A">
        <w:rPr>
          <w:rFonts w:cs="Arial"/>
        </w:rPr>
        <w:t xml:space="preserve">10) sesiones de trabajo en el marco de la construcción </w:t>
      </w:r>
      <w:r w:rsidRPr="00BC521A">
        <w:rPr>
          <w:rFonts w:cs="Arial"/>
          <w:lang w:val="es-CO"/>
        </w:rPr>
        <w:t xml:space="preserve">de la línea de política pública para la erradicación y prevención de la ESCNNA, donde se logró la construcción del marco de gestión de la línea de política pública para la prevención y erradicación de la Explotación Sexual Comercial de Niños, Niñas y Adolescentes. </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cs="Arial"/>
        </w:rPr>
      </w:pPr>
      <w:r w:rsidRPr="00BC521A">
        <w:rPr>
          <w:rFonts w:cs="Arial"/>
        </w:rPr>
        <w:t>El ICBF en Coordinación con el Ministerio de Comercio, Industria y Turismo, y con las demás instituciones que integran el Comité Nacional Interinstitucional de Prevención y Erradicación de la Explotación Sexual Comercial de Niños, Niñas y Adolescentes, ordenado por la Ley 1336 de 2009, fortalecieron la campaña #OjosEnTodasPartes como Estrategia Nacional de Prevención de la ESCNNA como delito de lesa humanidad.</w:t>
      </w:r>
    </w:p>
    <w:p w:rsidR="00BC521A" w:rsidRPr="00BC521A" w:rsidRDefault="00BC521A" w:rsidP="00BC521A">
      <w:pPr>
        <w:spacing w:after="0" w:line="240" w:lineRule="auto"/>
        <w:jc w:val="both"/>
        <w:rPr>
          <w:rFonts w:cs="Arial"/>
        </w:rPr>
      </w:pPr>
    </w:p>
    <w:p w:rsidR="00BC521A" w:rsidRPr="00BC521A" w:rsidRDefault="00BC521A" w:rsidP="00BC521A">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jc w:val="both"/>
        <w:rPr>
          <w:rFonts w:cs="Arial"/>
        </w:rPr>
      </w:pPr>
      <w:r w:rsidRPr="00BC521A">
        <w:rPr>
          <w:rFonts w:cs="Arial"/>
        </w:rPr>
        <w:t>Se realizaron dos sesiones del subcomité de atención de la violencia sexual contra niños, niñas y adolescentes, mecanismo articulador para la prevención y atención de las violencias de género.</w:t>
      </w:r>
    </w:p>
    <w:p w:rsidR="00BC521A" w:rsidRPr="00BC521A" w:rsidRDefault="00BC521A" w:rsidP="00BC521A">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0" w:line="240" w:lineRule="auto"/>
        <w:ind w:left="360"/>
        <w:jc w:val="both"/>
        <w:rPr>
          <w:rFonts w:eastAsia="Arial Unicode MS" w:cs="Arial"/>
          <w:bdr w:val="nil"/>
          <w:lang w:val="es-CO" w:eastAsia="es-CO"/>
        </w:rPr>
      </w:pPr>
    </w:p>
    <w:p w:rsidR="00BC521A" w:rsidRPr="00BC521A" w:rsidRDefault="00BC521A" w:rsidP="00BC521A">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autoSpaceDE w:val="0"/>
        <w:autoSpaceDN w:val="0"/>
        <w:adjustRightInd w:val="0"/>
        <w:spacing w:after="0" w:line="240" w:lineRule="auto"/>
        <w:contextualSpacing/>
        <w:jc w:val="both"/>
        <w:rPr>
          <w:rFonts w:cs="Arial"/>
          <w:lang w:val="es-CO"/>
        </w:rPr>
      </w:pPr>
      <w:r w:rsidRPr="00BC521A">
        <w:rPr>
          <w:rFonts w:eastAsia="Arial Unicode MS" w:cs="Arial"/>
          <w:b/>
          <w:bdr w:val="nil"/>
          <w:lang w:val="es-ES_tradnl" w:eastAsia="es-CO"/>
        </w:rPr>
        <w:t>Fortalecimiento de la línea especializada en violencia sexual:</w:t>
      </w:r>
      <w:r w:rsidRPr="00BC521A">
        <w:rPr>
          <w:rFonts w:eastAsia="Arial Unicode MS" w:cs="Arial"/>
          <w:bdr w:val="nil"/>
          <w:lang w:val="es-ES_tradnl" w:eastAsia="es-CO"/>
        </w:rPr>
        <w:t xml:space="preserve"> </w:t>
      </w:r>
      <w:r w:rsidRPr="00BC521A">
        <w:rPr>
          <w:rFonts w:eastAsia="Times New Roman" w:cs="Arial"/>
          <w:bCs/>
          <w:lang w:val="es-CO" w:eastAsia="es-CO"/>
        </w:rPr>
        <w:t xml:space="preserve">En articulación con la </w:t>
      </w:r>
      <w:r w:rsidRPr="00BC521A">
        <w:rPr>
          <w:rFonts w:cs="Arial"/>
          <w:lang w:val="es-CO"/>
        </w:rPr>
        <w:t>Dirección de Servicios y Atención</w:t>
      </w:r>
      <w:r w:rsidRPr="00BC521A">
        <w:rPr>
          <w:rFonts w:eastAsia="Times New Roman" w:cs="Arial"/>
          <w:bCs/>
          <w:lang w:val="es-CO" w:eastAsia="es-CO"/>
        </w:rPr>
        <w:t xml:space="preserve"> se adelantaron las gestiones necesarias para la operación de la línea 141, con el fin de escuchar la voz de los niños y niñas mediante una comunicación telefónica con cobertura a nivel nacional digitando tan sólo un número de fácil recordación, sin costo a través de telefonía fija y celular, durante las 24 horas de los 365 días del año. </w:t>
      </w:r>
    </w:p>
    <w:p w:rsidR="00BC521A" w:rsidRPr="00BC521A" w:rsidRDefault="00BC521A" w:rsidP="00BC521A">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autoSpaceDE w:val="0"/>
        <w:autoSpaceDN w:val="0"/>
        <w:adjustRightInd w:val="0"/>
        <w:spacing w:after="0" w:line="240" w:lineRule="auto"/>
        <w:ind w:left="360"/>
        <w:contextualSpacing/>
        <w:jc w:val="both"/>
        <w:rPr>
          <w:rFonts w:cs="Arial"/>
          <w:lang w:val="es-CO"/>
        </w:rPr>
      </w:pPr>
    </w:p>
    <w:p w:rsidR="00BC521A" w:rsidRPr="00BC521A" w:rsidRDefault="00BC521A" w:rsidP="00BC521A">
      <w:pPr>
        <w:spacing w:after="0" w:line="240" w:lineRule="auto"/>
        <w:contextualSpacing/>
        <w:jc w:val="both"/>
        <w:rPr>
          <w:rFonts w:cs="Arial"/>
        </w:rPr>
      </w:pPr>
      <w:r w:rsidRPr="00BC521A">
        <w:rPr>
          <w:rFonts w:cs="Arial"/>
          <w:b/>
        </w:rPr>
        <w:t>Ejecución del Convenio 1037 de 2016</w:t>
      </w:r>
      <w:r w:rsidRPr="00BC521A">
        <w:rPr>
          <w:rFonts w:cs="Arial"/>
          <w:lang w:eastAsia="es-ES"/>
        </w:rPr>
        <w:t xml:space="preserve"> con la Corporación Red de Padres y Madres (Red Papaz), </w:t>
      </w:r>
      <w:r w:rsidRPr="00BC521A">
        <w:rPr>
          <w:rFonts w:cs="Arial"/>
        </w:rPr>
        <w:t xml:space="preserve">para continuar y fortalecer la línea virtual Te Protejo: </w:t>
      </w:r>
      <w:hyperlink r:id="rId31" w:history="1">
        <w:r w:rsidRPr="00BC521A">
          <w:rPr>
            <w:rFonts w:cs="Arial"/>
            <w:u w:val="single"/>
          </w:rPr>
          <w:t>www.teprotejo.org</w:t>
        </w:r>
      </w:hyperlink>
      <w:r w:rsidRPr="00BC521A">
        <w:rPr>
          <w:rFonts w:cs="Arial"/>
        </w:rPr>
        <w:t>, de la cual es administrador Red PaPaz, para la prevención de la violencia sexual y otras situaciones de las cuales son víctimas los niños, niñas y adolescentes. L</w:t>
      </w:r>
      <w:r w:rsidRPr="00BC521A">
        <w:rPr>
          <w:rFonts w:cs="Arial"/>
          <w:lang w:eastAsia="es-ES"/>
        </w:rPr>
        <w:t xml:space="preserve">ogrando </w:t>
      </w:r>
      <w:r w:rsidRPr="00BC521A">
        <w:rPr>
          <w:rFonts w:cs="Arial"/>
        </w:rPr>
        <w:t xml:space="preserve">en el periodo de enero a 30 de noviembre de 2016, el reporte de 835 casos de niños, niñas y adolescentes presuntos víctimas de maltrato físico, psicológico, negligencia y consumo de estupefacientes (SPA), trabajo infantil y violencia sexual, entre otras solicitudes sobre reclamos, quejas y gestiones interinstitucionales, que se  tramitan y gestionan por parte del ICBF,  los cuales han sido constatados y verificados por las regionales y Centros Zonales de competencia del Instituto. </w:t>
      </w:r>
    </w:p>
    <w:p w:rsidR="00BC521A" w:rsidRPr="00BC521A" w:rsidRDefault="00BC521A" w:rsidP="00CA4C46">
      <w:pPr>
        <w:ind w:left="1416"/>
      </w:pPr>
    </w:p>
    <w:p w:rsidR="00BC521A" w:rsidRPr="00C43651" w:rsidRDefault="00BC521A" w:rsidP="00985DD9">
      <w:pPr>
        <w:ind w:left="993"/>
        <w:rPr>
          <w:rFonts w:eastAsiaTheme="majorEastAsia"/>
          <w:b/>
        </w:rPr>
      </w:pPr>
      <w:bookmarkStart w:id="118" w:name="_Toc472519290"/>
      <w:r w:rsidRPr="00C43651">
        <w:rPr>
          <w:rFonts w:eastAsiaTheme="majorEastAsia"/>
          <w:b/>
        </w:rPr>
        <w:t>Restablecimiento de derechos de niños, niñas y adolescentes víctimas de Trata</w:t>
      </w:r>
      <w:bookmarkEnd w:id="118"/>
    </w:p>
    <w:p w:rsidR="00BC521A" w:rsidRPr="00BC521A" w:rsidRDefault="00BC521A" w:rsidP="00BC521A">
      <w:pPr>
        <w:autoSpaceDE w:val="0"/>
        <w:autoSpaceDN w:val="0"/>
        <w:adjustRightInd w:val="0"/>
        <w:spacing w:after="0" w:line="240" w:lineRule="auto"/>
        <w:jc w:val="both"/>
        <w:rPr>
          <w:rFonts w:cs="Arial"/>
        </w:rPr>
      </w:pPr>
      <w:r w:rsidRPr="00BC521A">
        <w:rPr>
          <w:rFonts w:cs="Arial"/>
        </w:rPr>
        <w:t>En el marco del Comité Interinstitucional para la Lucha Contra la Trata de Personas (Ley 985 de 2005), como el ente coordinador de la Estrategia Nacional para la Lucha contra la Trata de Personas, el ICBF a través de la Dirección de Protección formuló acciones dentro del plan de acción del Comité para el año 2016 en las siguientes líneas: i) Capacitar a los servidores públicos de las instituciones competentes en la protección y asistencia a las víctimas; y ii) Establecer y desarrollar mecanismos que permitan brindar la asistencia inmediata y/o mediata, de manera efectiva en lo que concierne a niños, niñas y adolescentes víctimas de trata.</w:t>
      </w:r>
    </w:p>
    <w:p w:rsidR="00BC521A" w:rsidRPr="00BC521A" w:rsidRDefault="00BC521A" w:rsidP="00BC521A">
      <w:pPr>
        <w:autoSpaceDE w:val="0"/>
        <w:autoSpaceDN w:val="0"/>
        <w:adjustRightInd w:val="0"/>
        <w:spacing w:after="0" w:line="240" w:lineRule="auto"/>
        <w:jc w:val="both"/>
        <w:rPr>
          <w:rFonts w:cs="Arial"/>
        </w:rPr>
      </w:pPr>
      <w:r w:rsidRPr="00BC521A">
        <w:rPr>
          <w:rFonts w:cs="Arial"/>
        </w:rPr>
        <w:t>En cuanto al seguimiento de este plan de acción la actividad está cumplida y se tiene el documento de sistematización del proceso, además se realizaron 5 talleres en las Regionales de: Amazonas, Cundinamarca, Valle del Cauca, Risaralda y Antioquia y 1 taller adicional que se realizó en la ciudad de Bogotá. El número de asistentes por regional (que incluyó equipos de defensoría y comisarios de familia) fue el siguiente: Bogotá 46, Cundinamarca 28, Antioquia 32, Amazonas 27, Risaralda 25 y Valle del Cauca 24.</w:t>
      </w:r>
    </w:p>
    <w:p w:rsidR="00BC521A" w:rsidRPr="00BC521A" w:rsidRDefault="00BC521A" w:rsidP="00BC521A">
      <w:pPr>
        <w:autoSpaceDE w:val="0"/>
        <w:autoSpaceDN w:val="0"/>
        <w:adjustRightInd w:val="0"/>
        <w:spacing w:after="0" w:line="240" w:lineRule="auto"/>
        <w:jc w:val="both"/>
        <w:rPr>
          <w:rFonts w:cs="Arial"/>
        </w:rPr>
      </w:pPr>
    </w:p>
    <w:p w:rsidR="00BC521A" w:rsidRPr="00BC521A" w:rsidRDefault="00BC521A" w:rsidP="00BC521A">
      <w:pPr>
        <w:autoSpaceDE w:val="0"/>
        <w:autoSpaceDN w:val="0"/>
        <w:adjustRightInd w:val="0"/>
        <w:spacing w:after="0" w:line="240" w:lineRule="auto"/>
        <w:jc w:val="both"/>
        <w:rPr>
          <w:rFonts w:cs="Arial"/>
        </w:rPr>
      </w:pPr>
      <w:r w:rsidRPr="00BC521A">
        <w:rPr>
          <w:rFonts w:cs="Arial"/>
        </w:rPr>
        <w:lastRenderedPageBreak/>
        <w:t xml:space="preserve">En el marco del trabajo de coordinación y articulación interinstitucional de las entidades que conforman el Comité, se ha logrado elaborar y adoptar la Estrategia Nacional Integral contra la Trata de Personas, que integra el Enfoque de Protección Integral de niños, niñas y adolescentes y considera en el Eje de Protección y Asistencia a Víctimas, la activación de mecanismos administrativos y herramientas que garanticen el restablecimiento de los derechos de las víctimas, haciendo énfasis en niños, niñas y adolescentes. </w:t>
      </w:r>
    </w:p>
    <w:p w:rsidR="00BC521A" w:rsidRPr="00BC521A" w:rsidRDefault="00BC521A" w:rsidP="00BC521A">
      <w:pPr>
        <w:autoSpaceDE w:val="0"/>
        <w:autoSpaceDN w:val="0"/>
        <w:adjustRightInd w:val="0"/>
        <w:spacing w:after="0" w:line="240" w:lineRule="auto"/>
        <w:ind w:left="360"/>
        <w:jc w:val="both"/>
        <w:rPr>
          <w:rFonts w:cs="Arial"/>
        </w:rPr>
      </w:pPr>
    </w:p>
    <w:p w:rsidR="00BC521A" w:rsidRPr="00BC521A" w:rsidRDefault="00BC521A" w:rsidP="00BC521A">
      <w:pPr>
        <w:spacing w:after="0" w:line="240" w:lineRule="auto"/>
        <w:jc w:val="both"/>
        <w:rPr>
          <w:rFonts w:cs="Arial"/>
        </w:rPr>
      </w:pPr>
      <w:r w:rsidRPr="00BC521A">
        <w:rPr>
          <w:rFonts w:cs="Arial"/>
        </w:rPr>
        <w:t>Durante el año 2016, el ICBF ha tenido conocimiento y/o adelantado acciones de seguimiento a 24 casos de niños, niñas y adolescentes víctimas directas e indirectas del delito de trata de personas, a través del Centro Operativo Antitrata de Personas (COAT) del Ministerio del Interior. En cada uno de los casos se ha realizado activación coordinada de ruta de atención, así como seguimiento de las acciones desarrolladas para la garantía y restablecimiento de sus derechos.</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cs="Arial"/>
        </w:rPr>
      </w:pPr>
      <w:r w:rsidRPr="00BC521A">
        <w:rPr>
          <w:rFonts w:cs="Arial"/>
        </w:rPr>
        <w:t xml:space="preserve">Se participó en dos (2) encuentros binacionales (uno respectivamente) con autoridades de Ecuador y Argentina con autoridades consulares, judiciales y administrativas con miras a la consolidación de acuerdos específicos para la activación de rutas de atención en casos de trata de personas de niños, niñas y adolescentes; y a través de cada una de las Regionales, el ICBF forma parte de los Comités Departamentales de Lucha contra la Trata de Personas como espacios responsables de coordinar las acciones en materia de prevención, investigación, judicialización y asistencia a víctimas que se desarrollan en las entidades territoriales. </w:t>
      </w:r>
    </w:p>
    <w:p w:rsidR="00BC521A" w:rsidRPr="00BC521A" w:rsidRDefault="00BC521A" w:rsidP="00BC521A">
      <w:pPr>
        <w:spacing w:after="0" w:line="240" w:lineRule="auto"/>
        <w:ind w:left="360"/>
        <w:jc w:val="both"/>
        <w:rPr>
          <w:rFonts w:cs="Arial"/>
        </w:rPr>
      </w:pPr>
    </w:p>
    <w:p w:rsidR="00BC521A" w:rsidRPr="00BC521A" w:rsidRDefault="00BC521A" w:rsidP="00BC521A">
      <w:pPr>
        <w:spacing w:after="0" w:line="240" w:lineRule="auto"/>
        <w:jc w:val="both"/>
        <w:rPr>
          <w:rFonts w:cs="Arial"/>
        </w:rPr>
      </w:pPr>
      <w:r w:rsidRPr="00BC521A">
        <w:rPr>
          <w:rFonts w:cs="Arial"/>
        </w:rPr>
        <w:t xml:space="preserve">En la ejecución del Convenio 1091 de 2016 con la Oficina de las Naciones Unidas Contra la Droga y el Delito (UNODC) se trabajó en el fortalecimiento de la capacidad de identificación y respuesta del Instituto Colombiano de Bienestar Familiar frente al riesgo y ocurrencia de casos de trata de niños, niñas y adolescentes, se realizaron seis (6) talleres de posicionamiento, dirigidos a autoridades administrativas y grupos de asistencia técnica de las siguientes regionales: Amazonas, Cundinamarca, Valle del Cauca, Risaralda, Antioquia y el Distrito de Bogotá y se desarrollaron  planes de incidencia territorial para la visibilidad e impacto de la trata de niños, niñas, y adolescentes en dieciséis (16) departamentos: Amazonas, Valle del Cauca, Atlántico, Bolívar, La Guajira, Nariño, Putumayo, Risaralda, Meta, Norte de Santander, Arauca, Cundinamarca, Meta, Antioquia, San Andrés, Caldas y Bogotá, </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Actualmente, se cuenta con 17 pactos denominados “Territorios comprometidos en erradicar la trata de niños, niñas y adolescentes”, que visibilizan y posicionan esta temática en las agendas públicas de los departamentos.</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Adicionalmente, se encuentra en proceso de construcción y validación el lineamiento de atención especializada para niños, niñas y adolescentes víctimas de trata de personas en todas sus finalidades: el restablecimiento sus derechos. Este instrumento permitirá fortalecer la capacidad de las autoridades administrativas y operadores del Sistema Nacional de Bienestar Familiar para garantizar la atención integral e intersectorial de las víctimas de trata de personas, con enfoque diferencial y de género.</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 xml:space="preserve">Se elaboró una guía orientadora para autoridades en casos de niños, niñas y adolescentes migrantes no acompañados en riesgo de trata de personas, que contiene las recomendaciones para identificar y abordar los casos de niños, niñas y adolescentes migrantes solos; si bien va </w:t>
      </w:r>
      <w:r w:rsidRPr="00BC521A">
        <w:rPr>
          <w:rFonts w:cs="Arial"/>
        </w:rPr>
        <w:lastRenderedPageBreak/>
        <w:t>dirigido a las autoridades administrativas, puede ser usado por diferentes autoridades y organizaciones de la sociedad civil cuando tienen el primer contacto con un niño o niña migrante sola.</w:t>
      </w:r>
    </w:p>
    <w:p w:rsidR="00006807" w:rsidRDefault="00006807" w:rsidP="00CA4C46">
      <w:pPr>
        <w:ind w:left="1416"/>
        <w:rPr>
          <w:rFonts w:eastAsiaTheme="majorEastAsia"/>
          <w:b/>
        </w:rPr>
      </w:pPr>
      <w:bookmarkStart w:id="119" w:name="_Toc472519291"/>
    </w:p>
    <w:p w:rsidR="00BC521A" w:rsidRPr="00C43651" w:rsidRDefault="00BC521A" w:rsidP="00CA4C46">
      <w:pPr>
        <w:ind w:left="1416"/>
        <w:rPr>
          <w:rFonts w:eastAsiaTheme="majorEastAsia"/>
          <w:b/>
        </w:rPr>
      </w:pPr>
      <w:r w:rsidRPr="00C43651">
        <w:rPr>
          <w:rFonts w:eastAsiaTheme="majorEastAsia"/>
          <w:b/>
        </w:rPr>
        <w:t>Restablecimiento de derechos de niños, niñas y adolescentes en situación de vida en calle o alta permanencia en calle</w:t>
      </w:r>
      <w:bookmarkEnd w:id="119"/>
    </w:p>
    <w:p w:rsidR="00BC521A" w:rsidRPr="00BC521A" w:rsidRDefault="00BC521A" w:rsidP="00BC521A">
      <w:pPr>
        <w:spacing w:after="0" w:line="240" w:lineRule="auto"/>
        <w:rPr>
          <w:rFonts w:cs="Arial"/>
          <w:lang w:val="es-MX"/>
        </w:rPr>
      </w:pPr>
      <w:r w:rsidRPr="00BC521A">
        <w:rPr>
          <w:rFonts w:cs="Arial"/>
        </w:rPr>
        <w:t>El ICBF expidió mediante Resolución No. 1514 de 2016 el lineamiento técnico para el programa especializado de atención a niños, niñas y adolescentes en situación de vida en calle o con alta permanencia en calle, con sus derechos amenazados, inobservados y/o vulnerados</w:t>
      </w:r>
      <w:r w:rsidRPr="00BC521A">
        <w:rPr>
          <w:rFonts w:cs="Arial"/>
          <w:lang w:val="es-MX"/>
        </w:rPr>
        <w:t xml:space="preserve">. </w:t>
      </w:r>
    </w:p>
    <w:p w:rsidR="00BC521A" w:rsidRPr="00BC521A" w:rsidRDefault="00BC521A" w:rsidP="00BC521A">
      <w:pPr>
        <w:spacing w:after="0" w:line="240" w:lineRule="auto"/>
        <w:rPr>
          <w:rFonts w:cs="Arial"/>
          <w:lang w:val="es-MX"/>
        </w:rPr>
      </w:pPr>
    </w:p>
    <w:p w:rsidR="00BC521A" w:rsidRPr="00BC521A" w:rsidRDefault="00BC521A" w:rsidP="00BC521A">
      <w:pPr>
        <w:spacing w:after="0" w:line="240" w:lineRule="auto"/>
        <w:jc w:val="both"/>
        <w:rPr>
          <w:rFonts w:cs="Arial"/>
          <w:lang w:eastAsia="es-ES"/>
        </w:rPr>
      </w:pPr>
      <w:r w:rsidRPr="00BC521A">
        <w:rPr>
          <w:rFonts w:cs="Arial"/>
        </w:rPr>
        <w:t>Durante la vigencia 2016 se han ejecutado 1.730 cupos</w:t>
      </w:r>
      <w:r w:rsidRPr="00BC521A">
        <w:rPr>
          <w:rFonts w:cs="Arial"/>
          <w:vertAlign w:val="superscript"/>
        </w:rPr>
        <w:footnoteReference w:id="26"/>
      </w:r>
      <w:r w:rsidRPr="00BC521A">
        <w:rPr>
          <w:rFonts w:cs="Arial"/>
        </w:rPr>
        <w:t xml:space="preserve"> para la atención a niños, niñas y adolescentes que se encuentran en situación de vida en calle, a través de las modalidades de Apoyo y fortalecimiento a la familia (Intervención de apoyo - Apoyo psicosocial, Externado – Media jornada y Externado – Jornada completa) y de Apoyo y fortalecimiento en medio diferente a la familia o red vincular (Internado).</w:t>
      </w:r>
    </w:p>
    <w:p w:rsidR="007E1A7A" w:rsidRPr="00BC521A" w:rsidRDefault="007E1A7A" w:rsidP="00BC521A">
      <w:pPr>
        <w:spacing w:after="0" w:line="240" w:lineRule="auto"/>
        <w:contextualSpacing/>
        <w:jc w:val="both"/>
        <w:rPr>
          <w:rFonts w:cs="Arial"/>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071"/>
        <w:gridCol w:w="1097"/>
        <w:gridCol w:w="1097"/>
        <w:gridCol w:w="1097"/>
        <w:gridCol w:w="1389"/>
        <w:gridCol w:w="1644"/>
      </w:tblGrid>
      <w:tr w:rsidR="00BC521A" w:rsidRPr="00516340" w:rsidTr="00CA4C46">
        <w:trPr>
          <w:cantSplit/>
          <w:trHeight w:val="20"/>
          <w:tblHeader/>
        </w:trPr>
        <w:tc>
          <w:tcPr>
            <w:tcW w:w="163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Nombre</w:t>
            </w:r>
          </w:p>
        </w:tc>
        <w:tc>
          <w:tcPr>
            <w:tcW w:w="58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Unidades</w:t>
            </w:r>
          </w:p>
        </w:tc>
        <w:tc>
          <w:tcPr>
            <w:tcW w:w="58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Cupos</w:t>
            </w:r>
          </w:p>
        </w:tc>
        <w:tc>
          <w:tcPr>
            <w:tcW w:w="58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Usuarios</w:t>
            </w:r>
          </w:p>
        </w:tc>
        <w:tc>
          <w:tcPr>
            <w:tcW w:w="739"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Usuarios</w:t>
            </w:r>
            <w:r w:rsidRPr="00990714">
              <w:rPr>
                <w:rFonts w:eastAsia="Times New Roman" w:cs="Arial"/>
                <w:b/>
                <w:bCs/>
                <w:color w:val="FFFFFF" w:themeColor="background1"/>
                <w:sz w:val="18"/>
                <w:szCs w:val="20"/>
                <w:lang w:val="es-CO" w:eastAsia="es-CO"/>
              </w:rPr>
              <w:br/>
              <w:t>Desplazados</w:t>
            </w:r>
          </w:p>
        </w:tc>
        <w:tc>
          <w:tcPr>
            <w:tcW w:w="875"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Obligación</w:t>
            </w:r>
            <w:r w:rsidRPr="00990714">
              <w:rPr>
                <w:rFonts w:eastAsia="Times New Roman" w:cs="Arial"/>
                <w:b/>
                <w:bCs/>
                <w:color w:val="FFFFFF" w:themeColor="background1"/>
                <w:sz w:val="18"/>
                <w:szCs w:val="20"/>
                <w:lang w:val="es-CO" w:eastAsia="es-CO"/>
              </w:rPr>
              <w:br/>
              <w:t>Sim</w:t>
            </w:r>
          </w:p>
        </w:tc>
      </w:tr>
      <w:tr w:rsidR="00BC521A" w:rsidRPr="00516340" w:rsidTr="00990714">
        <w:trPr>
          <w:cantSplit/>
          <w:trHeight w:val="20"/>
        </w:trPr>
        <w:tc>
          <w:tcPr>
            <w:tcW w:w="1634"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Acogida y</w:t>
            </w:r>
            <w:r w:rsidRPr="00516340">
              <w:rPr>
                <w:rFonts w:eastAsia="Times New Roman" w:cs="Arial"/>
                <w:color w:val="000000"/>
                <w:sz w:val="18"/>
                <w:szCs w:val="20"/>
                <w:lang w:val="es-CO" w:eastAsia="es-CO"/>
              </w:rPr>
              <w:t xml:space="preserve"> Desarrollo - Situación</w:t>
            </w:r>
            <w:r>
              <w:rPr>
                <w:rFonts w:eastAsia="Times New Roman" w:cs="Arial"/>
                <w:color w:val="000000"/>
                <w:sz w:val="18"/>
                <w:szCs w:val="20"/>
                <w:lang w:val="es-CO" w:eastAsia="es-CO"/>
              </w:rPr>
              <w:t xml:space="preserve"> de Vida e</w:t>
            </w:r>
            <w:r w:rsidRPr="00516340">
              <w:rPr>
                <w:rFonts w:eastAsia="Times New Roman" w:cs="Arial"/>
                <w:color w:val="000000"/>
                <w:sz w:val="18"/>
                <w:szCs w:val="20"/>
                <w:lang w:val="es-CO" w:eastAsia="es-CO"/>
              </w:rPr>
              <w:t>n Calle</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r w:rsidR="00D808AA">
              <w:rPr>
                <w:rStyle w:val="Refdenotaalpie"/>
                <w:rFonts w:eastAsia="Times New Roman" w:cs="Arial"/>
                <w:color w:val="000000"/>
                <w:sz w:val="18"/>
                <w:szCs w:val="20"/>
                <w:lang w:val="es-CO" w:eastAsia="es-CO"/>
              </w:rPr>
              <w:footnoteReference w:id="27"/>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55</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178</w:t>
            </w:r>
          </w:p>
        </w:tc>
        <w:tc>
          <w:tcPr>
            <w:tcW w:w="739"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875" w:type="pct"/>
            <w:shd w:val="clear" w:color="auto" w:fill="auto"/>
            <w:noWrap/>
            <w:vAlign w:val="center"/>
            <w:hideMark/>
          </w:tcPr>
          <w:p w:rsidR="00BC521A" w:rsidRPr="00516340" w:rsidRDefault="00BC521A" w:rsidP="00BC521A">
            <w:pPr>
              <w:spacing w:after="0" w:line="240" w:lineRule="auto"/>
              <w:jc w:val="right"/>
              <w:rPr>
                <w:rFonts w:eastAsia="Times New Roman" w:cs="Arial"/>
                <w:color w:val="000000"/>
                <w:sz w:val="18"/>
                <w:szCs w:val="20"/>
                <w:lang w:val="es-CO" w:eastAsia="es-CO"/>
              </w:rPr>
            </w:pPr>
            <w:r w:rsidRPr="00516340">
              <w:rPr>
                <w:rFonts w:eastAsia="Times New Roman" w:cs="Arial"/>
                <w:color w:val="000000"/>
                <w:sz w:val="18"/>
                <w:szCs w:val="20"/>
                <w:lang w:val="es-CO" w:eastAsia="es-CO"/>
              </w:rPr>
              <w:t>246.942.300</w:t>
            </w:r>
          </w:p>
        </w:tc>
      </w:tr>
      <w:tr w:rsidR="00BC521A" w:rsidRPr="00516340" w:rsidTr="00990714">
        <w:trPr>
          <w:cantSplit/>
          <w:trHeight w:val="20"/>
        </w:trPr>
        <w:tc>
          <w:tcPr>
            <w:tcW w:w="1634"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Externado Jornada Completa con Alta Permanencia e</w:t>
            </w:r>
            <w:r w:rsidRPr="00516340">
              <w:rPr>
                <w:rFonts w:eastAsia="Times New Roman" w:cs="Arial"/>
                <w:color w:val="000000"/>
                <w:sz w:val="18"/>
                <w:szCs w:val="20"/>
                <w:lang w:val="es-CO" w:eastAsia="es-CO"/>
              </w:rPr>
              <w:t>n Calle</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45</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94</w:t>
            </w:r>
          </w:p>
        </w:tc>
        <w:tc>
          <w:tcPr>
            <w:tcW w:w="739"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875" w:type="pct"/>
            <w:shd w:val="clear" w:color="auto" w:fill="auto"/>
            <w:noWrap/>
            <w:vAlign w:val="center"/>
            <w:hideMark/>
          </w:tcPr>
          <w:p w:rsidR="00BC521A" w:rsidRPr="00516340" w:rsidRDefault="00BC521A" w:rsidP="00BC521A">
            <w:pPr>
              <w:spacing w:after="0" w:line="240" w:lineRule="auto"/>
              <w:jc w:val="right"/>
              <w:rPr>
                <w:rFonts w:eastAsia="Times New Roman" w:cs="Arial"/>
                <w:color w:val="000000"/>
                <w:sz w:val="18"/>
                <w:szCs w:val="20"/>
                <w:lang w:val="es-CO" w:eastAsia="es-CO"/>
              </w:rPr>
            </w:pPr>
            <w:r w:rsidRPr="00516340">
              <w:rPr>
                <w:rFonts w:eastAsia="Times New Roman" w:cs="Arial"/>
                <w:color w:val="000000"/>
                <w:sz w:val="18"/>
                <w:szCs w:val="20"/>
                <w:lang w:val="es-CO" w:eastAsia="es-CO"/>
              </w:rPr>
              <w:t>387.502.827</w:t>
            </w:r>
          </w:p>
        </w:tc>
      </w:tr>
      <w:tr w:rsidR="00BC521A" w:rsidRPr="00516340" w:rsidTr="00990714">
        <w:trPr>
          <w:cantSplit/>
          <w:trHeight w:val="20"/>
        </w:trPr>
        <w:tc>
          <w:tcPr>
            <w:tcW w:w="1634"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sidRPr="00516340">
              <w:rPr>
                <w:rFonts w:eastAsia="Times New Roman" w:cs="Arial"/>
                <w:color w:val="000000"/>
                <w:sz w:val="18"/>
                <w:szCs w:val="20"/>
                <w:lang w:val="es-CO" w:eastAsia="es-CO"/>
              </w:rPr>
              <w:t xml:space="preserve">Externado Media Jornada Con Alta Permanencia </w:t>
            </w:r>
            <w:r>
              <w:rPr>
                <w:rFonts w:eastAsia="Times New Roman" w:cs="Arial"/>
                <w:color w:val="000000"/>
                <w:sz w:val="18"/>
                <w:szCs w:val="20"/>
                <w:lang w:val="es-CO" w:eastAsia="es-CO"/>
              </w:rPr>
              <w:t>e</w:t>
            </w:r>
            <w:r w:rsidRPr="00516340">
              <w:rPr>
                <w:rFonts w:eastAsia="Times New Roman" w:cs="Arial"/>
                <w:color w:val="000000"/>
                <w:sz w:val="18"/>
                <w:szCs w:val="20"/>
                <w:lang w:val="es-CO" w:eastAsia="es-CO"/>
              </w:rPr>
              <w:t>n Calle</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648</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1536</w:t>
            </w:r>
          </w:p>
        </w:tc>
        <w:tc>
          <w:tcPr>
            <w:tcW w:w="739"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875" w:type="pct"/>
            <w:shd w:val="clear" w:color="auto" w:fill="auto"/>
            <w:noWrap/>
            <w:vAlign w:val="center"/>
            <w:hideMark/>
          </w:tcPr>
          <w:p w:rsidR="00BC521A" w:rsidRPr="00516340" w:rsidRDefault="00BC521A" w:rsidP="00BC521A">
            <w:pPr>
              <w:spacing w:after="0" w:line="240" w:lineRule="auto"/>
              <w:jc w:val="right"/>
              <w:rPr>
                <w:rFonts w:eastAsia="Times New Roman" w:cs="Arial"/>
                <w:color w:val="000000"/>
                <w:sz w:val="18"/>
                <w:szCs w:val="20"/>
                <w:lang w:val="es-CO" w:eastAsia="es-CO"/>
              </w:rPr>
            </w:pPr>
            <w:r w:rsidRPr="00516340">
              <w:rPr>
                <w:rFonts w:eastAsia="Times New Roman" w:cs="Arial"/>
                <w:color w:val="000000"/>
                <w:sz w:val="18"/>
                <w:szCs w:val="20"/>
                <w:lang w:val="es-CO" w:eastAsia="es-CO"/>
              </w:rPr>
              <w:t>2.209.835.207</w:t>
            </w:r>
          </w:p>
        </w:tc>
      </w:tr>
      <w:tr w:rsidR="00BC521A" w:rsidRPr="00516340" w:rsidTr="00990714">
        <w:trPr>
          <w:cantSplit/>
          <w:trHeight w:val="20"/>
        </w:trPr>
        <w:tc>
          <w:tcPr>
            <w:tcW w:w="1634"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sidRPr="00516340">
              <w:rPr>
                <w:rFonts w:eastAsia="Times New Roman" w:cs="Arial"/>
                <w:color w:val="000000"/>
                <w:sz w:val="18"/>
                <w:szCs w:val="20"/>
                <w:lang w:val="es-CO" w:eastAsia="es-CO"/>
              </w:rPr>
              <w:t>Internado - Situación</w:t>
            </w:r>
            <w:r>
              <w:rPr>
                <w:rFonts w:eastAsia="Times New Roman" w:cs="Arial"/>
                <w:color w:val="000000"/>
                <w:sz w:val="18"/>
                <w:szCs w:val="20"/>
                <w:lang w:val="es-CO" w:eastAsia="es-CO"/>
              </w:rPr>
              <w:t xml:space="preserve"> de Vida e</w:t>
            </w:r>
            <w:r w:rsidRPr="00516340">
              <w:rPr>
                <w:rFonts w:eastAsia="Times New Roman" w:cs="Arial"/>
                <w:color w:val="000000"/>
                <w:sz w:val="18"/>
                <w:szCs w:val="20"/>
                <w:lang w:val="es-CO" w:eastAsia="es-CO"/>
              </w:rPr>
              <w:t>n Calle</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557</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592</w:t>
            </w:r>
          </w:p>
        </w:tc>
        <w:tc>
          <w:tcPr>
            <w:tcW w:w="739"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63</w:t>
            </w:r>
          </w:p>
        </w:tc>
        <w:tc>
          <w:tcPr>
            <w:tcW w:w="875" w:type="pct"/>
            <w:shd w:val="clear" w:color="auto" w:fill="auto"/>
            <w:noWrap/>
            <w:vAlign w:val="center"/>
            <w:hideMark/>
          </w:tcPr>
          <w:p w:rsidR="00BC521A" w:rsidRPr="00516340" w:rsidRDefault="00BC521A" w:rsidP="00BC521A">
            <w:pPr>
              <w:spacing w:after="0" w:line="240" w:lineRule="auto"/>
              <w:jc w:val="right"/>
              <w:rPr>
                <w:rFonts w:eastAsia="Times New Roman" w:cs="Arial"/>
                <w:color w:val="000000"/>
                <w:sz w:val="18"/>
                <w:szCs w:val="20"/>
                <w:lang w:val="es-CO" w:eastAsia="es-CO"/>
              </w:rPr>
            </w:pPr>
            <w:r w:rsidRPr="00516340">
              <w:rPr>
                <w:rFonts w:eastAsia="Times New Roman" w:cs="Arial"/>
                <w:color w:val="000000"/>
                <w:sz w:val="18"/>
                <w:szCs w:val="20"/>
                <w:lang w:val="es-CO" w:eastAsia="es-CO"/>
              </w:rPr>
              <w:t>6.449.105.274</w:t>
            </w:r>
          </w:p>
        </w:tc>
      </w:tr>
      <w:tr w:rsidR="00BC521A" w:rsidRPr="00516340" w:rsidTr="00990714">
        <w:trPr>
          <w:cantSplit/>
          <w:trHeight w:val="20"/>
        </w:trPr>
        <w:tc>
          <w:tcPr>
            <w:tcW w:w="1634"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Intervención d</w:t>
            </w:r>
            <w:r w:rsidRPr="00516340">
              <w:rPr>
                <w:rFonts w:eastAsia="Times New Roman" w:cs="Arial"/>
                <w:color w:val="000000"/>
                <w:sz w:val="18"/>
                <w:szCs w:val="20"/>
                <w:lang w:val="es-CO" w:eastAsia="es-CO"/>
              </w:rPr>
              <w:t>e Apoyo - Apoyo Ps</w:t>
            </w:r>
            <w:r>
              <w:rPr>
                <w:rFonts w:eastAsia="Times New Roman" w:cs="Arial"/>
                <w:color w:val="000000"/>
                <w:sz w:val="18"/>
                <w:szCs w:val="20"/>
                <w:lang w:val="es-CO" w:eastAsia="es-CO"/>
              </w:rPr>
              <w:t>icosocial con Alta Permanencia e</w:t>
            </w:r>
            <w:r w:rsidRPr="00516340">
              <w:rPr>
                <w:rFonts w:eastAsia="Times New Roman" w:cs="Arial"/>
                <w:color w:val="000000"/>
                <w:sz w:val="18"/>
                <w:szCs w:val="20"/>
                <w:lang w:val="es-CO" w:eastAsia="es-CO"/>
              </w:rPr>
              <w:t>n Calle</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425</w:t>
            </w:r>
          </w:p>
        </w:tc>
        <w:tc>
          <w:tcPr>
            <w:tcW w:w="58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938</w:t>
            </w:r>
          </w:p>
        </w:tc>
        <w:tc>
          <w:tcPr>
            <w:tcW w:w="739"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103</w:t>
            </w:r>
          </w:p>
        </w:tc>
        <w:tc>
          <w:tcPr>
            <w:tcW w:w="875" w:type="pct"/>
            <w:shd w:val="clear" w:color="auto" w:fill="auto"/>
            <w:noWrap/>
            <w:vAlign w:val="center"/>
            <w:hideMark/>
          </w:tcPr>
          <w:p w:rsidR="00BC521A" w:rsidRPr="00516340" w:rsidRDefault="00BC521A" w:rsidP="00BC521A">
            <w:pPr>
              <w:spacing w:after="0" w:line="240" w:lineRule="auto"/>
              <w:jc w:val="right"/>
              <w:rPr>
                <w:rFonts w:eastAsia="Times New Roman" w:cs="Arial"/>
                <w:color w:val="000000"/>
                <w:sz w:val="18"/>
                <w:szCs w:val="20"/>
                <w:lang w:val="es-CO" w:eastAsia="es-CO"/>
              </w:rPr>
            </w:pPr>
            <w:r w:rsidRPr="00516340">
              <w:rPr>
                <w:rFonts w:eastAsia="Times New Roman" w:cs="Arial"/>
                <w:color w:val="000000"/>
                <w:sz w:val="18"/>
                <w:szCs w:val="20"/>
                <w:lang w:val="es-CO" w:eastAsia="es-CO"/>
              </w:rPr>
              <w:t>912.782.006</w:t>
            </w:r>
          </w:p>
        </w:tc>
      </w:tr>
    </w:tbl>
    <w:p w:rsidR="00516340" w:rsidRDefault="00990714" w:rsidP="00990714">
      <w:pPr>
        <w:spacing w:after="0" w:line="240" w:lineRule="auto"/>
        <w:rPr>
          <w:rFonts w:ascii="Calibri" w:eastAsia="Times New Roman" w:hAnsi="Calibri"/>
          <w:color w:val="000000"/>
          <w:sz w:val="18"/>
          <w:szCs w:val="18"/>
          <w:lang w:val="es-CO" w:eastAsia="es-CO"/>
        </w:rPr>
      </w:pPr>
      <w:r w:rsidRPr="00990714">
        <w:rPr>
          <w:rFonts w:ascii="Calibri" w:eastAsia="Times New Roman" w:hAnsi="Calibri"/>
          <w:b/>
          <w:color w:val="000000"/>
          <w:sz w:val="18"/>
          <w:szCs w:val="18"/>
          <w:lang w:val="es-CO" w:eastAsia="es-CO"/>
        </w:rPr>
        <w:t>Fuente:</w:t>
      </w:r>
      <w:r w:rsidRPr="00516340">
        <w:rPr>
          <w:rFonts w:ascii="Calibri" w:eastAsia="Times New Roman" w:hAnsi="Calibri"/>
          <w:color w:val="000000"/>
          <w:sz w:val="18"/>
          <w:szCs w:val="18"/>
          <w:lang w:val="es-CO" w:eastAsia="es-CO"/>
        </w:rPr>
        <w:t xml:space="preserve"> Ejecución de Metas Sociales y Financieras Vigencia 2016 - Reporte Ejecución Municipal - SIM - Diciembre Preliminar</w:t>
      </w:r>
    </w:p>
    <w:p w:rsidR="00217275" w:rsidRPr="00D21160" w:rsidRDefault="00217275" w:rsidP="00217275">
      <w:pPr>
        <w:rPr>
          <w:rFonts w:ascii="Calibri" w:hAnsi="Calibri"/>
          <w:i/>
          <w:iCs/>
          <w:sz w:val="16"/>
          <w:lang w:val="es-CO"/>
        </w:rPr>
      </w:pPr>
      <w:r w:rsidRPr="00D21160">
        <w:rPr>
          <w:i/>
          <w:iCs/>
          <w:sz w:val="16"/>
        </w:rPr>
        <w:t>Nota: Información preliminar, sujeta a actualización del cierre oficial de metas sociales y financieras.</w:t>
      </w:r>
    </w:p>
    <w:p w:rsidR="00BC521A" w:rsidRDefault="00BC521A" w:rsidP="00BC521A">
      <w:pPr>
        <w:spacing w:after="0" w:line="240" w:lineRule="auto"/>
        <w:jc w:val="both"/>
        <w:rPr>
          <w:rFonts w:cs="Arial"/>
        </w:rPr>
      </w:pPr>
      <w:r w:rsidRPr="00BC521A">
        <w:rPr>
          <w:rFonts w:cs="Arial"/>
        </w:rPr>
        <w:t>Las principales acciones fueron:</w:t>
      </w:r>
    </w:p>
    <w:p w:rsidR="00990714" w:rsidRPr="00BC521A" w:rsidRDefault="00990714" w:rsidP="00BC521A">
      <w:pPr>
        <w:spacing w:after="0" w:line="240" w:lineRule="auto"/>
        <w:jc w:val="both"/>
        <w:rPr>
          <w:rFonts w:cs="Arial"/>
        </w:rPr>
      </w:pPr>
    </w:p>
    <w:p w:rsidR="00BC521A" w:rsidRDefault="00BC521A" w:rsidP="00D712DC">
      <w:pPr>
        <w:numPr>
          <w:ilvl w:val="0"/>
          <w:numId w:val="62"/>
        </w:numPr>
        <w:tabs>
          <w:tab w:val="left" w:pos="142"/>
        </w:tabs>
        <w:spacing w:after="0" w:line="240" w:lineRule="auto"/>
        <w:ind w:left="635" w:hanging="357"/>
        <w:contextualSpacing/>
        <w:jc w:val="both"/>
        <w:rPr>
          <w:rFonts w:cs="Arial"/>
          <w:lang w:val="es-CO" w:eastAsia="es-ES"/>
        </w:rPr>
      </w:pPr>
      <w:r w:rsidRPr="00BC521A">
        <w:rPr>
          <w:rFonts w:cs="Arial"/>
          <w:lang w:val="es-CO" w:eastAsia="es-ES"/>
        </w:rPr>
        <w:t>Asistencia técnica con las 33 regionales del ICBF, a través de dos (2) videoconferencias para el abordaje del tema de situación de vida en calle y alta permanencia en calle, teniendo en cuenta las necesidades técnicas de los equipos de asistencia técnica y Defensorías de Familia a nivel nacional.</w:t>
      </w:r>
    </w:p>
    <w:p w:rsidR="00990714" w:rsidRPr="00BC521A" w:rsidRDefault="00990714" w:rsidP="00990714">
      <w:pPr>
        <w:tabs>
          <w:tab w:val="left" w:pos="142"/>
        </w:tabs>
        <w:spacing w:after="0" w:line="240" w:lineRule="auto"/>
        <w:ind w:left="635"/>
        <w:contextualSpacing/>
        <w:jc w:val="both"/>
        <w:rPr>
          <w:rFonts w:cs="Arial"/>
          <w:lang w:val="es-CO" w:eastAsia="es-ES"/>
        </w:rPr>
      </w:pPr>
    </w:p>
    <w:p w:rsidR="00BC521A" w:rsidRPr="00BC521A" w:rsidRDefault="00BC521A" w:rsidP="00D712DC">
      <w:pPr>
        <w:numPr>
          <w:ilvl w:val="0"/>
          <w:numId w:val="62"/>
        </w:numPr>
        <w:tabs>
          <w:tab w:val="left" w:pos="142"/>
        </w:tabs>
        <w:spacing w:after="0" w:line="240" w:lineRule="auto"/>
        <w:ind w:left="635" w:hanging="357"/>
        <w:contextualSpacing/>
        <w:jc w:val="both"/>
        <w:rPr>
          <w:rFonts w:cs="Arial"/>
          <w:lang w:val="es-CO" w:eastAsia="es-ES"/>
        </w:rPr>
      </w:pPr>
      <w:r w:rsidRPr="00BC521A">
        <w:rPr>
          <w:rFonts w:cs="Arial"/>
          <w:lang w:val="es-CO" w:eastAsia="es-ES"/>
        </w:rPr>
        <w:lastRenderedPageBreak/>
        <w:t>Participación en la Mesa Técnica Nacional de Habitante de Calle y elaboración de observaciones al documento base de la Política Pública Social de Habitante de Calle, referentes a la atención a los niños, niñas y adolescentes en situación de vida en calle.</w:t>
      </w:r>
    </w:p>
    <w:p w:rsidR="00BC521A" w:rsidRPr="00BC521A" w:rsidRDefault="00BC521A" w:rsidP="001E47A1">
      <w:pPr>
        <w:rPr>
          <w:lang w:val="es-CO" w:eastAsia="es-ES"/>
        </w:rPr>
      </w:pPr>
    </w:p>
    <w:p w:rsidR="00BC521A" w:rsidRPr="00C43651" w:rsidRDefault="00BC521A" w:rsidP="001E47A1">
      <w:pPr>
        <w:ind w:left="635"/>
        <w:jc w:val="both"/>
        <w:rPr>
          <w:rFonts w:eastAsiaTheme="majorEastAsia"/>
          <w:b/>
        </w:rPr>
      </w:pPr>
      <w:bookmarkStart w:id="120" w:name="_Toc472519292"/>
      <w:r w:rsidRPr="00C43651">
        <w:rPr>
          <w:rFonts w:eastAsiaTheme="majorEastAsia"/>
          <w:b/>
        </w:rPr>
        <w:t>Restablecimiento de derechos de niños, niñas y adolescentes con consumo de sustancias psicoactivas</w:t>
      </w:r>
      <w:bookmarkEnd w:id="120"/>
    </w:p>
    <w:p w:rsidR="00BC521A" w:rsidRPr="00BC521A" w:rsidRDefault="00BC521A" w:rsidP="00BC521A">
      <w:pPr>
        <w:autoSpaceDE w:val="0"/>
        <w:autoSpaceDN w:val="0"/>
        <w:adjustRightInd w:val="0"/>
        <w:spacing w:after="0" w:line="240" w:lineRule="auto"/>
        <w:jc w:val="both"/>
        <w:rPr>
          <w:rFonts w:cs="Arial"/>
          <w:lang w:val="es-MX"/>
        </w:rPr>
      </w:pPr>
      <w:r w:rsidRPr="00BC521A">
        <w:rPr>
          <w:rFonts w:cs="Arial"/>
        </w:rPr>
        <w:t>Para la atención de niños, niñas y adolescentes con consumo de sustancias psicoactivas, se aprobó mediante Resolución No. 1526 de 2016 del lineamiento técnico para el programa especializado de atención a niños, niñas y adolescentes con consumo de sustancias psicoactivas con sus derechos amenazados, inobservados o vulnerados.</w:t>
      </w:r>
    </w:p>
    <w:p w:rsidR="00BC521A" w:rsidRPr="00BC521A" w:rsidRDefault="00BC521A" w:rsidP="00BC521A">
      <w:pPr>
        <w:autoSpaceDE w:val="0"/>
        <w:autoSpaceDN w:val="0"/>
        <w:adjustRightInd w:val="0"/>
        <w:spacing w:after="0" w:line="240" w:lineRule="auto"/>
        <w:jc w:val="both"/>
        <w:rPr>
          <w:rFonts w:cs="Arial"/>
        </w:rPr>
      </w:pPr>
    </w:p>
    <w:p w:rsidR="00BC521A" w:rsidRDefault="00BC521A" w:rsidP="00BC521A">
      <w:pPr>
        <w:spacing w:after="0" w:line="240" w:lineRule="auto"/>
        <w:contextualSpacing/>
        <w:jc w:val="both"/>
        <w:rPr>
          <w:rFonts w:cs="Arial"/>
        </w:rPr>
      </w:pPr>
      <w:r w:rsidRPr="00BC521A">
        <w:rPr>
          <w:rFonts w:cs="Arial"/>
        </w:rPr>
        <w:t>Durante la vigencia 2016 se ejecutaron 3.019 cupos</w:t>
      </w:r>
      <w:r w:rsidRPr="00BC521A">
        <w:rPr>
          <w:rFonts w:cs="Arial"/>
          <w:vertAlign w:val="superscript"/>
        </w:rPr>
        <w:footnoteReference w:id="28"/>
      </w:r>
      <w:r w:rsidRPr="00BC521A">
        <w:rPr>
          <w:rFonts w:cs="Arial"/>
        </w:rPr>
        <w:t xml:space="preserve"> para la atención a niños, niñas y adolescentes con consumo de sustancias psicoactivas, a través de las modalidades de Apoyo y fortalecimiento a la familia (Intervención de apoyo - Apoyo psicosocial, Externado – Media jornada y Externado – Jornada completa) y de Apoyo y fortalecimiento en medio diferente a la familia o red vincular (Internado).</w:t>
      </w:r>
    </w:p>
    <w:p w:rsidR="00D808AA" w:rsidRDefault="00D808AA" w:rsidP="00BC521A">
      <w:pPr>
        <w:spacing w:after="0" w:line="240" w:lineRule="auto"/>
        <w:contextualSpacing/>
        <w:jc w:val="both"/>
        <w:rPr>
          <w:rFonts w:cs="Arial"/>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022"/>
        <w:gridCol w:w="1173"/>
        <w:gridCol w:w="1172"/>
        <w:gridCol w:w="1172"/>
        <w:gridCol w:w="1368"/>
        <w:gridCol w:w="1488"/>
      </w:tblGrid>
      <w:tr w:rsidR="00BC521A" w:rsidRPr="00516340" w:rsidTr="00217275">
        <w:trPr>
          <w:cantSplit/>
          <w:tblHeader/>
        </w:trPr>
        <w:tc>
          <w:tcPr>
            <w:tcW w:w="1608"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Nombre</w:t>
            </w:r>
          </w:p>
        </w:tc>
        <w:tc>
          <w:tcPr>
            <w:tcW w:w="62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Unidades</w:t>
            </w:r>
          </w:p>
        </w:tc>
        <w:tc>
          <w:tcPr>
            <w:tcW w:w="62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Cupos</w:t>
            </w:r>
          </w:p>
        </w:tc>
        <w:tc>
          <w:tcPr>
            <w:tcW w:w="624"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Usuarios</w:t>
            </w:r>
          </w:p>
        </w:tc>
        <w:tc>
          <w:tcPr>
            <w:tcW w:w="728" w:type="pct"/>
            <w:shd w:val="clear" w:color="auto" w:fill="76923C" w:themeFill="accent3" w:themeFillShade="BF"/>
            <w:vAlign w:val="center"/>
            <w:hideMark/>
          </w:tcPr>
          <w:p w:rsidR="00BC521A" w:rsidRPr="00990714" w:rsidRDefault="00990714" w:rsidP="00BC521A">
            <w:pPr>
              <w:spacing w:after="0" w:line="240" w:lineRule="auto"/>
              <w:jc w:val="center"/>
              <w:rPr>
                <w:rFonts w:eastAsia="Times New Roman" w:cs="Arial"/>
                <w:b/>
                <w:bCs/>
                <w:color w:val="FFFFFF" w:themeColor="background1"/>
                <w:sz w:val="18"/>
                <w:szCs w:val="20"/>
                <w:lang w:val="es-CO" w:eastAsia="es-CO"/>
              </w:rPr>
            </w:pPr>
            <w:r w:rsidRPr="00990714">
              <w:rPr>
                <w:rFonts w:eastAsia="Times New Roman" w:cs="Arial"/>
                <w:b/>
                <w:bCs/>
                <w:color w:val="FFFFFF" w:themeColor="background1"/>
                <w:sz w:val="18"/>
                <w:szCs w:val="20"/>
                <w:lang w:val="es-CO" w:eastAsia="es-CO"/>
              </w:rPr>
              <w:t xml:space="preserve"> Usuarios</w:t>
            </w:r>
            <w:r w:rsidRPr="00990714">
              <w:rPr>
                <w:rFonts w:eastAsia="Times New Roman" w:cs="Arial"/>
                <w:b/>
                <w:bCs/>
                <w:color w:val="FFFFFF" w:themeColor="background1"/>
                <w:sz w:val="18"/>
                <w:szCs w:val="20"/>
                <w:lang w:val="es-CO" w:eastAsia="es-CO"/>
              </w:rPr>
              <w:br/>
              <w:t xml:space="preserve">Desplazados </w:t>
            </w:r>
          </w:p>
        </w:tc>
        <w:tc>
          <w:tcPr>
            <w:tcW w:w="793" w:type="pct"/>
            <w:shd w:val="clear" w:color="auto" w:fill="76923C" w:themeFill="accent3" w:themeFillShade="BF"/>
            <w:vAlign w:val="center"/>
            <w:hideMark/>
          </w:tcPr>
          <w:p w:rsidR="00BC521A" w:rsidRPr="00990714" w:rsidRDefault="000610E9" w:rsidP="000610E9">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 xml:space="preserve"> ObligaciónSIM</w:t>
            </w:r>
          </w:p>
        </w:tc>
      </w:tr>
      <w:tr w:rsidR="00BC521A" w:rsidRPr="00516340" w:rsidTr="00217275">
        <w:trPr>
          <w:cantSplit/>
        </w:trPr>
        <w:tc>
          <w:tcPr>
            <w:tcW w:w="1608" w:type="pct"/>
            <w:shd w:val="clear" w:color="auto" w:fill="auto"/>
            <w:vAlign w:val="center"/>
            <w:hideMark/>
          </w:tcPr>
          <w:p w:rsidR="00BC521A" w:rsidRPr="00516340" w:rsidRDefault="00990714" w:rsidP="00990714">
            <w:pPr>
              <w:spacing w:after="0" w:line="240" w:lineRule="auto"/>
              <w:rPr>
                <w:rFonts w:eastAsia="Times New Roman" w:cs="Arial"/>
                <w:color w:val="000000"/>
                <w:sz w:val="18"/>
                <w:szCs w:val="20"/>
                <w:lang w:val="es-CO" w:eastAsia="es-CO"/>
              </w:rPr>
            </w:pPr>
            <w:r w:rsidRPr="00516340">
              <w:rPr>
                <w:rFonts w:eastAsia="Times New Roman" w:cs="Arial"/>
                <w:color w:val="000000"/>
                <w:sz w:val="18"/>
                <w:szCs w:val="20"/>
                <w:lang w:val="es-CO" w:eastAsia="es-CO"/>
              </w:rPr>
              <w:t xml:space="preserve">Externado Jornada Completa Consumo Habitual </w:t>
            </w:r>
            <w:r>
              <w:rPr>
                <w:rFonts w:eastAsia="Times New Roman" w:cs="Arial"/>
                <w:color w:val="000000"/>
                <w:sz w:val="18"/>
                <w:szCs w:val="20"/>
                <w:lang w:val="es-CO" w:eastAsia="es-CO"/>
              </w:rPr>
              <w:t>d</w:t>
            </w:r>
            <w:r w:rsidRPr="00516340">
              <w:rPr>
                <w:rFonts w:eastAsia="Times New Roman" w:cs="Arial"/>
                <w:color w:val="000000"/>
                <w:sz w:val="18"/>
                <w:szCs w:val="20"/>
                <w:lang w:val="es-CO" w:eastAsia="es-CO"/>
              </w:rPr>
              <w:t>e Sustancias Psicoactivas</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84</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233</w:t>
            </w:r>
          </w:p>
        </w:tc>
        <w:tc>
          <w:tcPr>
            <w:tcW w:w="728"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22</w:t>
            </w:r>
          </w:p>
        </w:tc>
        <w:tc>
          <w:tcPr>
            <w:tcW w:w="793"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555.198.029</w:t>
            </w:r>
          </w:p>
        </w:tc>
      </w:tr>
      <w:tr w:rsidR="00BC521A" w:rsidRPr="00516340" w:rsidTr="00217275">
        <w:trPr>
          <w:cantSplit/>
        </w:trPr>
        <w:tc>
          <w:tcPr>
            <w:tcW w:w="1608"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sidRPr="00516340">
              <w:rPr>
                <w:rFonts w:eastAsia="Times New Roman" w:cs="Arial"/>
                <w:color w:val="000000"/>
                <w:sz w:val="18"/>
                <w:szCs w:val="20"/>
                <w:lang w:val="es-CO" w:eastAsia="es-CO"/>
              </w:rPr>
              <w:t>Externad</w:t>
            </w:r>
            <w:r>
              <w:rPr>
                <w:rFonts w:eastAsia="Times New Roman" w:cs="Arial"/>
                <w:color w:val="000000"/>
                <w:sz w:val="18"/>
                <w:szCs w:val="20"/>
                <w:lang w:val="es-CO" w:eastAsia="es-CO"/>
              </w:rPr>
              <w:t>o Media Jornada Consumo Social d</w:t>
            </w:r>
            <w:r w:rsidRPr="00516340">
              <w:rPr>
                <w:rFonts w:eastAsia="Times New Roman" w:cs="Arial"/>
                <w:color w:val="000000"/>
                <w:sz w:val="18"/>
                <w:szCs w:val="20"/>
                <w:lang w:val="es-CO" w:eastAsia="es-CO"/>
              </w:rPr>
              <w:t>e Sustancias Psicoactivas</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266</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801</w:t>
            </w:r>
          </w:p>
        </w:tc>
        <w:tc>
          <w:tcPr>
            <w:tcW w:w="728"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793"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1.219.567.696</w:t>
            </w:r>
          </w:p>
        </w:tc>
      </w:tr>
      <w:tr w:rsidR="00BC521A" w:rsidRPr="00516340" w:rsidTr="00217275">
        <w:trPr>
          <w:cantSplit/>
        </w:trPr>
        <w:tc>
          <w:tcPr>
            <w:tcW w:w="1608" w:type="pct"/>
            <w:shd w:val="clear" w:color="auto" w:fill="auto"/>
            <w:vAlign w:val="center"/>
            <w:hideMark/>
          </w:tcPr>
          <w:p w:rsidR="00BC521A" w:rsidRPr="00516340" w:rsidRDefault="00990714" w:rsidP="00BC521A">
            <w:pPr>
              <w:spacing w:after="0" w:line="240" w:lineRule="auto"/>
              <w:rPr>
                <w:rFonts w:eastAsia="Times New Roman" w:cs="Arial"/>
                <w:color w:val="000000"/>
                <w:sz w:val="18"/>
                <w:szCs w:val="20"/>
                <w:lang w:val="es-CO" w:eastAsia="es-CO"/>
              </w:rPr>
            </w:pPr>
            <w:r w:rsidRPr="00516340">
              <w:rPr>
                <w:rFonts w:eastAsia="Times New Roman" w:cs="Arial"/>
                <w:color w:val="000000"/>
                <w:sz w:val="18"/>
                <w:szCs w:val="20"/>
                <w:lang w:val="es-CO" w:eastAsia="es-CO"/>
              </w:rPr>
              <w:t>Intern</w:t>
            </w:r>
            <w:r w:rsidR="000610E9">
              <w:rPr>
                <w:rFonts w:eastAsia="Times New Roman" w:cs="Arial"/>
                <w:color w:val="000000"/>
                <w:sz w:val="18"/>
                <w:szCs w:val="20"/>
                <w:lang w:val="es-CO" w:eastAsia="es-CO"/>
              </w:rPr>
              <w:t>ado – c</w:t>
            </w:r>
            <w:r>
              <w:rPr>
                <w:rFonts w:eastAsia="Times New Roman" w:cs="Arial"/>
                <w:color w:val="000000"/>
                <w:sz w:val="18"/>
                <w:szCs w:val="20"/>
                <w:lang w:val="es-CO" w:eastAsia="es-CO"/>
              </w:rPr>
              <w:t xml:space="preserve">on Consumo Problemático </w:t>
            </w:r>
            <w:r w:rsidR="000610E9">
              <w:rPr>
                <w:rFonts w:eastAsia="Times New Roman" w:cs="Arial"/>
                <w:color w:val="000000"/>
                <w:sz w:val="18"/>
                <w:szCs w:val="20"/>
                <w:lang w:val="es-CO" w:eastAsia="es-CO"/>
              </w:rPr>
              <w:t>y/o Abusivo d</w:t>
            </w:r>
            <w:r w:rsidRPr="00516340">
              <w:rPr>
                <w:rFonts w:eastAsia="Times New Roman" w:cs="Arial"/>
                <w:color w:val="000000"/>
                <w:sz w:val="18"/>
                <w:szCs w:val="20"/>
                <w:lang w:val="es-CO" w:eastAsia="es-CO"/>
              </w:rPr>
              <w:t>e Sustancias Psicoactivas</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18</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2324</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2561</w:t>
            </w:r>
          </w:p>
        </w:tc>
        <w:tc>
          <w:tcPr>
            <w:tcW w:w="728"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311</w:t>
            </w:r>
          </w:p>
        </w:tc>
        <w:tc>
          <w:tcPr>
            <w:tcW w:w="793"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27.732.338.213</w:t>
            </w:r>
          </w:p>
        </w:tc>
      </w:tr>
      <w:tr w:rsidR="00BC521A" w:rsidRPr="00516340" w:rsidTr="00217275">
        <w:trPr>
          <w:cantSplit/>
        </w:trPr>
        <w:tc>
          <w:tcPr>
            <w:tcW w:w="1608" w:type="pct"/>
            <w:shd w:val="clear" w:color="auto" w:fill="auto"/>
            <w:vAlign w:val="center"/>
            <w:hideMark/>
          </w:tcPr>
          <w:p w:rsidR="00BC521A" w:rsidRPr="00516340" w:rsidRDefault="000610E9" w:rsidP="00BC521A">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Intervención d</w:t>
            </w:r>
            <w:r w:rsidR="00990714" w:rsidRPr="00516340">
              <w:rPr>
                <w:rFonts w:eastAsia="Times New Roman" w:cs="Arial"/>
                <w:color w:val="000000"/>
                <w:sz w:val="18"/>
                <w:szCs w:val="20"/>
                <w:lang w:val="es-CO" w:eastAsia="es-CO"/>
              </w:rPr>
              <w:t>e Apoyo – Apoyo Psicos</w:t>
            </w:r>
            <w:r>
              <w:rPr>
                <w:rFonts w:eastAsia="Times New Roman" w:cs="Arial"/>
                <w:color w:val="000000"/>
                <w:sz w:val="18"/>
                <w:szCs w:val="20"/>
                <w:lang w:val="es-CO" w:eastAsia="es-CO"/>
              </w:rPr>
              <w:t>ocial con Consumo Experimental d</w:t>
            </w:r>
            <w:r w:rsidR="00990714" w:rsidRPr="00516340">
              <w:rPr>
                <w:rFonts w:eastAsia="Times New Roman" w:cs="Arial"/>
                <w:color w:val="000000"/>
                <w:sz w:val="18"/>
                <w:szCs w:val="20"/>
                <w:lang w:val="es-CO" w:eastAsia="es-CO"/>
              </w:rPr>
              <w:t>e Sustancias Psicoactivas</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0</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345</w:t>
            </w:r>
          </w:p>
        </w:tc>
        <w:tc>
          <w:tcPr>
            <w:tcW w:w="624"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730</w:t>
            </w:r>
          </w:p>
        </w:tc>
        <w:tc>
          <w:tcPr>
            <w:tcW w:w="728"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5</w:t>
            </w:r>
          </w:p>
        </w:tc>
        <w:tc>
          <w:tcPr>
            <w:tcW w:w="793" w:type="pct"/>
            <w:shd w:val="clear" w:color="auto" w:fill="auto"/>
            <w:noWrap/>
            <w:vAlign w:val="center"/>
            <w:hideMark/>
          </w:tcPr>
          <w:p w:rsidR="00BC521A" w:rsidRPr="00516340" w:rsidRDefault="00BC521A" w:rsidP="00BC521A">
            <w:pPr>
              <w:spacing w:after="0" w:line="240" w:lineRule="auto"/>
              <w:jc w:val="center"/>
              <w:rPr>
                <w:rFonts w:eastAsia="Times New Roman" w:cs="Arial"/>
                <w:color w:val="000000"/>
                <w:sz w:val="18"/>
                <w:szCs w:val="20"/>
                <w:lang w:val="es-CO" w:eastAsia="es-CO"/>
              </w:rPr>
            </w:pPr>
            <w:r w:rsidRPr="00516340">
              <w:rPr>
                <w:rFonts w:eastAsia="Times New Roman" w:cs="Arial"/>
                <w:color w:val="000000"/>
                <w:sz w:val="18"/>
                <w:szCs w:val="20"/>
                <w:lang w:val="es-CO" w:eastAsia="es-CO"/>
              </w:rPr>
              <w:t>1.102.369.841</w:t>
            </w:r>
          </w:p>
        </w:tc>
      </w:tr>
      <w:tr w:rsidR="00BC521A" w:rsidRPr="00516340" w:rsidTr="00990714">
        <w:trPr>
          <w:cantSplit/>
        </w:trPr>
        <w:tc>
          <w:tcPr>
            <w:tcW w:w="5000" w:type="pct"/>
            <w:gridSpan w:val="6"/>
            <w:shd w:val="clear" w:color="auto" w:fill="auto"/>
            <w:noWrap/>
            <w:vAlign w:val="center"/>
            <w:hideMark/>
          </w:tcPr>
          <w:p w:rsidR="00BC521A" w:rsidRPr="00516340" w:rsidRDefault="00BC521A" w:rsidP="00BC521A">
            <w:pPr>
              <w:spacing w:after="0" w:line="240" w:lineRule="auto"/>
              <w:jc w:val="right"/>
              <w:rPr>
                <w:rFonts w:ascii="Calibri" w:eastAsia="Times New Roman" w:hAnsi="Calibri"/>
                <w:color w:val="000000"/>
                <w:sz w:val="18"/>
                <w:szCs w:val="16"/>
                <w:lang w:val="es-CO" w:eastAsia="es-CO"/>
              </w:rPr>
            </w:pPr>
          </w:p>
        </w:tc>
      </w:tr>
    </w:tbl>
    <w:p w:rsidR="00516340" w:rsidRDefault="000610E9" w:rsidP="000610E9">
      <w:pPr>
        <w:spacing w:after="0" w:line="240" w:lineRule="auto"/>
        <w:rPr>
          <w:rFonts w:ascii="Calibri" w:eastAsia="Times New Roman" w:hAnsi="Calibri"/>
          <w:color w:val="000000"/>
          <w:sz w:val="16"/>
          <w:szCs w:val="16"/>
          <w:lang w:val="es-CO" w:eastAsia="es-CO"/>
        </w:rPr>
      </w:pPr>
      <w:r w:rsidRPr="000610E9">
        <w:rPr>
          <w:rFonts w:ascii="Calibri" w:eastAsia="Times New Roman" w:hAnsi="Calibri"/>
          <w:b/>
          <w:color w:val="000000"/>
          <w:sz w:val="16"/>
          <w:szCs w:val="16"/>
          <w:lang w:val="es-CO" w:eastAsia="es-CO"/>
        </w:rPr>
        <w:t>Fuente:</w:t>
      </w:r>
      <w:r w:rsidRPr="000610E9">
        <w:rPr>
          <w:rFonts w:ascii="Calibri" w:eastAsia="Times New Roman" w:hAnsi="Calibri"/>
          <w:color w:val="000000"/>
          <w:sz w:val="16"/>
          <w:szCs w:val="16"/>
          <w:lang w:val="es-CO" w:eastAsia="es-CO"/>
        </w:rPr>
        <w:t xml:space="preserve"> Ejecución de Metas Sociales y Financieras Vigencia 2016 - Reporte Ejecución Municipal - SIM - Diciembre Preliminar</w:t>
      </w:r>
    </w:p>
    <w:p w:rsidR="00217275" w:rsidRPr="00D21160" w:rsidRDefault="00217275" w:rsidP="00217275">
      <w:pPr>
        <w:rPr>
          <w:rFonts w:ascii="Calibri" w:hAnsi="Calibri"/>
          <w:i/>
          <w:iCs/>
          <w:sz w:val="16"/>
          <w:lang w:val="es-CO"/>
        </w:rPr>
      </w:pPr>
      <w:r w:rsidRPr="00D21160">
        <w:rPr>
          <w:i/>
          <w:iCs/>
          <w:sz w:val="16"/>
        </w:rPr>
        <w:t>Nota: Información preliminar, sujeta a actualización del cierre oficial de metas sociales y financieras.</w:t>
      </w:r>
    </w:p>
    <w:p w:rsidR="00BC521A" w:rsidRDefault="00BC521A" w:rsidP="00BC521A">
      <w:pPr>
        <w:spacing w:after="0" w:line="240" w:lineRule="auto"/>
        <w:jc w:val="both"/>
        <w:rPr>
          <w:rFonts w:cs="Arial"/>
        </w:rPr>
      </w:pPr>
      <w:r w:rsidRPr="00BC521A">
        <w:rPr>
          <w:rFonts w:cs="Arial"/>
        </w:rPr>
        <w:t>Las principales acciones fueron:</w:t>
      </w:r>
    </w:p>
    <w:p w:rsidR="000610E9" w:rsidRPr="00BC521A" w:rsidRDefault="000610E9" w:rsidP="00BC521A">
      <w:pPr>
        <w:spacing w:after="0" w:line="240" w:lineRule="auto"/>
        <w:jc w:val="both"/>
        <w:rPr>
          <w:rFonts w:cs="Arial"/>
        </w:rPr>
      </w:pPr>
    </w:p>
    <w:p w:rsidR="00BC521A" w:rsidRDefault="00BC521A" w:rsidP="00D712DC">
      <w:pPr>
        <w:numPr>
          <w:ilvl w:val="0"/>
          <w:numId w:val="7"/>
        </w:numPr>
        <w:tabs>
          <w:tab w:val="left" w:pos="275"/>
        </w:tabs>
        <w:autoSpaceDE w:val="0"/>
        <w:autoSpaceDN w:val="0"/>
        <w:adjustRightInd w:val="0"/>
        <w:spacing w:after="0" w:line="240" w:lineRule="auto"/>
        <w:contextualSpacing/>
        <w:jc w:val="both"/>
        <w:rPr>
          <w:rFonts w:cs="Arial"/>
        </w:rPr>
      </w:pPr>
      <w:r w:rsidRPr="00BC521A">
        <w:rPr>
          <w:rFonts w:cs="Arial"/>
        </w:rPr>
        <w:t xml:space="preserve">En la ejecución del Convenio 1074 de 2016, celebrado entre ICBF y UNODC, </w:t>
      </w:r>
      <w:r w:rsidRPr="00BC521A">
        <w:rPr>
          <w:rFonts w:cs="Arial"/>
          <w:bCs/>
        </w:rPr>
        <w:t>para fortalecer los procesos de desarrollo de capacidades institucionales, orientados al uso de herramientas de promoción de la salud, la prevención y atención al consumo de sustancias psicoactivas en niños, niñas y adolescentes, a nivel nacional y territorial, se realizaron</w:t>
      </w:r>
      <w:r w:rsidRPr="00BC521A">
        <w:rPr>
          <w:rFonts w:cs="Arial"/>
        </w:rPr>
        <w:t xml:space="preserve"> cuatro (4) entrenamientos en tamizaje, detección e intervención del consumo de sustancias psicoactivas y once (11) asistencias técnicas dirigidas a 110 profesionales de once (11) regionales priorizadas (Bogotá, Antioquia, Valle, Atlántico, Caquetá, Casanare, Meta, Cauca, </w:t>
      </w:r>
      <w:r w:rsidR="000610E9">
        <w:rPr>
          <w:rFonts w:cs="Arial"/>
        </w:rPr>
        <w:t>Nariño, Risaralda y Magdalena).</w:t>
      </w:r>
    </w:p>
    <w:p w:rsidR="000610E9" w:rsidRPr="00BC521A" w:rsidRDefault="000610E9" w:rsidP="000610E9">
      <w:pPr>
        <w:tabs>
          <w:tab w:val="left" w:pos="275"/>
        </w:tabs>
        <w:autoSpaceDE w:val="0"/>
        <w:autoSpaceDN w:val="0"/>
        <w:adjustRightInd w:val="0"/>
        <w:spacing w:after="0" w:line="240" w:lineRule="auto"/>
        <w:ind w:left="635"/>
        <w:contextualSpacing/>
        <w:jc w:val="both"/>
        <w:rPr>
          <w:rFonts w:cs="Arial"/>
        </w:rPr>
      </w:pPr>
    </w:p>
    <w:p w:rsidR="00BC521A" w:rsidRDefault="00BC521A" w:rsidP="00D712DC">
      <w:pPr>
        <w:numPr>
          <w:ilvl w:val="0"/>
          <w:numId w:val="7"/>
        </w:numPr>
        <w:tabs>
          <w:tab w:val="left" w:pos="275"/>
        </w:tabs>
        <w:autoSpaceDE w:val="0"/>
        <w:autoSpaceDN w:val="0"/>
        <w:adjustRightInd w:val="0"/>
        <w:spacing w:after="0" w:line="240" w:lineRule="auto"/>
        <w:contextualSpacing/>
        <w:jc w:val="both"/>
        <w:rPr>
          <w:rFonts w:cs="Arial"/>
        </w:rPr>
      </w:pPr>
      <w:r w:rsidRPr="00BC521A">
        <w:rPr>
          <w:rFonts w:cs="Arial"/>
        </w:rPr>
        <w:lastRenderedPageBreak/>
        <w:t>A través del Convenio 1286 de 2016, celebrado entre ICBF y UNODC, se implementó en la Regional Risaralda un programa piloto de formación en liderazgo, habilidades para la vida y proyecto de vida como factores protectores para la prevención de recaídas,  dirigido a 100 niños, niñas y adolescentes que se encuentran bajo Proceso Administrativo de Restablecimiento de Derechos por consumo de sustancias psicoactivas en centros de tratamiento de la regional Risaralda.</w:t>
      </w:r>
    </w:p>
    <w:p w:rsidR="000610E9" w:rsidRPr="00BC521A" w:rsidRDefault="000610E9" w:rsidP="000610E9">
      <w:pPr>
        <w:tabs>
          <w:tab w:val="left" w:pos="275"/>
        </w:tabs>
        <w:autoSpaceDE w:val="0"/>
        <w:autoSpaceDN w:val="0"/>
        <w:adjustRightInd w:val="0"/>
        <w:spacing w:after="0" w:line="240" w:lineRule="auto"/>
        <w:contextualSpacing/>
        <w:jc w:val="both"/>
        <w:rPr>
          <w:rFonts w:cs="Arial"/>
        </w:rPr>
      </w:pPr>
    </w:p>
    <w:p w:rsidR="00BC521A" w:rsidRPr="00BC521A" w:rsidRDefault="00BC521A" w:rsidP="00D712DC">
      <w:pPr>
        <w:numPr>
          <w:ilvl w:val="0"/>
          <w:numId w:val="7"/>
        </w:numPr>
        <w:tabs>
          <w:tab w:val="left" w:pos="275"/>
        </w:tabs>
        <w:autoSpaceDE w:val="0"/>
        <w:autoSpaceDN w:val="0"/>
        <w:adjustRightInd w:val="0"/>
        <w:spacing w:after="0" w:line="240" w:lineRule="auto"/>
        <w:contextualSpacing/>
        <w:jc w:val="both"/>
        <w:rPr>
          <w:rFonts w:cs="Arial"/>
        </w:rPr>
      </w:pPr>
      <w:r w:rsidRPr="00BC521A">
        <w:rPr>
          <w:rFonts w:cs="Arial"/>
          <w:lang w:val="es-CO" w:eastAsia="es-ES"/>
        </w:rPr>
        <w:t xml:space="preserve">Fortalecimiento técnico mediante asistencia técnica permanente con base en la ubicación de los niños, niñas y adolescentes en las modalidades de atención, de acuerdo con el nivel de consumo de sustancias psicoactivas, y articulación con el sistema de salud. Acompañamiento a las regionales para la ubicación de oferta institucional en territorio para ampliar la oferta institucional en las Regionales Boyacá, Chocó, Meta, Guaviare, Arauca, Casanare, Caquetá y Amazonas, Valle y Bogotá en las que no se cuenta con operadores para la ejecución del programa especializado de atención a niños, niñas y adolescentes consumidores de sustancias psicoactivas. </w:t>
      </w:r>
      <w:r w:rsidRPr="00BC521A">
        <w:rPr>
          <w:rFonts w:cs="Arial"/>
        </w:rPr>
        <w:t>Asistencia técnica a 20 regionales: Guaviare, Amazonas, Bolívar, Guainía, Quindío, Cauca, Casanare, Caquetá, Chocó, Meta, Bogotá, Nariño, Boyacá, y Guaviare, Atlántico, Valle, Antioquia, Cauca, Magdalena y Risaralda, logrando el fortalecimiento en aspectos del proceso de atención, como perfiles de ubicación, desarrollo de etapas del proceso de atención, manejo adecuado de crisis y evasiones, entre otras.</w:t>
      </w:r>
    </w:p>
    <w:p w:rsidR="00217275" w:rsidRDefault="00217275" w:rsidP="00DC3486">
      <w:pPr>
        <w:ind w:left="635"/>
        <w:jc w:val="both"/>
        <w:rPr>
          <w:rFonts w:eastAsiaTheme="majorEastAsia"/>
          <w:b/>
        </w:rPr>
      </w:pPr>
      <w:bookmarkStart w:id="121" w:name="_Toc472519293"/>
    </w:p>
    <w:p w:rsidR="00BC521A" w:rsidRPr="00C43651" w:rsidRDefault="00BC521A" w:rsidP="00DC3486">
      <w:pPr>
        <w:ind w:left="635"/>
        <w:jc w:val="both"/>
        <w:rPr>
          <w:rFonts w:eastAsiaTheme="majorEastAsia"/>
          <w:b/>
        </w:rPr>
      </w:pPr>
      <w:r w:rsidRPr="00C43651">
        <w:rPr>
          <w:rFonts w:eastAsiaTheme="majorEastAsia"/>
          <w:b/>
        </w:rPr>
        <w:t>Restablecimiento de derechos de niños, niñas y adolescentes víctimas del conflicto armado</w:t>
      </w:r>
      <w:bookmarkEnd w:id="121"/>
    </w:p>
    <w:p w:rsidR="00BC521A" w:rsidRDefault="00BC521A" w:rsidP="00BC521A">
      <w:pPr>
        <w:spacing w:after="0" w:line="240" w:lineRule="auto"/>
        <w:jc w:val="both"/>
        <w:rPr>
          <w:rFonts w:cs="Arial"/>
          <w:lang w:eastAsia="es-ES"/>
        </w:rPr>
      </w:pPr>
      <w:r w:rsidRPr="00BC521A">
        <w:rPr>
          <w:rFonts w:cs="Arial"/>
          <w:lang w:eastAsia="es-ES"/>
        </w:rPr>
        <w:t>En 2016 se expidieron los siguientes lineamientos técnicos para la atención de niños, niñas y adolescentes víctimas del conflicto armado:</w:t>
      </w:r>
    </w:p>
    <w:p w:rsidR="000610E9" w:rsidRPr="00BC521A" w:rsidRDefault="000610E9" w:rsidP="00BC521A">
      <w:pPr>
        <w:spacing w:after="0" w:line="240" w:lineRule="auto"/>
        <w:jc w:val="both"/>
        <w:rPr>
          <w:rFonts w:cs="Arial"/>
          <w:lang w:eastAsia="es-ES"/>
        </w:rPr>
      </w:pPr>
    </w:p>
    <w:p w:rsidR="00BC521A" w:rsidRDefault="00BC521A" w:rsidP="00D712DC">
      <w:pPr>
        <w:numPr>
          <w:ilvl w:val="0"/>
          <w:numId w:val="64"/>
        </w:numPr>
        <w:spacing w:after="0" w:line="240" w:lineRule="auto"/>
        <w:jc w:val="both"/>
        <w:rPr>
          <w:rFonts w:cs="Arial"/>
        </w:rPr>
      </w:pPr>
      <w:r w:rsidRPr="00BC521A">
        <w:rPr>
          <w:rFonts w:cs="Arial"/>
        </w:rPr>
        <w:t xml:space="preserve">Anexo 6: </w:t>
      </w:r>
      <w:r w:rsidRPr="00BC521A">
        <w:rPr>
          <w:rFonts w:cs="Arial"/>
          <w:lang w:eastAsia="es-ES"/>
        </w:rPr>
        <w:t>Proceso</w:t>
      </w:r>
      <w:r w:rsidRPr="00BC521A">
        <w:rPr>
          <w:rFonts w:cs="Arial"/>
        </w:rPr>
        <w:t xml:space="preserve"> administrativo de restablecimiento de derechos y acompañamiento a la reparación integral de los niños, las niñas y adolescentes víctimas del conflicto armado</w:t>
      </w:r>
      <w:r w:rsidRPr="00BC521A">
        <w:rPr>
          <w:rFonts w:cs="Arial"/>
          <w:i/>
        </w:rPr>
        <w:t>, aprobado mediante Resolución No.1526 de 23 de febrero de 2016</w:t>
      </w:r>
      <w:r w:rsidRPr="00BC521A">
        <w:rPr>
          <w:rFonts w:cs="Arial"/>
        </w:rPr>
        <w:t>.</w:t>
      </w:r>
    </w:p>
    <w:p w:rsidR="00985DD9" w:rsidRPr="00BC521A" w:rsidRDefault="00985DD9" w:rsidP="00985DD9">
      <w:pPr>
        <w:spacing w:after="0" w:line="240" w:lineRule="auto"/>
        <w:ind w:left="720"/>
        <w:jc w:val="both"/>
        <w:rPr>
          <w:rFonts w:cs="Arial"/>
        </w:rPr>
      </w:pPr>
    </w:p>
    <w:p w:rsidR="00BC521A" w:rsidRPr="000610E9" w:rsidRDefault="00BC521A" w:rsidP="00D712DC">
      <w:pPr>
        <w:numPr>
          <w:ilvl w:val="0"/>
          <w:numId w:val="64"/>
        </w:numPr>
        <w:spacing w:after="0" w:line="240" w:lineRule="auto"/>
        <w:jc w:val="both"/>
        <w:rPr>
          <w:rFonts w:cs="Arial"/>
        </w:rPr>
      </w:pPr>
      <w:r w:rsidRPr="00BC521A">
        <w:rPr>
          <w:rFonts w:eastAsia="Times" w:cs="Arial"/>
          <w:lang w:eastAsia="es-ES"/>
        </w:rPr>
        <w:t>Estrategia de atención psicosocial para el restablecimiento de derechos de los niños, niñas y adolescentes víctimas del conflicto armado en contribución al proceso de reparación integral</w:t>
      </w:r>
      <w:r w:rsidRPr="00BC521A">
        <w:rPr>
          <w:rFonts w:eastAsia="Times" w:cs="Arial"/>
          <w:i/>
          <w:lang w:eastAsia="es-ES"/>
        </w:rPr>
        <w:t>; aprobado mediante Resolución No. 1523 del 23 de febrero de 2016</w:t>
      </w:r>
      <w:r w:rsidRPr="00BC521A">
        <w:rPr>
          <w:rFonts w:eastAsia="Times" w:cs="Arial"/>
          <w:lang w:eastAsia="es-ES"/>
        </w:rPr>
        <w:t>.</w:t>
      </w:r>
    </w:p>
    <w:p w:rsidR="000610E9" w:rsidRPr="00BC521A" w:rsidRDefault="000610E9" w:rsidP="000610E9">
      <w:pPr>
        <w:spacing w:after="0" w:line="240" w:lineRule="auto"/>
        <w:ind w:left="720"/>
        <w:jc w:val="both"/>
        <w:rPr>
          <w:rFonts w:cs="Arial"/>
        </w:rPr>
      </w:pPr>
    </w:p>
    <w:p w:rsidR="000610E9" w:rsidRPr="000610E9" w:rsidRDefault="00BC521A" w:rsidP="00D712DC">
      <w:pPr>
        <w:numPr>
          <w:ilvl w:val="0"/>
          <w:numId w:val="64"/>
        </w:numPr>
        <w:spacing w:after="0" w:line="240" w:lineRule="auto"/>
        <w:jc w:val="both"/>
        <w:rPr>
          <w:rFonts w:cs="Arial"/>
        </w:rPr>
      </w:pPr>
      <w:r w:rsidRPr="00BC521A">
        <w:rPr>
          <w:rFonts w:cs="Arial"/>
        </w:rPr>
        <w:t>Lineamiento Técnico para la atención de la población víctima de desplazamiento forzado – Unidades Móviles; a</w:t>
      </w:r>
      <w:r w:rsidRPr="00BC521A">
        <w:rPr>
          <w:rFonts w:eastAsia="Times" w:cs="Arial"/>
          <w:i/>
          <w:lang w:eastAsia="es-ES"/>
        </w:rPr>
        <w:t>probado mediante Resolución No. 1524 del 23 de febrero de 2016</w:t>
      </w:r>
      <w:r w:rsidR="000610E9">
        <w:rPr>
          <w:rFonts w:eastAsia="Times" w:cs="Arial"/>
          <w:i/>
          <w:lang w:eastAsia="es-ES"/>
        </w:rPr>
        <w:t>.</w:t>
      </w:r>
    </w:p>
    <w:p w:rsidR="00BC521A" w:rsidRPr="00BC521A" w:rsidRDefault="00BC521A" w:rsidP="000610E9">
      <w:pPr>
        <w:spacing w:after="0" w:line="240" w:lineRule="auto"/>
        <w:jc w:val="both"/>
        <w:rPr>
          <w:rFonts w:cs="Arial"/>
        </w:rPr>
      </w:pPr>
      <w:r w:rsidRPr="00BC521A">
        <w:rPr>
          <w:rFonts w:eastAsia="Times" w:cs="Arial"/>
          <w:i/>
          <w:lang w:eastAsia="es-ES"/>
        </w:rPr>
        <w:t>.</w:t>
      </w:r>
    </w:p>
    <w:p w:rsidR="00BC521A" w:rsidRPr="000610E9" w:rsidRDefault="00BC521A" w:rsidP="00D712DC">
      <w:pPr>
        <w:numPr>
          <w:ilvl w:val="0"/>
          <w:numId w:val="64"/>
        </w:numPr>
        <w:spacing w:after="0" w:line="240" w:lineRule="auto"/>
        <w:ind w:right="49"/>
        <w:jc w:val="both"/>
        <w:rPr>
          <w:rFonts w:cs="Arial"/>
        </w:rPr>
      </w:pPr>
      <w:r w:rsidRPr="00BC521A">
        <w:rPr>
          <w:rFonts w:cs="Arial"/>
        </w:rPr>
        <w:t>Lineamiento Técnico de las modalidades del programa de atención especializada para el restablecimiento de derechos a niños, niñas y adolescentes víctimas de reclutamiento ilícito, que se han desvinculado de Grupos Armados Organizados al Margen de la Ley  (GAOML) y contribución al proceso de reparación integral</w:t>
      </w:r>
      <w:r w:rsidRPr="00BC521A">
        <w:rPr>
          <w:rFonts w:cs="Arial"/>
          <w:i/>
        </w:rPr>
        <w:t>; aprobado mediante Resolución No. 1525 de febrero 23 de 2016.</w:t>
      </w:r>
    </w:p>
    <w:p w:rsidR="000610E9" w:rsidRPr="00BC521A" w:rsidRDefault="000610E9" w:rsidP="000610E9">
      <w:pPr>
        <w:spacing w:after="0" w:line="240" w:lineRule="auto"/>
        <w:ind w:left="720" w:right="49"/>
        <w:jc w:val="both"/>
        <w:rPr>
          <w:rFonts w:cs="Arial"/>
        </w:rPr>
      </w:pPr>
    </w:p>
    <w:p w:rsidR="00BC521A" w:rsidRPr="00BC521A" w:rsidRDefault="00BC521A" w:rsidP="00D712DC">
      <w:pPr>
        <w:numPr>
          <w:ilvl w:val="0"/>
          <w:numId w:val="64"/>
        </w:numPr>
        <w:spacing w:after="0" w:line="240" w:lineRule="auto"/>
        <w:ind w:right="49"/>
        <w:jc w:val="both"/>
        <w:rPr>
          <w:rFonts w:cs="Arial"/>
          <w:lang w:eastAsia="es-ES"/>
        </w:rPr>
      </w:pPr>
      <w:r w:rsidRPr="00BC521A">
        <w:rPr>
          <w:rFonts w:cs="Arial"/>
        </w:rPr>
        <w:lastRenderedPageBreak/>
        <w:t>Lineamiento para el restablecimiento de derechos y contribución a la reparación integral a niños, niñas y adolescentes víctimas de minas antipersonal, municiones sin explotar y artefactos explosivos improvisados, y niños, niñas y adolescentes víctimas de acciones bélicas y de atentados terroristas en el marco del conflicto armado.</w:t>
      </w:r>
      <w:r w:rsidRPr="00BC521A">
        <w:rPr>
          <w:rFonts w:cs="Arial"/>
          <w:i/>
        </w:rPr>
        <w:t xml:space="preserve"> Aprobado mediante Resolución No. 1517 de febrero 23 de 2016</w:t>
      </w:r>
      <w:r w:rsidRPr="00BC521A">
        <w:rPr>
          <w:rFonts w:cs="Arial"/>
        </w:rPr>
        <w:t>.</w:t>
      </w:r>
    </w:p>
    <w:p w:rsidR="00BC521A" w:rsidRPr="00BC521A" w:rsidRDefault="00BC521A" w:rsidP="00BC521A">
      <w:pPr>
        <w:spacing w:after="0" w:line="240" w:lineRule="auto"/>
        <w:ind w:left="720" w:right="49"/>
        <w:jc w:val="both"/>
        <w:rPr>
          <w:rFonts w:cs="Arial"/>
          <w:lang w:eastAsia="es-ES"/>
        </w:rPr>
      </w:pPr>
    </w:p>
    <w:p w:rsidR="00BC521A" w:rsidRPr="00BC521A" w:rsidRDefault="00BC521A" w:rsidP="00BC521A">
      <w:pPr>
        <w:autoSpaceDE w:val="0"/>
        <w:spacing w:after="0" w:line="240" w:lineRule="auto"/>
        <w:ind w:right="51"/>
        <w:contextualSpacing/>
        <w:jc w:val="both"/>
        <w:rPr>
          <w:rFonts w:cs="Arial"/>
        </w:rPr>
      </w:pPr>
      <w:r w:rsidRPr="00BC521A">
        <w:rPr>
          <w:rFonts w:cs="Arial"/>
          <w:lang w:eastAsia="es-ES"/>
        </w:rPr>
        <w:t>Para el periodo comprendido entre el 1 de enero y el 12 de diciembre de 2016 se atendieron en las modalidades</w:t>
      </w:r>
      <w:r w:rsidRPr="00BC521A">
        <w:rPr>
          <w:rFonts w:cs="Arial"/>
        </w:rPr>
        <w:t xml:space="preserve"> de Hogar gestor, Hogar sustituto tutor, Casa de acogida y Casa de Protección), </w:t>
      </w:r>
      <w:r w:rsidRPr="00BC521A">
        <w:rPr>
          <w:rFonts w:cs="Arial"/>
          <w:lang w:eastAsia="es-ES"/>
        </w:rPr>
        <w:t xml:space="preserve"> a  538 niños, niñas y adolescentes, víctimas de reclutamiento que se han desvinculado de los Grupos Armados Organizados al Margen de la Ley (GAOML). </w:t>
      </w:r>
      <w:r w:rsidRPr="00BC521A">
        <w:rPr>
          <w:rFonts w:cs="Arial"/>
        </w:rPr>
        <w:t xml:space="preserve">Durante dicho periodo de tiempo, igualmente, el Comité Operativo para la Dejación de Armas (CODA) aprobó 154 casos de niños, niñas y adolescentes desvinculados, presentados a esa instancia. </w:t>
      </w:r>
    </w:p>
    <w:p w:rsidR="00BC521A" w:rsidRPr="00BC521A" w:rsidRDefault="00BC521A" w:rsidP="00BC521A">
      <w:pPr>
        <w:autoSpaceDE w:val="0"/>
        <w:spacing w:after="0" w:line="240" w:lineRule="auto"/>
        <w:ind w:right="51"/>
        <w:contextualSpacing/>
        <w:jc w:val="both"/>
        <w:rPr>
          <w:rFonts w:cs="Arial"/>
        </w:rPr>
      </w:pPr>
    </w:p>
    <w:tbl>
      <w:tblPr>
        <w:tblW w:w="500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141"/>
        <w:gridCol w:w="1137"/>
        <w:gridCol w:w="1137"/>
        <w:gridCol w:w="1137"/>
        <w:gridCol w:w="1291"/>
        <w:gridCol w:w="1552"/>
      </w:tblGrid>
      <w:tr w:rsidR="00BC521A" w:rsidRPr="000610E9" w:rsidTr="000610E9">
        <w:trPr>
          <w:cantSplit/>
          <w:jc w:val="center"/>
        </w:trPr>
        <w:tc>
          <w:tcPr>
            <w:tcW w:w="1672"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N</w:t>
            </w:r>
            <w:r w:rsidR="000610E9" w:rsidRPr="000610E9">
              <w:rPr>
                <w:rFonts w:eastAsia="Times New Roman" w:cs="Arial"/>
                <w:b/>
                <w:bCs/>
                <w:color w:val="FFFFFF" w:themeColor="background1"/>
                <w:sz w:val="18"/>
                <w:szCs w:val="18"/>
                <w:lang w:val="es-CO" w:eastAsia="es-CO"/>
              </w:rPr>
              <w:t>ombre</w:t>
            </w:r>
          </w:p>
        </w:tc>
        <w:tc>
          <w:tcPr>
            <w:tcW w:w="605"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Unidades</w:t>
            </w:r>
          </w:p>
        </w:tc>
        <w:tc>
          <w:tcPr>
            <w:tcW w:w="605"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Cupos</w:t>
            </w:r>
          </w:p>
        </w:tc>
        <w:tc>
          <w:tcPr>
            <w:tcW w:w="605"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Usuarios</w:t>
            </w:r>
          </w:p>
        </w:tc>
        <w:tc>
          <w:tcPr>
            <w:tcW w:w="687"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 xml:space="preserve"> Usuarios</w:t>
            </w:r>
            <w:r w:rsidRPr="000610E9">
              <w:rPr>
                <w:rFonts w:eastAsia="Times New Roman" w:cs="Arial"/>
                <w:b/>
                <w:bCs/>
                <w:color w:val="FFFFFF" w:themeColor="background1"/>
                <w:sz w:val="18"/>
                <w:szCs w:val="18"/>
                <w:lang w:val="es-CO" w:eastAsia="es-CO"/>
              </w:rPr>
              <w:br/>
              <w:t xml:space="preserve">Desplazados </w:t>
            </w:r>
          </w:p>
        </w:tc>
        <w:tc>
          <w:tcPr>
            <w:tcW w:w="826" w:type="pct"/>
            <w:shd w:val="clear" w:color="auto" w:fill="76923C" w:themeFill="accent3" w:themeFillShade="BF"/>
            <w:vAlign w:val="center"/>
            <w:hideMark/>
          </w:tcPr>
          <w:p w:rsidR="00BC521A" w:rsidRPr="000610E9" w:rsidRDefault="00BC521A"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 xml:space="preserve"> Obligación</w:t>
            </w:r>
            <w:r w:rsidRPr="000610E9">
              <w:rPr>
                <w:rFonts w:eastAsia="Times New Roman" w:cs="Arial"/>
                <w:b/>
                <w:bCs/>
                <w:color w:val="FFFFFF" w:themeColor="background1"/>
                <w:sz w:val="18"/>
                <w:szCs w:val="18"/>
                <w:lang w:val="es-CO" w:eastAsia="es-CO"/>
              </w:rPr>
              <w:br/>
              <w:t xml:space="preserve">SIM </w:t>
            </w:r>
          </w:p>
        </w:tc>
      </w:tr>
      <w:tr w:rsidR="00BC521A" w:rsidRPr="000610E9" w:rsidTr="000610E9">
        <w:trPr>
          <w:cantSplit/>
          <w:jc w:val="center"/>
        </w:trPr>
        <w:tc>
          <w:tcPr>
            <w:tcW w:w="1672"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Casa d</w:t>
            </w:r>
            <w:r w:rsidRPr="000610E9">
              <w:rPr>
                <w:rFonts w:eastAsia="Times New Roman" w:cs="Arial"/>
                <w:color w:val="000000"/>
                <w:sz w:val="18"/>
                <w:szCs w:val="18"/>
                <w:lang w:val="es-CO" w:eastAsia="es-CO"/>
              </w:rPr>
              <w:t>e Acogida</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0</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40</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215</w:t>
            </w:r>
          </w:p>
        </w:tc>
        <w:tc>
          <w:tcPr>
            <w:tcW w:w="687"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8</w:t>
            </w:r>
          </w:p>
        </w:tc>
        <w:tc>
          <w:tcPr>
            <w:tcW w:w="82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499.073.330</w:t>
            </w:r>
          </w:p>
        </w:tc>
      </w:tr>
      <w:tr w:rsidR="00BC521A" w:rsidRPr="000610E9" w:rsidTr="000610E9">
        <w:trPr>
          <w:cantSplit/>
          <w:jc w:val="center"/>
        </w:trPr>
        <w:tc>
          <w:tcPr>
            <w:tcW w:w="1672"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Casa d</w:t>
            </w:r>
            <w:r w:rsidRPr="000610E9">
              <w:rPr>
                <w:rFonts w:eastAsia="Times New Roman" w:cs="Arial"/>
                <w:color w:val="000000"/>
                <w:sz w:val="18"/>
                <w:szCs w:val="18"/>
                <w:lang w:val="es-CO" w:eastAsia="es-CO"/>
              </w:rPr>
              <w:t>e Protección</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0</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119</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120</w:t>
            </w:r>
          </w:p>
        </w:tc>
        <w:tc>
          <w:tcPr>
            <w:tcW w:w="687"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89</w:t>
            </w:r>
          </w:p>
        </w:tc>
        <w:tc>
          <w:tcPr>
            <w:tcW w:w="82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2.136.460.072</w:t>
            </w:r>
          </w:p>
        </w:tc>
      </w:tr>
      <w:tr w:rsidR="00BC521A" w:rsidRPr="000610E9" w:rsidTr="000610E9">
        <w:trPr>
          <w:cantSplit/>
          <w:jc w:val="center"/>
        </w:trPr>
        <w:tc>
          <w:tcPr>
            <w:tcW w:w="1672"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Hogar Gestor para Víctimas en el Marco d</w:t>
            </w:r>
            <w:r w:rsidRPr="000610E9">
              <w:rPr>
                <w:rFonts w:eastAsia="Times New Roman" w:cs="Arial"/>
                <w:color w:val="000000"/>
                <w:sz w:val="18"/>
                <w:szCs w:val="18"/>
                <w:lang w:val="es-CO" w:eastAsia="es-CO"/>
              </w:rPr>
              <w:t>el Con</w:t>
            </w:r>
            <w:r>
              <w:rPr>
                <w:rFonts w:eastAsia="Times New Roman" w:cs="Arial"/>
                <w:color w:val="000000"/>
                <w:sz w:val="18"/>
                <w:szCs w:val="18"/>
                <w:lang w:val="es-CO" w:eastAsia="es-CO"/>
              </w:rPr>
              <w:t>flicto Armado sin Discapacidad ni Enfermedad d</w:t>
            </w:r>
            <w:r w:rsidRPr="000610E9">
              <w:rPr>
                <w:rFonts w:eastAsia="Times New Roman" w:cs="Arial"/>
                <w:color w:val="000000"/>
                <w:sz w:val="18"/>
                <w:szCs w:val="18"/>
                <w:lang w:val="es-CO" w:eastAsia="es-CO"/>
              </w:rPr>
              <w:t>e Cuidado Especial</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64</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121</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121</w:t>
            </w:r>
          </w:p>
        </w:tc>
        <w:tc>
          <w:tcPr>
            <w:tcW w:w="687"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72</w:t>
            </w:r>
          </w:p>
        </w:tc>
        <w:tc>
          <w:tcPr>
            <w:tcW w:w="82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198.683.120</w:t>
            </w:r>
          </w:p>
        </w:tc>
      </w:tr>
      <w:tr w:rsidR="00BC521A" w:rsidRPr="000610E9" w:rsidTr="000610E9">
        <w:trPr>
          <w:cantSplit/>
          <w:jc w:val="center"/>
        </w:trPr>
        <w:tc>
          <w:tcPr>
            <w:tcW w:w="1672"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Hogar Sustituto Tutor</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76</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132</w:t>
            </w:r>
          </w:p>
        </w:tc>
        <w:tc>
          <w:tcPr>
            <w:tcW w:w="6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284</w:t>
            </w:r>
          </w:p>
        </w:tc>
        <w:tc>
          <w:tcPr>
            <w:tcW w:w="687"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0</w:t>
            </w:r>
          </w:p>
        </w:tc>
        <w:tc>
          <w:tcPr>
            <w:tcW w:w="82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2.273.634.939</w:t>
            </w:r>
          </w:p>
        </w:tc>
      </w:tr>
    </w:tbl>
    <w:p w:rsidR="00BC521A" w:rsidRDefault="000610E9" w:rsidP="00BC521A">
      <w:pPr>
        <w:spacing w:after="0" w:line="240" w:lineRule="auto"/>
        <w:jc w:val="both"/>
        <w:rPr>
          <w:rFonts w:eastAsia="Times New Roman" w:cs="Arial"/>
          <w:color w:val="000000"/>
          <w:sz w:val="16"/>
          <w:szCs w:val="16"/>
          <w:lang w:val="es-CO" w:eastAsia="es-CO"/>
        </w:rPr>
      </w:pPr>
      <w:r w:rsidRPr="000610E9">
        <w:rPr>
          <w:rFonts w:eastAsia="Times New Roman" w:cs="Arial"/>
          <w:b/>
          <w:color w:val="000000"/>
          <w:sz w:val="16"/>
          <w:szCs w:val="16"/>
          <w:lang w:val="es-CO" w:eastAsia="es-CO"/>
        </w:rPr>
        <w:t>Fuente:</w:t>
      </w:r>
      <w:r w:rsidRPr="000610E9">
        <w:rPr>
          <w:rFonts w:eastAsia="Times New Roman" w:cs="Arial"/>
          <w:color w:val="000000"/>
          <w:sz w:val="16"/>
          <w:szCs w:val="16"/>
          <w:lang w:val="es-CO" w:eastAsia="es-CO"/>
        </w:rPr>
        <w:t xml:space="preserve"> Ejecución de Metas Sociales y Financieras Vigencia 2016 - Reporte Ejecución Municipal - SIM - Diciembre Preliminar</w:t>
      </w:r>
    </w:p>
    <w:p w:rsidR="00217275" w:rsidRPr="00D21160" w:rsidRDefault="00217275" w:rsidP="00217275">
      <w:pPr>
        <w:rPr>
          <w:rFonts w:ascii="Calibri" w:hAnsi="Calibri"/>
          <w:i/>
          <w:iCs/>
          <w:sz w:val="16"/>
          <w:lang w:val="es-CO"/>
        </w:rPr>
      </w:pPr>
      <w:r w:rsidRPr="00D21160">
        <w:rPr>
          <w:i/>
          <w:iCs/>
          <w:sz w:val="16"/>
        </w:rPr>
        <w:t>Nota: Información preliminar, sujeta a actualización del cierre oficial de metas sociales y financieras.</w:t>
      </w:r>
    </w:p>
    <w:p w:rsidR="00BC521A" w:rsidRDefault="00BC521A" w:rsidP="00BC521A">
      <w:pPr>
        <w:spacing w:after="0" w:line="240" w:lineRule="auto"/>
        <w:jc w:val="both"/>
        <w:rPr>
          <w:rFonts w:cs="Arial"/>
        </w:rPr>
      </w:pPr>
      <w:r w:rsidRPr="00BC521A">
        <w:rPr>
          <w:rFonts w:cs="Arial"/>
        </w:rPr>
        <w:t>Las principales acciones fueron:</w:t>
      </w:r>
    </w:p>
    <w:p w:rsidR="000610E9" w:rsidRPr="00BC521A" w:rsidRDefault="000610E9" w:rsidP="00BC521A">
      <w:pPr>
        <w:spacing w:after="0" w:line="240" w:lineRule="auto"/>
        <w:jc w:val="both"/>
        <w:rPr>
          <w:rFonts w:cs="Arial"/>
        </w:rPr>
      </w:pPr>
    </w:p>
    <w:p w:rsidR="000610E9" w:rsidRDefault="00BC521A" w:rsidP="00D712DC">
      <w:pPr>
        <w:numPr>
          <w:ilvl w:val="0"/>
          <w:numId w:val="65"/>
        </w:numPr>
        <w:shd w:val="clear" w:color="auto" w:fill="FFFFFF"/>
        <w:spacing w:after="0" w:line="240" w:lineRule="auto"/>
        <w:contextualSpacing/>
        <w:jc w:val="both"/>
        <w:rPr>
          <w:rFonts w:cs="Arial"/>
        </w:rPr>
      </w:pPr>
      <w:r w:rsidRPr="00BC521A">
        <w:rPr>
          <w:rFonts w:cs="Arial"/>
        </w:rPr>
        <w:t xml:space="preserve">Dando cumplimiento a lo establecido en el procedimiento PR13 MPE1 </w:t>
      </w:r>
      <w:r w:rsidRPr="00BC521A">
        <w:rPr>
          <w:rFonts w:cs="Arial"/>
          <w:i/>
        </w:rPr>
        <w:t>Procedimiento Diseño de Lineamientos Técnicos Administrativos Misionales y Manuales Operativos</w:t>
      </w:r>
      <w:r w:rsidRPr="00BC521A">
        <w:rPr>
          <w:rFonts w:cs="Arial"/>
        </w:rPr>
        <w:t xml:space="preserve">, y con el fin de continuar con el ejercicio de definición de lineamientos, se llevó a cabo todo el proceso para la construcción del </w:t>
      </w:r>
      <w:r w:rsidRPr="00BC521A">
        <w:rPr>
          <w:rFonts w:cs="Arial"/>
          <w:i/>
        </w:rPr>
        <w:t>Lineamiento Técnico para el Restablecimiento de Derechos y Contribución a la Reparación Integral de niños, niñas y adolescentes huérfanos como consecuencia del conflicto armado</w:t>
      </w:r>
      <w:r w:rsidRPr="00BC521A">
        <w:rPr>
          <w:rFonts w:cs="Arial"/>
        </w:rPr>
        <w:t>. A la fecha y luego de la consulta ciudadana, la versión final será ajustada para ser aprobada mediante resolución.</w:t>
      </w:r>
    </w:p>
    <w:p w:rsidR="000610E9" w:rsidRPr="000610E9" w:rsidRDefault="000610E9" w:rsidP="000610E9">
      <w:pPr>
        <w:shd w:val="clear" w:color="auto" w:fill="FFFFFF"/>
        <w:spacing w:after="0" w:line="240" w:lineRule="auto"/>
        <w:ind w:left="720"/>
        <w:contextualSpacing/>
        <w:jc w:val="both"/>
        <w:rPr>
          <w:rFonts w:cs="Arial"/>
        </w:rPr>
      </w:pPr>
    </w:p>
    <w:p w:rsidR="00BC521A" w:rsidRPr="000610E9" w:rsidRDefault="00BC521A" w:rsidP="00D712DC">
      <w:pPr>
        <w:numPr>
          <w:ilvl w:val="0"/>
          <w:numId w:val="65"/>
        </w:numPr>
        <w:spacing w:after="0" w:line="240" w:lineRule="auto"/>
        <w:contextualSpacing/>
        <w:jc w:val="both"/>
        <w:rPr>
          <w:rFonts w:cs="Arial"/>
          <w:i/>
          <w:iCs/>
          <w:strike/>
          <w:lang w:eastAsia="es-ES"/>
        </w:rPr>
      </w:pPr>
      <w:r w:rsidRPr="00BC521A">
        <w:rPr>
          <w:rFonts w:cs="Arial"/>
          <w:lang w:val="es-MX"/>
        </w:rPr>
        <w:t xml:space="preserve">Implementación del  </w:t>
      </w:r>
      <w:r w:rsidRPr="00BC521A">
        <w:rPr>
          <w:rFonts w:cs="Arial"/>
          <w:i/>
          <w:lang w:val="es-MX"/>
        </w:rPr>
        <w:t>“Procedimiento para el tránsito de los jóvenes del ICBF a la Agencia Colombiana para la reintegración (ACR) y la continuidad en el proceso de reparación integral a cargo de la Unidad para las Víctimas”,</w:t>
      </w:r>
      <w:r w:rsidRPr="00BC521A">
        <w:rPr>
          <w:rFonts w:cs="Arial"/>
          <w:lang w:val="es-MX"/>
        </w:rPr>
        <w:t xml:space="preserve"> mediante el cual se articularon acciones entre las tres entidades, con el fin de implementar conjuntamente herramientas e instrumentos que faciliten la comprensión de la información sobre los procesos de reparación y de reintegración que cada una de las entidades realiza y para generar mayor confianza en los jóvenes hacia la institucionalidad.</w:t>
      </w:r>
    </w:p>
    <w:p w:rsidR="00BC521A" w:rsidRDefault="00BC521A" w:rsidP="00D712DC">
      <w:pPr>
        <w:numPr>
          <w:ilvl w:val="0"/>
          <w:numId w:val="63"/>
        </w:numPr>
        <w:spacing w:after="0" w:line="240" w:lineRule="auto"/>
        <w:jc w:val="both"/>
        <w:rPr>
          <w:rFonts w:cs="Arial"/>
        </w:rPr>
      </w:pPr>
      <w:r w:rsidRPr="00BC521A">
        <w:rPr>
          <w:rFonts w:cs="Arial"/>
          <w:lang w:eastAsia="es-ES"/>
        </w:rPr>
        <w:t>Realización de 12 encuentros familiares colectivos</w:t>
      </w:r>
      <w:r w:rsidRPr="00BC521A">
        <w:rPr>
          <w:rFonts w:cs="Arial"/>
        </w:rPr>
        <w:t xml:space="preserve"> los cuales posibilitan el trabajo con las familias, generar un nuevo sistema a partir del reconocimiento de habilidades, solidaridades, rituales cotidianos, mitos e ideas acerca de la vida en donde a través de la intervención visualicen los posibles efectos que tendrán los cambios deseados en las relaciones y en el entorno significativo de la familia y/o la red vincular. Se han</w:t>
      </w:r>
      <w:r w:rsidRPr="00BC521A">
        <w:rPr>
          <w:rFonts w:cs="Arial"/>
          <w:lang w:eastAsia="es-ES"/>
        </w:rPr>
        <w:t xml:space="preserve"> vinculado a </w:t>
      </w:r>
      <w:r w:rsidRPr="00BC521A">
        <w:rPr>
          <w:rFonts w:cs="Arial"/>
          <w:lang w:eastAsia="es-ES"/>
        </w:rPr>
        <w:lastRenderedPageBreak/>
        <w:t>174 niños, niñas y adolescentes desvinculados, con la participación de 384 miembros de las familias y/o red vin</w:t>
      </w:r>
      <w:r w:rsidR="000610E9">
        <w:rPr>
          <w:rFonts w:cs="Arial"/>
          <w:lang w:eastAsia="es-ES"/>
        </w:rPr>
        <w:t>cular de apoyo de 6 regionales.</w:t>
      </w:r>
    </w:p>
    <w:p w:rsidR="000610E9" w:rsidRPr="00BC521A" w:rsidRDefault="000610E9" w:rsidP="000610E9">
      <w:pPr>
        <w:spacing w:after="0" w:line="240" w:lineRule="auto"/>
        <w:ind w:left="720"/>
        <w:jc w:val="both"/>
        <w:rPr>
          <w:rFonts w:cs="Arial"/>
        </w:rPr>
      </w:pPr>
    </w:p>
    <w:p w:rsidR="00BC521A" w:rsidRDefault="00BC521A" w:rsidP="00D712DC">
      <w:pPr>
        <w:numPr>
          <w:ilvl w:val="0"/>
          <w:numId w:val="191"/>
        </w:numPr>
        <w:tabs>
          <w:tab w:val="left" w:pos="9072"/>
        </w:tabs>
        <w:spacing w:after="0" w:line="240" w:lineRule="auto"/>
        <w:ind w:left="720"/>
        <w:jc w:val="both"/>
        <w:rPr>
          <w:rFonts w:cs="Arial"/>
        </w:rPr>
      </w:pPr>
      <w:r w:rsidRPr="00BC521A">
        <w:rPr>
          <w:rFonts w:cs="Arial"/>
        </w:rPr>
        <w:t>Mediante la articulación con la Dirección de Familias y Comunidades, se vinculó a la modalidad familias con bienestar a trece (13) familias y/o redes vinculares de apoyo residentes en zonas urbanas de siete (7) departamentos del país, de niños, niñas y adolescentes desvinculados y ubicados en las diferentes modalida</w:t>
      </w:r>
      <w:r w:rsidR="000610E9">
        <w:rPr>
          <w:rFonts w:cs="Arial"/>
        </w:rPr>
        <w:t>des del programa especializado.</w:t>
      </w:r>
    </w:p>
    <w:p w:rsidR="000610E9" w:rsidRPr="00BC521A" w:rsidRDefault="000610E9" w:rsidP="000610E9">
      <w:pPr>
        <w:tabs>
          <w:tab w:val="left" w:pos="9072"/>
        </w:tabs>
        <w:spacing w:after="0" w:line="240" w:lineRule="auto"/>
        <w:ind w:left="720"/>
        <w:jc w:val="both"/>
        <w:rPr>
          <w:rFonts w:cs="Arial"/>
        </w:rPr>
      </w:pPr>
    </w:p>
    <w:p w:rsidR="002E55CD" w:rsidRDefault="002E55CD" w:rsidP="00D712DC">
      <w:pPr>
        <w:numPr>
          <w:ilvl w:val="0"/>
          <w:numId w:val="191"/>
        </w:numPr>
        <w:tabs>
          <w:tab w:val="left" w:pos="9072"/>
        </w:tabs>
        <w:spacing w:after="0" w:line="240" w:lineRule="auto"/>
        <w:ind w:left="720"/>
        <w:jc w:val="both"/>
        <w:rPr>
          <w:rFonts w:cs="Arial"/>
        </w:rPr>
      </w:pPr>
      <w:r>
        <w:rPr>
          <w:rFonts w:cs="Arial"/>
        </w:rPr>
        <w:t>A 31 de Diciembre de 2016 se han restablecido los derechos a 593</w:t>
      </w:r>
      <w:r w:rsidRPr="0011697F">
        <w:rPr>
          <w:rFonts w:cs="Arial"/>
        </w:rPr>
        <w:t xml:space="preserve"> niños, niñas y adolescentes huérfanos como consecuencia del conflicto armado, los cuáles han sido atendidos a través de las modalidades de Hogar Gestor y Hogar Sustituto y acompañados en su proceso de reparación integral, en 18 regionales del país.</w:t>
      </w:r>
    </w:p>
    <w:p w:rsidR="000610E9" w:rsidRPr="0011697F" w:rsidRDefault="000610E9" w:rsidP="000610E9">
      <w:pPr>
        <w:tabs>
          <w:tab w:val="left" w:pos="9072"/>
        </w:tabs>
        <w:spacing w:after="0" w:line="240" w:lineRule="auto"/>
        <w:jc w:val="both"/>
        <w:rPr>
          <w:rFonts w:cs="Arial"/>
        </w:rPr>
      </w:pPr>
    </w:p>
    <w:p w:rsidR="00BC521A" w:rsidRDefault="00BC521A" w:rsidP="00D712DC">
      <w:pPr>
        <w:numPr>
          <w:ilvl w:val="0"/>
          <w:numId w:val="191"/>
        </w:numPr>
        <w:spacing w:after="0" w:line="240" w:lineRule="auto"/>
        <w:ind w:left="720"/>
        <w:jc w:val="both"/>
        <w:rPr>
          <w:rFonts w:cs="Arial"/>
        </w:rPr>
      </w:pPr>
      <w:r w:rsidRPr="00BC521A">
        <w:rPr>
          <w:rFonts w:cs="Arial"/>
        </w:rPr>
        <w:t>Desde finales de 2015 y durante el 2016 se desarrolló un proceso de formación de Comunidades Virtuales de Práctica y se diseñaron tres (3) módulos del curso virtual: “Fortalecimiento de la atención a los niños, niñas y adolescentes víctimas de violencia sexual dentro y fuera del marco del conflicto armado”; desarrollado en la alianza ICBF- PNUD. A diciembre de 2016 se encuentra en proceso de entrega formal y del curso virtual para ser subido en la plataforma virtual del ICBF. En el marco del proceso de Comunidades de Práctica, fueron certificados 43 profesionales entre los que se encuentran defensores de familia y equipos interdisciplinarios que realizan atención a niños, niñas y adolescente</w:t>
      </w:r>
      <w:r w:rsidR="000610E9">
        <w:rPr>
          <w:rFonts w:cs="Arial"/>
        </w:rPr>
        <w:t>s víctimas de violencia sexual.</w:t>
      </w:r>
    </w:p>
    <w:p w:rsidR="000610E9" w:rsidRPr="00BC521A" w:rsidRDefault="000610E9" w:rsidP="000610E9">
      <w:pPr>
        <w:spacing w:after="0" w:line="240" w:lineRule="auto"/>
        <w:jc w:val="both"/>
        <w:rPr>
          <w:rFonts w:cs="Arial"/>
        </w:rPr>
      </w:pPr>
    </w:p>
    <w:p w:rsidR="002E55CD" w:rsidRDefault="002E55CD" w:rsidP="00D712DC">
      <w:pPr>
        <w:numPr>
          <w:ilvl w:val="0"/>
          <w:numId w:val="191"/>
        </w:numPr>
        <w:spacing w:after="0" w:line="240" w:lineRule="auto"/>
        <w:ind w:left="720"/>
        <w:jc w:val="both"/>
        <w:rPr>
          <w:rFonts w:cs="Arial"/>
        </w:rPr>
      </w:pPr>
      <w:r w:rsidRPr="00BC521A">
        <w:rPr>
          <w:rFonts w:cs="Arial"/>
        </w:rPr>
        <w:t xml:space="preserve">Durante el periodo comprendido </w:t>
      </w:r>
      <w:r w:rsidRPr="0011697F">
        <w:rPr>
          <w:rFonts w:cs="Arial"/>
        </w:rPr>
        <w:t>entre enero de</w:t>
      </w:r>
      <w:r>
        <w:rPr>
          <w:rFonts w:cs="Arial"/>
        </w:rPr>
        <w:t xml:space="preserve"> 2011 y el 31 de Diciembre de 2016, se atendieron a 155</w:t>
      </w:r>
      <w:r w:rsidRPr="00BC521A">
        <w:rPr>
          <w:rFonts w:cs="Arial"/>
        </w:rPr>
        <w:t xml:space="preserve"> niños, niñas y adolescentes víctimas de MAP, MUSE, AEI a través de las modalidades de Hogar Gestor, Hogar Sustituto y Seminternado con Discapacidad, de los cuales 4 ingresaron entre enero y junio de 2016.</w:t>
      </w:r>
    </w:p>
    <w:p w:rsidR="00985DD9" w:rsidRDefault="00985DD9" w:rsidP="00985DD9">
      <w:pPr>
        <w:spacing w:after="0" w:line="240" w:lineRule="auto"/>
        <w:jc w:val="both"/>
        <w:rPr>
          <w:rFonts w:cs="Arial"/>
        </w:rPr>
      </w:pPr>
    </w:p>
    <w:p w:rsidR="00BC521A" w:rsidRDefault="00BC521A" w:rsidP="00D712DC">
      <w:pPr>
        <w:numPr>
          <w:ilvl w:val="0"/>
          <w:numId w:val="191"/>
        </w:numPr>
        <w:spacing w:after="0" w:line="240" w:lineRule="auto"/>
        <w:ind w:left="720"/>
        <w:jc w:val="both"/>
        <w:rPr>
          <w:rFonts w:cs="Arial"/>
        </w:rPr>
      </w:pPr>
      <w:r w:rsidRPr="00BC521A">
        <w:rPr>
          <w:rFonts w:cs="Arial"/>
        </w:rPr>
        <w:t xml:space="preserve">Desde el 2013 se realizan acciones articuladas y de carácter permanente con la Dirección para la Acción Integral contra Minas Antipersonal, en el marco de la Ruta de asistencia, atención </w:t>
      </w:r>
      <w:r w:rsidRPr="00BC521A">
        <w:rPr>
          <w:rFonts w:cs="Arial"/>
          <w:lang w:eastAsia="es-ES"/>
        </w:rPr>
        <w:t>y reparación integral para niños, niñas y adolescentes víctimas de MAP, las cuales han activado procesos de atención en el marco del restablecimiento de derechos y acompañamiento a la reparaci</w:t>
      </w:r>
      <w:r w:rsidR="000610E9">
        <w:rPr>
          <w:rFonts w:cs="Arial"/>
          <w:lang w:eastAsia="es-ES"/>
        </w:rPr>
        <w:t>ón integral por parte del ICBF.</w:t>
      </w:r>
    </w:p>
    <w:p w:rsidR="000610E9" w:rsidRPr="00BC521A" w:rsidRDefault="000610E9" w:rsidP="000610E9">
      <w:pPr>
        <w:spacing w:after="0" w:line="240" w:lineRule="auto"/>
        <w:jc w:val="both"/>
        <w:rPr>
          <w:rFonts w:cs="Arial"/>
        </w:rPr>
      </w:pPr>
    </w:p>
    <w:p w:rsidR="00BC521A" w:rsidRDefault="00BC521A" w:rsidP="00D712DC">
      <w:pPr>
        <w:numPr>
          <w:ilvl w:val="0"/>
          <w:numId w:val="191"/>
        </w:numPr>
        <w:spacing w:after="0" w:line="240" w:lineRule="auto"/>
        <w:ind w:left="720"/>
        <w:jc w:val="both"/>
        <w:rPr>
          <w:rFonts w:cs="Arial"/>
        </w:rPr>
      </w:pPr>
      <w:r w:rsidRPr="00BC521A">
        <w:rPr>
          <w:rFonts w:cs="Arial"/>
        </w:rPr>
        <w:t>Reparación Integral:</w:t>
      </w:r>
      <w:r w:rsidRPr="00BC521A">
        <w:rPr>
          <w:rFonts w:cs="Arial"/>
          <w:b/>
        </w:rPr>
        <w:t xml:space="preserve"> </w:t>
      </w:r>
      <w:r w:rsidRPr="00BC521A">
        <w:rPr>
          <w:rFonts w:cs="Arial"/>
        </w:rPr>
        <w:t>Se desarrolló la “</w:t>
      </w:r>
      <w:r w:rsidRPr="00BC521A">
        <w:rPr>
          <w:rFonts w:cs="Arial"/>
          <w:i/>
        </w:rPr>
        <w:t xml:space="preserve">Ruta para el restablecimiento de derechos, atención, asistencia y reparación integral a niños, niñas y adolescentes víctimas del conflicto armado” </w:t>
      </w:r>
      <w:r w:rsidRPr="00BC521A">
        <w:rPr>
          <w:rFonts w:cs="Arial"/>
        </w:rPr>
        <w:t>construida junto con la Unidad para la Atención y Reparación Integral a las Víctimas (UARIV) y aprobada en su contenido y estructura por la oficina jurídica del ICBF. Esta ruta se elaboró durante los años 2014 y 2015 y fue aprobada en el 2016.</w:t>
      </w:r>
    </w:p>
    <w:p w:rsidR="000610E9" w:rsidRPr="00BC521A" w:rsidRDefault="000610E9" w:rsidP="000610E9">
      <w:pPr>
        <w:spacing w:after="0" w:line="240" w:lineRule="auto"/>
        <w:jc w:val="both"/>
        <w:rPr>
          <w:rFonts w:cs="Arial"/>
        </w:rPr>
      </w:pPr>
    </w:p>
    <w:p w:rsidR="00BC521A" w:rsidRDefault="00BC521A" w:rsidP="00D712DC">
      <w:pPr>
        <w:numPr>
          <w:ilvl w:val="0"/>
          <w:numId w:val="191"/>
        </w:numPr>
        <w:autoSpaceDE w:val="0"/>
        <w:autoSpaceDN w:val="0"/>
        <w:spacing w:after="0" w:line="240" w:lineRule="auto"/>
        <w:ind w:left="720"/>
        <w:contextualSpacing/>
        <w:jc w:val="both"/>
        <w:rPr>
          <w:rFonts w:cs="Arial"/>
        </w:rPr>
      </w:pPr>
      <w:r w:rsidRPr="00BC521A">
        <w:rPr>
          <w:rFonts w:cs="Arial"/>
        </w:rPr>
        <w:t>Rehabilitación:</w:t>
      </w:r>
      <w:r w:rsidRPr="00BC521A">
        <w:rPr>
          <w:rFonts w:cs="Arial"/>
          <w:b/>
        </w:rPr>
        <w:t xml:space="preserve"> </w:t>
      </w:r>
      <w:r w:rsidRPr="00BC521A">
        <w:rPr>
          <w:rFonts w:cs="Arial"/>
          <w:lang w:eastAsia="es-ES"/>
        </w:rPr>
        <w:t>En el último trimestre de 2016, junto con el Ministerio de Salud se dio inició a la construcción de un procedimiento para la atención psicosocial y en salud integral a niños, niñas y adolescentes víctimas del conflicto armado en el marco de la medida de rehabilitación.</w:t>
      </w:r>
    </w:p>
    <w:p w:rsidR="000610E9" w:rsidRPr="00BC521A" w:rsidRDefault="000610E9" w:rsidP="000610E9">
      <w:pPr>
        <w:autoSpaceDE w:val="0"/>
        <w:autoSpaceDN w:val="0"/>
        <w:spacing w:after="0" w:line="240" w:lineRule="auto"/>
        <w:contextualSpacing/>
        <w:jc w:val="both"/>
        <w:rPr>
          <w:rFonts w:cs="Arial"/>
        </w:rPr>
      </w:pPr>
    </w:p>
    <w:p w:rsidR="00BC521A" w:rsidRPr="00BC521A" w:rsidRDefault="00BC521A" w:rsidP="00D712DC">
      <w:pPr>
        <w:numPr>
          <w:ilvl w:val="0"/>
          <w:numId w:val="191"/>
        </w:numPr>
        <w:autoSpaceDE w:val="0"/>
        <w:autoSpaceDN w:val="0"/>
        <w:spacing w:after="0" w:line="240" w:lineRule="auto"/>
        <w:ind w:left="720"/>
        <w:contextualSpacing/>
        <w:jc w:val="both"/>
        <w:rPr>
          <w:rFonts w:cs="Arial"/>
        </w:rPr>
      </w:pPr>
      <w:r w:rsidRPr="00BC521A">
        <w:rPr>
          <w:rFonts w:cs="Arial"/>
          <w:lang w:eastAsia="es-ES"/>
        </w:rPr>
        <w:lastRenderedPageBreak/>
        <w:t>Reparación colectiva:</w:t>
      </w:r>
      <w:r w:rsidRPr="00BC521A">
        <w:rPr>
          <w:rFonts w:cs="Arial"/>
          <w:b/>
          <w:lang w:eastAsia="es-ES"/>
        </w:rPr>
        <w:t xml:space="preserve"> </w:t>
      </w:r>
      <w:r w:rsidRPr="00BC521A">
        <w:rPr>
          <w:rFonts w:cs="Arial"/>
        </w:rPr>
        <w:t xml:space="preserve">Desde la Dirección de protección se acompañó el proceso de formulación de planes de reparación colectiva de cuatro sujetos étnicos: Kitek Kiwe (Cauca), Proyecto Nasa (Cauca), Pueblo Rrom, Guacoche (Cesar). De igual manera se acompañó el proceso de Consulta Previa para la reparación colectiva de cuatro sujetos étnicos del departamento de Chocó, a saber: comunidad Afro de Bellavista - Bojayá, Resguardo Indígena Alto Andágueda – Bagadó y Resguardos Indígenas de Puria y Sabaleta - Carmen de Atrato. </w:t>
      </w:r>
    </w:p>
    <w:p w:rsidR="00BC521A" w:rsidRPr="00BC521A" w:rsidRDefault="00BC521A" w:rsidP="00777792">
      <w:pPr>
        <w:ind w:left="708"/>
        <w:jc w:val="both"/>
      </w:pPr>
    </w:p>
    <w:p w:rsidR="00BC521A" w:rsidRPr="00C43651" w:rsidRDefault="00BC521A" w:rsidP="00777792">
      <w:pPr>
        <w:ind w:left="708"/>
        <w:jc w:val="both"/>
        <w:rPr>
          <w:rFonts w:eastAsiaTheme="majorEastAsia"/>
          <w:b/>
        </w:rPr>
      </w:pPr>
      <w:bookmarkStart w:id="122" w:name="_Toc472519294"/>
      <w:r w:rsidRPr="00C43651">
        <w:rPr>
          <w:rFonts w:eastAsiaTheme="majorEastAsia"/>
          <w:b/>
        </w:rPr>
        <w:t>Restablecimiento de derechos de niños, niñas y adolescentes víctimas de desplazamiento forzado / Unidades Móviles (UM)</w:t>
      </w:r>
      <w:r w:rsidRPr="00BC521A">
        <w:rPr>
          <w:rFonts w:cstheme="majorBidi"/>
        </w:rPr>
        <w:footnoteReference w:id="29"/>
      </w:r>
      <w:bookmarkEnd w:id="122"/>
    </w:p>
    <w:p w:rsidR="002E55CD" w:rsidRPr="00BC521A" w:rsidRDefault="002E55CD" w:rsidP="002E55CD">
      <w:pPr>
        <w:spacing w:after="0" w:line="240" w:lineRule="auto"/>
        <w:jc w:val="both"/>
        <w:rPr>
          <w:rFonts w:cs="Arial"/>
        </w:rPr>
      </w:pPr>
      <w:r w:rsidRPr="00BC521A">
        <w:rPr>
          <w:rFonts w:cs="Arial"/>
        </w:rPr>
        <w:t xml:space="preserve">Con corte a </w:t>
      </w:r>
      <w:r w:rsidRPr="0011697F">
        <w:rPr>
          <w:rFonts w:cs="Arial"/>
        </w:rPr>
        <w:t>31 de Diciembre de 2016</w:t>
      </w:r>
      <w:r w:rsidRPr="00BC521A">
        <w:rPr>
          <w:rFonts w:cs="Arial"/>
        </w:rPr>
        <w:t xml:space="preserve"> se han atendido </w:t>
      </w:r>
      <w:r>
        <w:rPr>
          <w:rFonts w:cs="Arial"/>
        </w:rPr>
        <w:t xml:space="preserve">231.508 </w:t>
      </w:r>
      <w:r w:rsidRPr="00BC521A">
        <w:rPr>
          <w:rFonts w:cs="Arial"/>
        </w:rPr>
        <w:t>personas víctimas de desplazamiento forzado, por conflicto armado, en riesgo inminente de desplazamiento o afectados por situación de</w:t>
      </w:r>
      <w:r>
        <w:rPr>
          <w:rFonts w:cs="Arial"/>
        </w:rPr>
        <w:t xml:space="preserve"> desastre, de los cuales 130.263</w:t>
      </w:r>
      <w:r w:rsidRPr="00BC521A">
        <w:rPr>
          <w:rFonts w:cs="Arial"/>
        </w:rPr>
        <w:t xml:space="preserve"> corresponden a niños, niñas y adol</w:t>
      </w:r>
      <w:r>
        <w:rPr>
          <w:rFonts w:cs="Arial"/>
        </w:rPr>
        <w:t>escentes, equivalentes al 129.3</w:t>
      </w:r>
      <w:r w:rsidRPr="00BC521A">
        <w:rPr>
          <w:rFonts w:cs="Arial"/>
        </w:rPr>
        <w:t>% de la meta programada.</w:t>
      </w:r>
    </w:p>
    <w:p w:rsidR="00BC521A" w:rsidRPr="00BC521A" w:rsidRDefault="00BC521A" w:rsidP="00BC521A">
      <w:pPr>
        <w:spacing w:after="0" w:line="240" w:lineRule="auto"/>
        <w:jc w:val="both"/>
        <w:rPr>
          <w:rFonts w:cs="Arial"/>
        </w:rPr>
      </w:pPr>
    </w:p>
    <w:tbl>
      <w:tblPr>
        <w:tblStyle w:val="Tabladelista3-nfasis31"/>
        <w:tblW w:w="992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275"/>
        <w:gridCol w:w="1418"/>
        <w:gridCol w:w="1843"/>
        <w:gridCol w:w="1701"/>
        <w:gridCol w:w="1705"/>
        <w:gridCol w:w="1985"/>
      </w:tblGrid>
      <w:tr w:rsidR="00BC521A" w:rsidRPr="00BC521A" w:rsidTr="000610E9">
        <w:trPr>
          <w:cnfStyle w:val="100000000000" w:firstRow="1" w:lastRow="0" w:firstColumn="0" w:lastColumn="0" w:oddVBand="0" w:evenVBand="0" w:oddHBand="0" w:evenHBand="0" w:firstRowFirstColumn="0" w:firstRowLastColumn="0" w:lastRowFirstColumn="0" w:lastRowLastColumn="0"/>
          <w:trHeight w:val="331"/>
          <w:jc w:val="center"/>
        </w:trPr>
        <w:tc>
          <w:tcPr>
            <w:cnfStyle w:val="001000000100" w:firstRow="0" w:lastRow="0" w:firstColumn="1" w:lastColumn="0" w:oddVBand="0" w:evenVBand="0" w:oddHBand="0" w:evenHBand="0" w:firstRowFirstColumn="1" w:firstRowLastColumn="0" w:lastRowFirstColumn="0" w:lastRowLastColumn="0"/>
            <w:tcW w:w="1275" w:type="dxa"/>
            <w:tcBorders>
              <w:bottom w:val="none" w:sz="0" w:space="0" w:color="auto"/>
              <w:right w:val="none" w:sz="0" w:space="0" w:color="auto"/>
            </w:tcBorders>
            <w:shd w:val="clear" w:color="auto" w:fill="76923C" w:themeFill="accent3" w:themeFillShade="BF"/>
            <w:vAlign w:val="center"/>
            <w:hideMark/>
          </w:tcPr>
          <w:p w:rsidR="00BC521A" w:rsidRPr="000610E9" w:rsidRDefault="00BC521A" w:rsidP="00BC521A">
            <w:pPr>
              <w:spacing w:after="0" w:line="240" w:lineRule="auto"/>
              <w:jc w:val="center"/>
              <w:rPr>
                <w:rFonts w:cs="Arial"/>
                <w:sz w:val="18"/>
                <w:szCs w:val="20"/>
              </w:rPr>
            </w:pPr>
            <w:r w:rsidRPr="000610E9">
              <w:rPr>
                <w:rFonts w:cs="Arial"/>
                <w:bCs w:val="0"/>
                <w:sz w:val="18"/>
                <w:szCs w:val="20"/>
              </w:rPr>
              <w:t>Unidades Móviles</w:t>
            </w:r>
          </w:p>
        </w:tc>
        <w:tc>
          <w:tcPr>
            <w:tcW w:w="1418" w:type="dxa"/>
            <w:shd w:val="clear" w:color="auto" w:fill="76923C" w:themeFill="accent3" w:themeFillShade="BF"/>
            <w:vAlign w:val="center"/>
            <w:hideMark/>
          </w:tcPr>
          <w:p w:rsidR="00BC521A" w:rsidRPr="000610E9"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20"/>
              </w:rPr>
            </w:pPr>
            <w:r w:rsidRPr="000610E9">
              <w:rPr>
                <w:rFonts w:cs="Arial"/>
                <w:bCs w:val="0"/>
                <w:sz w:val="18"/>
                <w:szCs w:val="20"/>
              </w:rPr>
              <w:t>Profesionales</w:t>
            </w:r>
          </w:p>
        </w:tc>
        <w:tc>
          <w:tcPr>
            <w:tcW w:w="1843" w:type="dxa"/>
            <w:shd w:val="clear" w:color="auto" w:fill="76923C" w:themeFill="accent3" w:themeFillShade="BF"/>
            <w:vAlign w:val="center"/>
            <w:hideMark/>
          </w:tcPr>
          <w:p w:rsidR="00BC521A" w:rsidRPr="000610E9"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20"/>
              </w:rPr>
            </w:pPr>
            <w:r w:rsidRPr="000610E9">
              <w:rPr>
                <w:rFonts w:cs="Arial"/>
                <w:bCs w:val="0"/>
                <w:sz w:val="18"/>
                <w:szCs w:val="20"/>
              </w:rPr>
              <w:t xml:space="preserve">Aporte Pagado </w:t>
            </w:r>
            <w:r w:rsidR="000610E9" w:rsidRPr="000610E9">
              <w:rPr>
                <w:rFonts w:cs="Arial"/>
                <w:bCs w:val="0"/>
                <w:sz w:val="18"/>
                <w:szCs w:val="20"/>
              </w:rPr>
              <w:t>ICBF</w:t>
            </w:r>
            <w:r w:rsidRPr="000610E9">
              <w:rPr>
                <w:rFonts w:cs="Arial"/>
                <w:bCs w:val="0"/>
                <w:sz w:val="18"/>
                <w:szCs w:val="20"/>
              </w:rPr>
              <w:t xml:space="preserve"> 2016</w:t>
            </w:r>
          </w:p>
        </w:tc>
        <w:tc>
          <w:tcPr>
            <w:tcW w:w="1701" w:type="dxa"/>
            <w:shd w:val="clear" w:color="auto" w:fill="76923C" w:themeFill="accent3" w:themeFillShade="BF"/>
            <w:vAlign w:val="center"/>
            <w:hideMark/>
          </w:tcPr>
          <w:p w:rsidR="00BC521A" w:rsidRPr="000610E9"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20"/>
              </w:rPr>
            </w:pPr>
            <w:r w:rsidRPr="000610E9">
              <w:rPr>
                <w:rFonts w:cs="Arial"/>
                <w:bCs w:val="0"/>
                <w:sz w:val="18"/>
                <w:szCs w:val="20"/>
              </w:rPr>
              <w:t>Pagos a la fecha</w:t>
            </w:r>
          </w:p>
        </w:tc>
        <w:tc>
          <w:tcPr>
            <w:tcW w:w="1705" w:type="dxa"/>
            <w:shd w:val="clear" w:color="auto" w:fill="76923C" w:themeFill="accent3" w:themeFillShade="BF"/>
            <w:vAlign w:val="center"/>
            <w:hideMark/>
          </w:tcPr>
          <w:p w:rsidR="00BC521A" w:rsidRPr="000610E9"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20"/>
              </w:rPr>
            </w:pPr>
            <w:r w:rsidRPr="000610E9">
              <w:rPr>
                <w:rFonts w:cs="Arial"/>
                <w:bCs w:val="0"/>
                <w:sz w:val="18"/>
                <w:szCs w:val="20"/>
              </w:rPr>
              <w:t>Compromisos</w:t>
            </w:r>
          </w:p>
        </w:tc>
        <w:tc>
          <w:tcPr>
            <w:tcW w:w="1985" w:type="dxa"/>
            <w:shd w:val="clear" w:color="auto" w:fill="76923C" w:themeFill="accent3" w:themeFillShade="BF"/>
            <w:vAlign w:val="center"/>
            <w:hideMark/>
          </w:tcPr>
          <w:p w:rsidR="00BC521A" w:rsidRPr="000610E9" w:rsidRDefault="00BC521A" w:rsidP="00BC521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20"/>
              </w:rPr>
            </w:pPr>
            <w:r w:rsidRPr="000610E9">
              <w:rPr>
                <w:rFonts w:cs="Arial"/>
                <w:bCs w:val="0"/>
                <w:sz w:val="18"/>
                <w:szCs w:val="20"/>
              </w:rPr>
              <w:t>Valor ejecutado al 31 de Diciembre del 2016</w:t>
            </w:r>
          </w:p>
        </w:tc>
      </w:tr>
      <w:tr w:rsidR="00BC521A" w:rsidRPr="00BC521A" w:rsidTr="000610E9">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275" w:type="dxa"/>
            <w:tcBorders>
              <w:top w:val="none" w:sz="0" w:space="0" w:color="auto"/>
              <w:bottom w:val="none" w:sz="0" w:space="0" w:color="auto"/>
              <w:right w:val="none" w:sz="0" w:space="0" w:color="auto"/>
            </w:tcBorders>
            <w:shd w:val="clear" w:color="auto" w:fill="auto"/>
            <w:noWrap/>
            <w:vAlign w:val="center"/>
            <w:hideMark/>
          </w:tcPr>
          <w:p w:rsidR="00BC521A" w:rsidRPr="00006807" w:rsidRDefault="00BC521A" w:rsidP="000610E9">
            <w:pPr>
              <w:spacing w:after="0" w:line="240" w:lineRule="auto"/>
              <w:jc w:val="center"/>
              <w:rPr>
                <w:rFonts w:cs="Arial"/>
                <w:b w:val="0"/>
                <w:sz w:val="18"/>
                <w:szCs w:val="20"/>
              </w:rPr>
            </w:pPr>
            <w:r w:rsidRPr="00006807">
              <w:rPr>
                <w:rFonts w:cs="Arial"/>
                <w:b w:val="0"/>
                <w:sz w:val="18"/>
                <w:szCs w:val="20"/>
              </w:rPr>
              <w:t>113</w:t>
            </w:r>
          </w:p>
        </w:tc>
        <w:tc>
          <w:tcPr>
            <w:tcW w:w="1418" w:type="dxa"/>
            <w:tcBorders>
              <w:top w:val="none" w:sz="0" w:space="0" w:color="auto"/>
              <w:bottom w:val="none" w:sz="0" w:space="0" w:color="auto"/>
            </w:tcBorders>
            <w:shd w:val="clear" w:color="auto" w:fill="auto"/>
            <w:noWrap/>
            <w:vAlign w:val="center"/>
            <w:hideMark/>
          </w:tcPr>
          <w:p w:rsidR="00BC521A" w:rsidRPr="00006807" w:rsidRDefault="00BC521A" w:rsidP="000610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006807">
              <w:rPr>
                <w:rFonts w:cs="Arial"/>
                <w:sz w:val="18"/>
                <w:szCs w:val="20"/>
              </w:rPr>
              <w:t>450</w:t>
            </w:r>
          </w:p>
        </w:tc>
        <w:tc>
          <w:tcPr>
            <w:tcW w:w="1843" w:type="dxa"/>
            <w:tcBorders>
              <w:top w:val="none" w:sz="0" w:space="0" w:color="auto"/>
              <w:bottom w:val="none" w:sz="0" w:space="0" w:color="auto"/>
            </w:tcBorders>
            <w:shd w:val="clear" w:color="auto" w:fill="auto"/>
            <w:noWrap/>
            <w:vAlign w:val="center"/>
            <w:hideMark/>
          </w:tcPr>
          <w:p w:rsidR="00BC521A" w:rsidRPr="00006807" w:rsidRDefault="00BC521A" w:rsidP="000610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006807">
              <w:rPr>
                <w:rFonts w:cs="Arial"/>
                <w:sz w:val="18"/>
                <w:szCs w:val="20"/>
              </w:rPr>
              <w:t>$ 25.506.372.312</w:t>
            </w:r>
          </w:p>
        </w:tc>
        <w:tc>
          <w:tcPr>
            <w:tcW w:w="1701" w:type="dxa"/>
            <w:tcBorders>
              <w:top w:val="none" w:sz="0" w:space="0" w:color="auto"/>
              <w:bottom w:val="none" w:sz="0" w:space="0" w:color="auto"/>
            </w:tcBorders>
            <w:shd w:val="clear" w:color="auto" w:fill="auto"/>
            <w:noWrap/>
            <w:vAlign w:val="center"/>
            <w:hideMark/>
          </w:tcPr>
          <w:p w:rsidR="00BC521A" w:rsidRPr="00006807" w:rsidRDefault="00BC521A" w:rsidP="000610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006807">
              <w:rPr>
                <w:rFonts w:cs="Arial"/>
                <w:sz w:val="18"/>
                <w:szCs w:val="20"/>
              </w:rPr>
              <w:t>$ 25.506.372.312</w:t>
            </w:r>
          </w:p>
        </w:tc>
        <w:tc>
          <w:tcPr>
            <w:tcW w:w="1705" w:type="dxa"/>
            <w:tcBorders>
              <w:top w:val="none" w:sz="0" w:space="0" w:color="auto"/>
              <w:bottom w:val="none" w:sz="0" w:space="0" w:color="auto"/>
            </w:tcBorders>
            <w:shd w:val="clear" w:color="auto" w:fill="auto"/>
            <w:noWrap/>
            <w:vAlign w:val="center"/>
            <w:hideMark/>
          </w:tcPr>
          <w:p w:rsidR="00BC521A" w:rsidRPr="00006807" w:rsidRDefault="00BC521A" w:rsidP="000610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006807">
              <w:rPr>
                <w:rFonts w:cs="Arial"/>
                <w:sz w:val="18"/>
                <w:szCs w:val="20"/>
              </w:rPr>
              <w:t>$ 25.506.372.312</w:t>
            </w:r>
          </w:p>
        </w:tc>
        <w:tc>
          <w:tcPr>
            <w:tcW w:w="1985" w:type="dxa"/>
            <w:tcBorders>
              <w:top w:val="none" w:sz="0" w:space="0" w:color="auto"/>
              <w:bottom w:val="none" w:sz="0" w:space="0" w:color="auto"/>
            </w:tcBorders>
            <w:shd w:val="clear" w:color="auto" w:fill="auto"/>
            <w:noWrap/>
            <w:vAlign w:val="center"/>
            <w:hideMark/>
          </w:tcPr>
          <w:p w:rsidR="00BC521A" w:rsidRPr="00006807" w:rsidRDefault="00BC521A" w:rsidP="000610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006807">
              <w:rPr>
                <w:rFonts w:cs="Arial"/>
                <w:sz w:val="18"/>
                <w:szCs w:val="20"/>
              </w:rPr>
              <w:t>$ 25.506.372.312</w:t>
            </w:r>
          </w:p>
        </w:tc>
      </w:tr>
    </w:tbl>
    <w:p w:rsidR="00BC521A" w:rsidRDefault="00BC521A" w:rsidP="00BC521A">
      <w:pPr>
        <w:spacing w:after="0" w:line="240" w:lineRule="auto"/>
        <w:rPr>
          <w:rFonts w:cs="Arial"/>
          <w:sz w:val="16"/>
          <w:szCs w:val="16"/>
        </w:rPr>
      </w:pPr>
      <w:r w:rsidRPr="000610E9">
        <w:rPr>
          <w:rFonts w:cs="Arial"/>
          <w:b/>
          <w:sz w:val="16"/>
          <w:szCs w:val="16"/>
        </w:rPr>
        <w:t>Fuente:</w:t>
      </w:r>
      <w:r w:rsidRPr="00BC521A">
        <w:rPr>
          <w:rFonts w:cs="Arial"/>
          <w:sz w:val="16"/>
          <w:szCs w:val="16"/>
        </w:rPr>
        <w:t xml:space="preserve"> SIIF NACION II</w:t>
      </w:r>
    </w:p>
    <w:p w:rsidR="00217275" w:rsidRPr="00D21160" w:rsidRDefault="00217275" w:rsidP="00217275">
      <w:pPr>
        <w:rPr>
          <w:rFonts w:ascii="Calibri" w:hAnsi="Calibri"/>
          <w:i/>
          <w:iCs/>
          <w:sz w:val="16"/>
          <w:lang w:val="es-CO"/>
        </w:rPr>
      </w:pPr>
      <w:r w:rsidRPr="00D21160">
        <w:rPr>
          <w:i/>
          <w:iCs/>
          <w:sz w:val="16"/>
        </w:rPr>
        <w:t>Nota: Información preliminar, sujeta a actualización del cierre oficial de metas sociales y financieras.</w:t>
      </w:r>
    </w:p>
    <w:p w:rsidR="00217275" w:rsidRPr="00D21160" w:rsidRDefault="00217275" w:rsidP="00217275">
      <w:pPr>
        <w:spacing w:after="0" w:line="240" w:lineRule="auto"/>
        <w:jc w:val="both"/>
        <w:rPr>
          <w:rFonts w:cs="Arial"/>
          <w:sz w:val="16"/>
          <w:lang w:val="es-CO" w:eastAsia="es-ES"/>
        </w:rPr>
      </w:pPr>
    </w:p>
    <w:p w:rsidR="00BC521A" w:rsidRDefault="00217275" w:rsidP="00BC521A">
      <w:pPr>
        <w:spacing w:after="0" w:line="240" w:lineRule="auto"/>
        <w:jc w:val="both"/>
        <w:rPr>
          <w:rFonts w:cs="Arial"/>
        </w:rPr>
      </w:pPr>
      <w:r>
        <w:rPr>
          <w:rFonts w:cs="Arial"/>
        </w:rPr>
        <w:t>L</w:t>
      </w:r>
      <w:r w:rsidR="00BC521A" w:rsidRPr="00BC521A">
        <w:rPr>
          <w:rFonts w:cs="Arial"/>
        </w:rPr>
        <w:t>as principales acciones fueron:</w:t>
      </w:r>
    </w:p>
    <w:p w:rsidR="000610E9" w:rsidRPr="00BC521A" w:rsidRDefault="000610E9" w:rsidP="00BC521A">
      <w:pPr>
        <w:spacing w:after="0" w:line="240" w:lineRule="auto"/>
        <w:jc w:val="both"/>
        <w:rPr>
          <w:rFonts w:cs="Arial"/>
        </w:rPr>
      </w:pPr>
    </w:p>
    <w:p w:rsidR="00BC521A" w:rsidRDefault="00BC521A" w:rsidP="00D712DC">
      <w:pPr>
        <w:numPr>
          <w:ilvl w:val="0"/>
          <w:numId w:val="192"/>
        </w:numPr>
        <w:spacing w:after="0" w:line="240" w:lineRule="auto"/>
        <w:jc w:val="both"/>
        <w:rPr>
          <w:rFonts w:cs="Arial"/>
        </w:rPr>
      </w:pPr>
      <w:r w:rsidRPr="00BC521A">
        <w:rPr>
          <w:rFonts w:cs="Arial"/>
        </w:rPr>
        <w:t>Puesta en operación de 113 Unidades Móviles de atención a población víctima del desplazamiento forzado, con</w:t>
      </w:r>
      <w:r w:rsidR="000610E9">
        <w:rPr>
          <w:rFonts w:cs="Arial"/>
        </w:rPr>
        <w:t xml:space="preserve"> 450 profesionales contratados.</w:t>
      </w:r>
    </w:p>
    <w:p w:rsidR="000610E9" w:rsidRPr="00BC521A" w:rsidRDefault="000610E9" w:rsidP="000610E9">
      <w:pPr>
        <w:spacing w:after="0" w:line="240" w:lineRule="auto"/>
        <w:ind w:left="360"/>
        <w:jc w:val="both"/>
        <w:rPr>
          <w:rFonts w:cs="Arial"/>
        </w:rPr>
      </w:pPr>
    </w:p>
    <w:p w:rsidR="00BC521A" w:rsidRPr="00BC521A" w:rsidRDefault="00BC521A" w:rsidP="00D712DC">
      <w:pPr>
        <w:numPr>
          <w:ilvl w:val="0"/>
          <w:numId w:val="192"/>
        </w:numPr>
        <w:spacing w:after="0" w:line="240" w:lineRule="auto"/>
        <w:jc w:val="both"/>
        <w:rPr>
          <w:rFonts w:cs="Arial"/>
        </w:rPr>
      </w:pPr>
      <w:r w:rsidRPr="00BC521A">
        <w:rPr>
          <w:rFonts w:cs="Arial"/>
        </w:rPr>
        <w:t xml:space="preserve">Se atendió la emergencia humanitaria en la Guajira con 11 Unidades Móviles (4 fijas - 7 itinerantes) con un total de 27.724 personas atendidas en 624 rancherías de Albania, Maicao, Manaure, Riohacha y Uribía, de las cuales 17.719 son niños, niñas y adolescentes. Adicionalmente se han distribuido 98.599 unidades de galletas, 239.403 unidades de bienestarina líquida (200 ml), así como 17.172 bolsas de bienestarina en polvo. </w:t>
      </w:r>
    </w:p>
    <w:p w:rsidR="00BC521A" w:rsidRPr="00BC521A" w:rsidRDefault="00BC521A" w:rsidP="00053E50">
      <w:pPr>
        <w:ind w:left="708"/>
      </w:pPr>
    </w:p>
    <w:p w:rsidR="00BC521A" w:rsidRPr="00C43651" w:rsidRDefault="00BC521A" w:rsidP="00053E50">
      <w:pPr>
        <w:ind w:left="708"/>
        <w:rPr>
          <w:rFonts w:eastAsiaTheme="majorEastAsia"/>
          <w:b/>
        </w:rPr>
      </w:pPr>
      <w:bookmarkStart w:id="123" w:name="_Toc472519295"/>
      <w:r w:rsidRPr="00C43651">
        <w:rPr>
          <w:rFonts w:eastAsiaTheme="majorEastAsia"/>
          <w:b/>
        </w:rPr>
        <w:t>Restablecimiento de derechos de niños, niñas y adolescentes con discapacidad</w:t>
      </w:r>
      <w:bookmarkEnd w:id="123"/>
    </w:p>
    <w:p w:rsidR="00BC521A" w:rsidRPr="00BC521A" w:rsidRDefault="00BC521A" w:rsidP="00BC521A">
      <w:pPr>
        <w:spacing w:after="0" w:line="240" w:lineRule="auto"/>
        <w:jc w:val="both"/>
        <w:rPr>
          <w:rFonts w:cs="Arial"/>
          <w:i/>
        </w:rPr>
      </w:pPr>
      <w:r w:rsidRPr="00BC521A">
        <w:rPr>
          <w:rFonts w:cs="Arial"/>
          <w:lang w:val="es-CO"/>
        </w:rPr>
        <w:t xml:space="preserve">Para la atención de esta población se expidió </w:t>
      </w:r>
      <w:r w:rsidRPr="00BC521A">
        <w:rPr>
          <w:rFonts w:cs="Arial"/>
        </w:rPr>
        <w:t xml:space="preserve">el </w:t>
      </w:r>
      <w:r w:rsidRPr="00BC521A">
        <w:rPr>
          <w:rFonts w:cs="Arial"/>
          <w:i/>
        </w:rPr>
        <w:t>Lineamiento técnico para la atención de niños, niñas, adolescentes y mayores de 18 años con derechos inobservados, amenazados o vulnerados, con discapacidad.</w:t>
      </w:r>
    </w:p>
    <w:p w:rsidR="00BC521A" w:rsidRPr="00BC521A" w:rsidRDefault="00BC521A" w:rsidP="00BC521A">
      <w:pPr>
        <w:spacing w:after="0" w:line="240" w:lineRule="auto"/>
        <w:jc w:val="both"/>
        <w:rPr>
          <w:rFonts w:cs="Arial"/>
        </w:rPr>
      </w:pPr>
    </w:p>
    <w:p w:rsidR="00BC521A" w:rsidRDefault="00BC521A" w:rsidP="00BC521A">
      <w:pPr>
        <w:spacing w:after="0" w:line="240" w:lineRule="auto"/>
        <w:jc w:val="both"/>
        <w:rPr>
          <w:rFonts w:cs="Arial"/>
        </w:rPr>
      </w:pPr>
      <w:r w:rsidRPr="00BC521A">
        <w:rPr>
          <w:rFonts w:cs="Arial"/>
        </w:rPr>
        <w:t xml:space="preserve">Durante 2016 se han ejecutaron 21.559 cupos para la atención de niños, niñas y adolescentes con discapacidad a través de las modalidades </w:t>
      </w:r>
      <w:r w:rsidRPr="00BC521A">
        <w:rPr>
          <w:rFonts w:cs="Arial"/>
          <w:bCs/>
        </w:rPr>
        <w:t xml:space="preserve">de Apoyo y fortalecimiento a la familia, </w:t>
      </w:r>
      <w:r w:rsidRPr="00BC521A">
        <w:rPr>
          <w:rFonts w:cs="Arial"/>
        </w:rPr>
        <w:t xml:space="preserve">Intervención </w:t>
      </w:r>
      <w:r w:rsidRPr="00BC521A">
        <w:rPr>
          <w:rFonts w:cs="Arial"/>
        </w:rPr>
        <w:lastRenderedPageBreak/>
        <w:t>de apoyo, Externados media, Externado jornada completa, Hogar gestor:</w:t>
      </w:r>
      <w:r w:rsidRPr="00BC521A">
        <w:rPr>
          <w:rFonts w:cs="Arial"/>
          <w:bCs/>
        </w:rPr>
        <w:t xml:space="preserve"> en medio diferente al de la familia de origen o red vincular Internado,</w:t>
      </w:r>
      <w:r w:rsidRPr="00BC521A">
        <w:rPr>
          <w:rFonts w:cs="Arial"/>
        </w:rPr>
        <w:t xml:space="preserve"> Hogar sustituto, así:</w:t>
      </w:r>
    </w:p>
    <w:p w:rsidR="00BC521A" w:rsidRPr="00BC521A" w:rsidRDefault="00BC521A" w:rsidP="00BC521A">
      <w:pPr>
        <w:spacing w:after="0" w:line="240" w:lineRule="auto"/>
        <w:jc w:val="both"/>
        <w:rPr>
          <w:rFonts w:cs="Arial"/>
          <w:lang w:val="es-ES_tradnl"/>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4139"/>
        <w:gridCol w:w="951"/>
        <w:gridCol w:w="761"/>
        <w:gridCol w:w="911"/>
        <w:gridCol w:w="1241"/>
        <w:gridCol w:w="1392"/>
      </w:tblGrid>
      <w:tr w:rsidR="00BC521A" w:rsidRPr="007E1A7A" w:rsidTr="004D173B">
        <w:trPr>
          <w:cantSplit/>
          <w:trHeight w:val="340"/>
        </w:trPr>
        <w:tc>
          <w:tcPr>
            <w:tcW w:w="2203"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Nombre</w:t>
            </w:r>
          </w:p>
        </w:tc>
        <w:tc>
          <w:tcPr>
            <w:tcW w:w="506"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Unidades</w:t>
            </w:r>
          </w:p>
        </w:tc>
        <w:tc>
          <w:tcPr>
            <w:tcW w:w="405"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Cupos</w:t>
            </w:r>
          </w:p>
        </w:tc>
        <w:tc>
          <w:tcPr>
            <w:tcW w:w="485"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Usuarios</w:t>
            </w:r>
          </w:p>
        </w:tc>
        <w:tc>
          <w:tcPr>
            <w:tcW w:w="660"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 xml:space="preserve"> Usuarios</w:t>
            </w:r>
            <w:r w:rsidRPr="000610E9">
              <w:rPr>
                <w:rFonts w:eastAsia="Times New Roman" w:cs="Arial"/>
                <w:b/>
                <w:bCs/>
                <w:color w:val="FFFFFF" w:themeColor="background1"/>
                <w:sz w:val="18"/>
                <w:szCs w:val="18"/>
                <w:lang w:val="es-CO" w:eastAsia="es-CO"/>
              </w:rPr>
              <w:br/>
              <w:t xml:space="preserve">Desplazados </w:t>
            </w:r>
          </w:p>
        </w:tc>
        <w:tc>
          <w:tcPr>
            <w:tcW w:w="741" w:type="pct"/>
            <w:shd w:val="clear" w:color="auto" w:fill="76923C" w:themeFill="accent3" w:themeFillShade="BF"/>
            <w:vAlign w:val="center"/>
            <w:hideMark/>
          </w:tcPr>
          <w:p w:rsidR="00BC521A" w:rsidRPr="000610E9" w:rsidRDefault="000610E9" w:rsidP="00BC521A">
            <w:pPr>
              <w:spacing w:after="0" w:line="240" w:lineRule="auto"/>
              <w:jc w:val="center"/>
              <w:rPr>
                <w:rFonts w:eastAsia="Times New Roman" w:cs="Arial"/>
                <w:b/>
                <w:bCs/>
                <w:color w:val="FFFFFF" w:themeColor="background1"/>
                <w:sz w:val="18"/>
                <w:szCs w:val="18"/>
                <w:lang w:val="es-CO" w:eastAsia="es-CO"/>
              </w:rPr>
            </w:pPr>
            <w:r w:rsidRPr="000610E9">
              <w:rPr>
                <w:rFonts w:eastAsia="Times New Roman" w:cs="Arial"/>
                <w:b/>
                <w:bCs/>
                <w:color w:val="FFFFFF" w:themeColor="background1"/>
                <w:sz w:val="18"/>
                <w:szCs w:val="18"/>
                <w:lang w:val="es-CO" w:eastAsia="es-CO"/>
              </w:rPr>
              <w:t xml:space="preserve"> Obligación</w:t>
            </w:r>
            <w:r w:rsidRPr="000610E9">
              <w:rPr>
                <w:rFonts w:eastAsia="Times New Roman" w:cs="Arial"/>
                <w:b/>
                <w:bCs/>
                <w:color w:val="FFFFFF" w:themeColor="background1"/>
                <w:sz w:val="18"/>
                <w:szCs w:val="18"/>
                <w:lang w:val="es-CO" w:eastAsia="es-CO"/>
              </w:rPr>
              <w:br/>
              <w:t xml:space="preserve">SIM </w:t>
            </w:r>
          </w:p>
        </w:tc>
      </w:tr>
      <w:tr w:rsidR="00BC521A" w:rsidRPr="00872A46" w:rsidTr="004D173B">
        <w:trPr>
          <w:cantSplit/>
          <w:trHeight w:val="340"/>
        </w:trPr>
        <w:tc>
          <w:tcPr>
            <w:tcW w:w="2203" w:type="pct"/>
            <w:shd w:val="clear" w:color="auto" w:fill="auto"/>
            <w:vAlign w:val="center"/>
            <w:hideMark/>
          </w:tcPr>
          <w:p w:rsidR="00BC521A" w:rsidRPr="000610E9" w:rsidRDefault="00DA4E0C"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Externado Jornada Completa c</w:t>
            </w:r>
            <w:r w:rsidR="000610E9" w:rsidRPr="000610E9">
              <w:rPr>
                <w:rFonts w:eastAsia="Times New Roman" w:cs="Arial"/>
                <w:color w:val="000000"/>
                <w:sz w:val="18"/>
                <w:szCs w:val="18"/>
                <w:lang w:val="es-CO" w:eastAsia="es-CO"/>
              </w:rPr>
              <w:t>on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8</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1035</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1070</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0</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10.470.334.710</w:t>
            </w:r>
          </w:p>
        </w:tc>
      </w:tr>
      <w:tr w:rsidR="00BC521A" w:rsidRPr="00872A46" w:rsidTr="004D173B">
        <w:trPr>
          <w:cantSplit/>
          <w:trHeight w:val="340"/>
        </w:trPr>
        <w:tc>
          <w:tcPr>
            <w:tcW w:w="2203" w:type="pct"/>
            <w:shd w:val="clear" w:color="auto" w:fill="auto"/>
            <w:vAlign w:val="center"/>
            <w:hideMark/>
          </w:tcPr>
          <w:p w:rsidR="00BC521A" w:rsidRPr="000610E9" w:rsidRDefault="00DA4E0C"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Externado Media Jornada c</w:t>
            </w:r>
            <w:r w:rsidR="000610E9" w:rsidRPr="000610E9">
              <w:rPr>
                <w:rFonts w:eastAsia="Times New Roman" w:cs="Arial"/>
                <w:color w:val="000000"/>
                <w:sz w:val="18"/>
                <w:szCs w:val="18"/>
                <w:lang w:val="es-CO" w:eastAsia="es-CO"/>
              </w:rPr>
              <w:t>on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8</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3516</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3527</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140</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25.795.039.743</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Hogar G</w:t>
            </w:r>
            <w:r w:rsidR="00DA4E0C">
              <w:rPr>
                <w:rFonts w:eastAsia="Times New Roman" w:cs="Arial"/>
                <w:color w:val="000000"/>
                <w:sz w:val="18"/>
                <w:szCs w:val="18"/>
                <w:lang w:val="es-CO" w:eastAsia="es-CO"/>
              </w:rPr>
              <w:t>estor - Desplazamiento Forzado c</w:t>
            </w:r>
            <w:r w:rsidRPr="000610E9">
              <w:rPr>
                <w:rFonts w:eastAsia="Times New Roman" w:cs="Arial"/>
                <w:color w:val="000000"/>
                <w:sz w:val="18"/>
                <w:szCs w:val="18"/>
                <w:lang w:val="es-CO" w:eastAsia="es-CO"/>
              </w:rPr>
              <w:t>on Discapacidad - Auto 006 De 2009</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782</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1008</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1008</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628</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3.968.257.383</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Hogar Gestor -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6334</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7419</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14806</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1536</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29.230.828.011</w:t>
            </w:r>
          </w:p>
        </w:tc>
      </w:tr>
      <w:tr w:rsidR="00BC521A" w:rsidRPr="00872A46" w:rsidTr="004D173B">
        <w:trPr>
          <w:cantSplit/>
          <w:trHeight w:val="340"/>
        </w:trPr>
        <w:tc>
          <w:tcPr>
            <w:tcW w:w="2203" w:type="pct"/>
            <w:shd w:val="clear" w:color="auto" w:fill="auto"/>
            <w:vAlign w:val="center"/>
            <w:hideMark/>
          </w:tcPr>
          <w:p w:rsidR="00BC521A" w:rsidRPr="000610E9" w:rsidRDefault="00DA4E0C"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Hogar Gestor para Víctimas en el Marco del Conflicto Armado con Discapacidad y/o Enfermedad d</w:t>
            </w:r>
            <w:r w:rsidR="000610E9" w:rsidRPr="000610E9">
              <w:rPr>
                <w:rFonts w:eastAsia="Times New Roman" w:cs="Arial"/>
                <w:color w:val="000000"/>
                <w:sz w:val="18"/>
                <w:szCs w:val="18"/>
                <w:lang w:val="es-CO" w:eastAsia="es-CO"/>
              </w:rPr>
              <w:t>e Cuidado Especial</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90</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187</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187</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154</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398.754.854</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Hogar Sustituto</w:t>
            </w:r>
            <w:r w:rsidR="00DA4E0C" w:rsidRPr="000610E9">
              <w:rPr>
                <w:rFonts w:eastAsia="Times New Roman" w:cs="Arial"/>
                <w:color w:val="000000"/>
                <w:sz w:val="18"/>
                <w:szCs w:val="18"/>
                <w:lang w:val="es-CO" w:eastAsia="es-CO"/>
              </w:rPr>
              <w:t xml:space="preserve"> ICBF </w:t>
            </w:r>
            <w:r w:rsidRPr="000610E9">
              <w:rPr>
                <w:rFonts w:eastAsia="Times New Roman" w:cs="Arial"/>
                <w:color w:val="000000"/>
                <w:sz w:val="18"/>
                <w:szCs w:val="18"/>
                <w:lang w:val="es-CO" w:eastAsia="es-CO"/>
              </w:rPr>
              <w:t>-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166</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368</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368</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103</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2.968.432.241</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 xml:space="preserve">Hogar Sustituto </w:t>
            </w:r>
            <w:r w:rsidR="00DA4E0C" w:rsidRPr="000610E9">
              <w:rPr>
                <w:rFonts w:eastAsia="Times New Roman" w:cs="Arial"/>
                <w:color w:val="000000"/>
                <w:sz w:val="18"/>
                <w:szCs w:val="18"/>
                <w:lang w:val="es-CO" w:eastAsia="es-CO"/>
              </w:rPr>
              <w:t>ONG</w:t>
            </w:r>
            <w:r w:rsidRPr="000610E9">
              <w:rPr>
                <w:rFonts w:eastAsia="Times New Roman" w:cs="Arial"/>
                <w:color w:val="000000"/>
                <w:sz w:val="18"/>
                <w:szCs w:val="18"/>
                <w:lang w:val="es-CO" w:eastAsia="es-CO"/>
              </w:rPr>
              <w:t xml:space="preserve"> -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1490</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2865</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5810</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160</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39.506.414.954</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Internado - Discapacidad Mental Cognitiva</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20</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2787</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2797</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1435</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39.047.154.017</w:t>
            </w:r>
          </w:p>
        </w:tc>
      </w:tr>
      <w:tr w:rsidR="00BC521A" w:rsidRPr="00872A46" w:rsidTr="004D173B">
        <w:trPr>
          <w:cantSplit/>
          <w:trHeight w:val="340"/>
        </w:trPr>
        <w:tc>
          <w:tcPr>
            <w:tcW w:w="2203" w:type="pct"/>
            <w:shd w:val="clear" w:color="auto" w:fill="auto"/>
            <w:vAlign w:val="center"/>
            <w:hideMark/>
          </w:tcPr>
          <w:p w:rsidR="00BC521A" w:rsidRPr="000610E9" w:rsidRDefault="000610E9" w:rsidP="00BC521A">
            <w:pPr>
              <w:spacing w:after="0" w:line="240" w:lineRule="auto"/>
              <w:rPr>
                <w:rFonts w:eastAsia="Times New Roman" w:cs="Arial"/>
                <w:color w:val="000000"/>
                <w:sz w:val="18"/>
                <w:szCs w:val="18"/>
                <w:lang w:val="es-CO" w:eastAsia="es-CO"/>
              </w:rPr>
            </w:pPr>
            <w:r w:rsidRPr="000610E9">
              <w:rPr>
                <w:rFonts w:eastAsia="Times New Roman" w:cs="Arial"/>
                <w:color w:val="000000"/>
                <w:sz w:val="18"/>
                <w:szCs w:val="18"/>
                <w:lang w:val="es-CO" w:eastAsia="es-CO"/>
              </w:rPr>
              <w:t>Internado - Discapacidad Mental Psicosocial</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7</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2177</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2180</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0</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46.219.160.849</w:t>
            </w:r>
          </w:p>
        </w:tc>
      </w:tr>
      <w:tr w:rsidR="00BC521A" w:rsidRPr="00872A46" w:rsidTr="004D173B">
        <w:trPr>
          <w:cantSplit/>
          <w:trHeight w:val="340"/>
        </w:trPr>
        <w:tc>
          <w:tcPr>
            <w:tcW w:w="2203" w:type="pct"/>
            <w:shd w:val="clear" w:color="auto" w:fill="auto"/>
            <w:vAlign w:val="center"/>
            <w:hideMark/>
          </w:tcPr>
          <w:p w:rsidR="00BC521A" w:rsidRPr="000610E9" w:rsidRDefault="00DA4E0C"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Intervención de Apoyo - Apoyo Psicosocial c</w:t>
            </w:r>
            <w:r w:rsidR="000610E9" w:rsidRPr="000610E9">
              <w:rPr>
                <w:rFonts w:eastAsia="Times New Roman" w:cs="Arial"/>
                <w:color w:val="000000"/>
                <w:sz w:val="18"/>
                <w:szCs w:val="18"/>
                <w:lang w:val="es-CO" w:eastAsia="es-CO"/>
              </w:rPr>
              <w:t>on Discapacidad</w:t>
            </w:r>
          </w:p>
        </w:tc>
        <w:tc>
          <w:tcPr>
            <w:tcW w:w="506"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w:t>
            </w:r>
          </w:p>
        </w:tc>
        <w:tc>
          <w:tcPr>
            <w:tcW w:w="40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197</w:t>
            </w:r>
          </w:p>
        </w:tc>
        <w:tc>
          <w:tcPr>
            <w:tcW w:w="485"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197</w:t>
            </w:r>
          </w:p>
        </w:tc>
        <w:tc>
          <w:tcPr>
            <w:tcW w:w="660"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1</w:t>
            </w:r>
          </w:p>
        </w:tc>
        <w:tc>
          <w:tcPr>
            <w:tcW w:w="741" w:type="pct"/>
            <w:shd w:val="clear" w:color="auto" w:fill="auto"/>
            <w:noWrap/>
            <w:vAlign w:val="center"/>
            <w:hideMark/>
          </w:tcPr>
          <w:p w:rsidR="00BC521A" w:rsidRPr="000610E9" w:rsidRDefault="00BC521A" w:rsidP="00BC521A">
            <w:pPr>
              <w:spacing w:after="0" w:line="240" w:lineRule="auto"/>
              <w:jc w:val="center"/>
              <w:rPr>
                <w:rFonts w:eastAsia="Times New Roman" w:cs="Arial"/>
                <w:color w:val="000000"/>
                <w:sz w:val="18"/>
                <w:szCs w:val="18"/>
                <w:lang w:val="es-CO" w:eastAsia="es-CO"/>
              </w:rPr>
            </w:pPr>
            <w:r w:rsidRPr="000610E9">
              <w:rPr>
                <w:rFonts w:eastAsia="Times New Roman" w:cs="Arial"/>
                <w:color w:val="000000"/>
                <w:sz w:val="18"/>
                <w:szCs w:val="18"/>
                <w:lang w:val="es-CO" w:eastAsia="es-CO"/>
              </w:rPr>
              <w:t>592.010.264</w:t>
            </w:r>
          </w:p>
        </w:tc>
      </w:tr>
    </w:tbl>
    <w:p w:rsidR="00006807" w:rsidRDefault="00844CED" w:rsidP="00006807">
      <w:pPr>
        <w:spacing w:after="0" w:line="240" w:lineRule="atLeast"/>
        <w:rPr>
          <w:rFonts w:cs="Arial"/>
          <w:sz w:val="16"/>
          <w:szCs w:val="16"/>
        </w:rPr>
      </w:pPr>
      <w:r w:rsidRPr="00844CED">
        <w:rPr>
          <w:rFonts w:cs="Arial"/>
          <w:b/>
          <w:sz w:val="16"/>
          <w:szCs w:val="16"/>
        </w:rPr>
        <w:t>Fuente:</w:t>
      </w:r>
      <w:r w:rsidRPr="00844CED">
        <w:rPr>
          <w:rFonts w:cs="Arial"/>
          <w:sz w:val="16"/>
          <w:szCs w:val="16"/>
        </w:rPr>
        <w:t xml:space="preserve"> Ejecución de Metas Sociales y Financieras Vigencia 2016 - Reporte Ejecución Municipal - SIM - Diciembre Preliminar</w:t>
      </w:r>
    </w:p>
    <w:p w:rsidR="00217275" w:rsidRPr="00D21160" w:rsidRDefault="00217275" w:rsidP="00006807">
      <w:pPr>
        <w:spacing w:after="0" w:line="240" w:lineRule="atLeast"/>
        <w:rPr>
          <w:rFonts w:ascii="Calibri" w:hAnsi="Calibri"/>
          <w:i/>
          <w:iCs/>
          <w:sz w:val="16"/>
          <w:lang w:val="es-CO"/>
        </w:rPr>
      </w:pPr>
      <w:r w:rsidRPr="00D21160">
        <w:rPr>
          <w:i/>
          <w:iCs/>
          <w:sz w:val="16"/>
        </w:rPr>
        <w:t>Nota: Información preliminar, sujeta a actualización del cierre oficial de metas sociales y financieras.</w:t>
      </w:r>
    </w:p>
    <w:p w:rsidR="00217275" w:rsidRPr="00D21160" w:rsidRDefault="00217275" w:rsidP="00217275">
      <w:pPr>
        <w:spacing w:after="0" w:line="240" w:lineRule="auto"/>
        <w:jc w:val="both"/>
        <w:rPr>
          <w:rFonts w:cs="Arial"/>
          <w:sz w:val="16"/>
          <w:lang w:val="es-CO" w:eastAsia="es-ES"/>
        </w:rPr>
      </w:pPr>
    </w:p>
    <w:p w:rsidR="00BC521A" w:rsidRDefault="00BC521A" w:rsidP="00BC521A">
      <w:pPr>
        <w:autoSpaceDE w:val="0"/>
        <w:autoSpaceDN w:val="0"/>
        <w:adjustRightInd w:val="0"/>
        <w:spacing w:after="0" w:line="240" w:lineRule="auto"/>
        <w:jc w:val="both"/>
        <w:rPr>
          <w:rFonts w:cs="Arial"/>
        </w:rPr>
      </w:pPr>
      <w:r w:rsidRPr="00BC521A">
        <w:rPr>
          <w:rFonts w:cs="Arial"/>
        </w:rPr>
        <w:t>Las acciones destacadas fueron:</w:t>
      </w:r>
    </w:p>
    <w:p w:rsidR="00844CED" w:rsidRPr="00BC521A" w:rsidRDefault="00844CED" w:rsidP="00BC521A">
      <w:pPr>
        <w:autoSpaceDE w:val="0"/>
        <w:autoSpaceDN w:val="0"/>
        <w:adjustRightInd w:val="0"/>
        <w:spacing w:after="0" w:line="240" w:lineRule="auto"/>
        <w:jc w:val="both"/>
        <w:rPr>
          <w:rFonts w:cs="Arial"/>
          <w:lang w:val="es-CO"/>
        </w:rPr>
      </w:pPr>
    </w:p>
    <w:p w:rsidR="00BC521A" w:rsidRDefault="00BC521A" w:rsidP="00D712DC">
      <w:pPr>
        <w:numPr>
          <w:ilvl w:val="0"/>
          <w:numId w:val="66"/>
        </w:numPr>
        <w:spacing w:after="0" w:line="240" w:lineRule="auto"/>
        <w:ind w:left="360"/>
        <w:jc w:val="both"/>
        <w:rPr>
          <w:rFonts w:cs="Arial"/>
        </w:rPr>
      </w:pPr>
      <w:r w:rsidRPr="00BC521A">
        <w:rPr>
          <w:rFonts w:cs="Arial"/>
        </w:rPr>
        <w:t>Desarrollo del Convenio No. 1146 de 2016 con Best Buddies Colombia, a través del cual se realizó la sensibilización sobre discapacidad e inclusión social y productiva de colaboradores y servidores públicos y profesionales de las instituciones de atención a discapacidad de las Regionales de Antioquia, Bogotá, Cundinamarca, Meta y Valle del Cauca; fortaleciéndose 9 operadores de internado discapacidad e internado discapacidad mental psicosocial en inclusión social y productiva de población con discapacidad. Producto del desarrollo de este Convenio se cuenta con: i) Guía práctica para implementar acciones de inclusión social y productiva de personas con discapacidad en Proceso Administrativo de Restablecimiento de Derechos (PARD); ii) Guía de orientaciones para la inclusión laboral de personas con discapacidad en Proceso Administrativo de Restablecimiento de Derechos (PARD); y iii) Piezas comunicativas (3 capsulas de video y 4 piezas publicitarias digitales), orientadas a la sensibilización de la comunidad, en el reconocimiento de las capacidades de las personas con discapacidad y de sus derechos a una plena participación en los diferentes entornos en lo</w:t>
      </w:r>
      <w:r w:rsidR="004D173B">
        <w:rPr>
          <w:rFonts w:cs="Arial"/>
        </w:rPr>
        <w:t>s que se desarrollan sus vidas.</w:t>
      </w:r>
    </w:p>
    <w:p w:rsidR="004D173B" w:rsidRPr="00BC521A" w:rsidRDefault="004D173B" w:rsidP="004D173B">
      <w:pPr>
        <w:spacing w:after="0" w:line="240" w:lineRule="auto"/>
        <w:ind w:left="360"/>
        <w:jc w:val="both"/>
        <w:rPr>
          <w:rFonts w:cs="Arial"/>
        </w:rPr>
      </w:pPr>
    </w:p>
    <w:p w:rsidR="00BC521A" w:rsidRDefault="00BC521A" w:rsidP="00D712DC">
      <w:pPr>
        <w:numPr>
          <w:ilvl w:val="0"/>
          <w:numId w:val="66"/>
        </w:numPr>
        <w:spacing w:after="0" w:line="240" w:lineRule="auto"/>
        <w:ind w:left="360"/>
        <w:jc w:val="both"/>
        <w:rPr>
          <w:rFonts w:cs="Arial"/>
        </w:rPr>
      </w:pPr>
      <w:r w:rsidRPr="00BC521A">
        <w:rPr>
          <w:rFonts w:cs="Arial"/>
        </w:rPr>
        <w:t>Asistencia técnica a las 33 regionales a fin de fortalecer el desarrollo de estrategias de atención a familias e inclusión social de la población con discapacida</w:t>
      </w:r>
      <w:r w:rsidR="00844CED">
        <w:rPr>
          <w:rFonts w:cs="Arial"/>
        </w:rPr>
        <w:t>d beneficiaria de Hogar Gestor.</w:t>
      </w:r>
    </w:p>
    <w:p w:rsidR="00844CED" w:rsidRPr="00BC521A" w:rsidRDefault="00844CED" w:rsidP="00844CED">
      <w:pPr>
        <w:spacing w:after="0" w:line="240" w:lineRule="auto"/>
        <w:ind w:left="360"/>
        <w:jc w:val="both"/>
        <w:rPr>
          <w:rFonts w:cs="Arial"/>
        </w:rPr>
      </w:pPr>
    </w:p>
    <w:p w:rsidR="00BC521A" w:rsidRDefault="00BC521A" w:rsidP="00D712DC">
      <w:pPr>
        <w:numPr>
          <w:ilvl w:val="0"/>
          <w:numId w:val="66"/>
        </w:numPr>
        <w:spacing w:after="0" w:line="240" w:lineRule="auto"/>
        <w:ind w:left="360"/>
        <w:jc w:val="both"/>
        <w:rPr>
          <w:rFonts w:cs="Arial"/>
        </w:rPr>
      </w:pPr>
      <w:r w:rsidRPr="00BC521A">
        <w:rPr>
          <w:rFonts w:cs="Arial"/>
        </w:rPr>
        <w:t xml:space="preserve">En el marco del Convenio interadministrativo No. 2602 de 2012, firmado con el Instituto Nacional para Ciegos (INCI) se realizó la sensibilización a referentes de primera infancia y de </w:t>
      </w:r>
      <w:r w:rsidRPr="00BC521A">
        <w:rPr>
          <w:rFonts w:cs="Arial"/>
        </w:rPr>
        <w:lastRenderedPageBreak/>
        <w:t xml:space="preserve">discapacidad de las 33 regionales, en atención e inclusión social de población con discapacidad y se construyó documento de sistematización de la experiencia de asistencia técnica a regionales en el marco del desarrollo de </w:t>
      </w:r>
      <w:r w:rsidR="00844CED">
        <w:rPr>
          <w:rFonts w:cs="Arial"/>
        </w:rPr>
        <w:t>los programas del ICBF.</w:t>
      </w:r>
    </w:p>
    <w:p w:rsidR="00844CED" w:rsidRPr="00BC521A" w:rsidRDefault="00844CED" w:rsidP="00844CED">
      <w:pPr>
        <w:spacing w:after="0" w:line="240" w:lineRule="auto"/>
        <w:jc w:val="both"/>
        <w:rPr>
          <w:rFonts w:cs="Arial"/>
        </w:rPr>
      </w:pPr>
    </w:p>
    <w:p w:rsidR="00BC521A" w:rsidRDefault="00BC521A" w:rsidP="00D712DC">
      <w:pPr>
        <w:numPr>
          <w:ilvl w:val="0"/>
          <w:numId w:val="66"/>
        </w:numPr>
        <w:spacing w:after="0" w:line="240" w:lineRule="auto"/>
        <w:ind w:left="360"/>
        <w:jc w:val="both"/>
        <w:rPr>
          <w:rFonts w:cs="Arial"/>
        </w:rPr>
      </w:pPr>
      <w:r w:rsidRPr="00BC521A">
        <w:rPr>
          <w:rFonts w:cs="Arial"/>
        </w:rPr>
        <w:t>A través del Contrato No. 466 de 2016, firmado con la Federación Nacional de Sordos de Colombia (FENASCOL), se prestó el servicio de interpretación de lengua de señas por 198,5 horas favoreciendo a 92 beneficiarios con discapacidad auditiva; corte a octubre de 2016.</w:t>
      </w:r>
    </w:p>
    <w:p w:rsidR="00844CED" w:rsidRPr="00BC521A" w:rsidRDefault="00844CED" w:rsidP="00844CED">
      <w:pPr>
        <w:spacing w:after="0" w:line="240" w:lineRule="auto"/>
        <w:jc w:val="both"/>
        <w:rPr>
          <w:rFonts w:cs="Arial"/>
        </w:rPr>
      </w:pPr>
    </w:p>
    <w:p w:rsidR="00BC521A" w:rsidRPr="00844CED" w:rsidRDefault="00BC521A" w:rsidP="00D712DC">
      <w:pPr>
        <w:numPr>
          <w:ilvl w:val="0"/>
          <w:numId w:val="66"/>
        </w:numPr>
        <w:spacing w:after="0" w:line="240" w:lineRule="auto"/>
        <w:ind w:left="360"/>
        <w:jc w:val="both"/>
        <w:rPr>
          <w:rFonts w:eastAsia="Times New Roman" w:cs="Arial"/>
          <w:lang w:eastAsia="es-CO"/>
        </w:rPr>
      </w:pPr>
      <w:r w:rsidRPr="00BC521A">
        <w:rPr>
          <w:rFonts w:cs="Arial"/>
        </w:rPr>
        <w:t>Participación activa en la implementación de políticas públicas de discapacidad, respondiendo a los compromisos establecidos en el marco del Grupo de Enlace Sectorial del nivel técnico del Sistema Nacional de Discapacidad (SND); destacándose la virtualización de la Guía de atención a las personas con discapacidad en el acceso a la Justicia para la capacitación de profesionales que intervienen en la administración de justicia y la formalización de la “</w:t>
      </w:r>
      <w:r w:rsidRPr="00BC521A">
        <w:rPr>
          <w:rFonts w:cs="Arial"/>
          <w:i/>
        </w:rPr>
        <w:t>Mesa Técnica del Enfoque Diferencial en Discapacidad</w:t>
      </w:r>
      <w:r w:rsidRPr="00BC521A">
        <w:rPr>
          <w:rFonts w:cs="Arial"/>
          <w:i/>
          <w:vertAlign w:val="superscript"/>
        </w:rPr>
        <w:footnoteReference w:id="30"/>
      </w:r>
      <w:r w:rsidRPr="00BC521A">
        <w:rPr>
          <w:rFonts w:cs="Arial"/>
          <w:i/>
        </w:rPr>
        <w:t>, para la implementación de la Política Pública de Discapacidad e Inclusión Social en los niveles Nacional, Regional y Zonal del ICBF”</w:t>
      </w:r>
      <w:r w:rsidR="00844CED">
        <w:rPr>
          <w:rFonts w:cs="Arial"/>
        </w:rPr>
        <w:t>.</w:t>
      </w:r>
    </w:p>
    <w:p w:rsidR="00844CED" w:rsidRPr="00BC521A" w:rsidRDefault="00844CED" w:rsidP="00844CED">
      <w:pPr>
        <w:spacing w:after="0" w:line="240" w:lineRule="auto"/>
        <w:jc w:val="both"/>
        <w:rPr>
          <w:rFonts w:eastAsia="Times New Roman" w:cs="Arial"/>
          <w:lang w:eastAsia="es-CO"/>
        </w:rPr>
      </w:pPr>
    </w:p>
    <w:p w:rsidR="00BC521A" w:rsidRPr="00BC521A" w:rsidRDefault="00BC521A" w:rsidP="00D712DC">
      <w:pPr>
        <w:numPr>
          <w:ilvl w:val="0"/>
          <w:numId w:val="66"/>
        </w:numPr>
        <w:spacing w:after="0" w:line="240" w:lineRule="auto"/>
        <w:ind w:left="360"/>
        <w:jc w:val="both"/>
        <w:rPr>
          <w:rFonts w:eastAsia="Times New Roman" w:cs="Arial"/>
          <w:lang w:eastAsia="es-CO"/>
        </w:rPr>
      </w:pPr>
      <w:r w:rsidRPr="00BC521A">
        <w:rPr>
          <w:rFonts w:eastAsia="Times New Roman" w:cs="Arial"/>
          <w:lang w:eastAsia="es-CO"/>
        </w:rPr>
        <w:t>En el marco del proceso de cualificación de cuidadores, se caracterizaron cuidadores de Hogares Sustitutos y de instituciones de atención a población con discapacidad en PARD de las Regionales de Antioquia, Atlántico, Bogotá, Bolívar, Caldas, Casanare, Cauca, Cundinamarca, Meta, Nariño, Quindío, Risaralda, Santander, Tolima y Valle del Cauca; gestionando con el SENA su vinculación al programa de formación de cuidado básico de personas con dependencia funcional. Para el 2016 se logró la vinculación en el programa de formación de 118 cuidadores de las regionales de Atlántico, Meta, Bogotá, Cundinamarca y Caldas.</w:t>
      </w:r>
    </w:p>
    <w:p w:rsidR="00BC521A" w:rsidRPr="00BC521A" w:rsidRDefault="00BC521A" w:rsidP="00DD3137">
      <w:pPr>
        <w:ind w:left="708"/>
        <w:jc w:val="both"/>
        <w:rPr>
          <w:lang w:eastAsia="es-CO"/>
        </w:rPr>
      </w:pPr>
    </w:p>
    <w:p w:rsidR="00BC521A" w:rsidRPr="00C43651" w:rsidRDefault="00BC521A" w:rsidP="00DD3137">
      <w:pPr>
        <w:ind w:left="708"/>
        <w:jc w:val="both"/>
        <w:rPr>
          <w:rFonts w:eastAsiaTheme="majorEastAsia"/>
          <w:b/>
        </w:rPr>
      </w:pPr>
      <w:bookmarkStart w:id="124" w:name="_Toc472519296"/>
      <w:r w:rsidRPr="00C43651">
        <w:rPr>
          <w:rFonts w:eastAsiaTheme="majorEastAsia"/>
          <w:b/>
        </w:rPr>
        <w:t>Restablecimiento de derechos de adolescentes y mujeres mayores de 18 años, gestantes o en periodo de lactancia</w:t>
      </w:r>
      <w:bookmarkEnd w:id="124"/>
    </w:p>
    <w:p w:rsidR="00BC521A" w:rsidRPr="00BC521A" w:rsidRDefault="00BC521A" w:rsidP="00BC521A">
      <w:pPr>
        <w:autoSpaceDE w:val="0"/>
        <w:autoSpaceDN w:val="0"/>
        <w:adjustRightInd w:val="0"/>
        <w:spacing w:after="0" w:line="240" w:lineRule="auto"/>
        <w:jc w:val="both"/>
        <w:rPr>
          <w:rFonts w:cs="Arial"/>
        </w:rPr>
      </w:pPr>
      <w:r w:rsidRPr="00BC521A">
        <w:rPr>
          <w:rFonts w:cs="Arial"/>
        </w:rPr>
        <w:t xml:space="preserve">El ICBF expidió el Lineamiento Técnico del Programa Especializado para la Atención a Adolescentes y Mujeres Mayores de 18 años, Gestantes o en Periodo de Lactancia, con sus derechos, Inobservados, Amenazados o Vulnerados, aprobado mediante Resolución No. 1515 del febrero 23 de 2016. </w:t>
      </w:r>
    </w:p>
    <w:p w:rsidR="00DD3137" w:rsidRDefault="00DD3137" w:rsidP="00BC521A">
      <w:pPr>
        <w:autoSpaceDE w:val="0"/>
        <w:autoSpaceDN w:val="0"/>
        <w:adjustRightInd w:val="0"/>
        <w:spacing w:after="0" w:line="240" w:lineRule="auto"/>
        <w:jc w:val="both"/>
        <w:rPr>
          <w:rFonts w:cs="Arial"/>
        </w:rPr>
      </w:pPr>
    </w:p>
    <w:p w:rsidR="00BC521A" w:rsidRDefault="00BC521A" w:rsidP="00BC521A">
      <w:pPr>
        <w:autoSpaceDE w:val="0"/>
        <w:autoSpaceDN w:val="0"/>
        <w:adjustRightInd w:val="0"/>
        <w:spacing w:after="0" w:line="240" w:lineRule="auto"/>
        <w:jc w:val="both"/>
        <w:rPr>
          <w:rFonts w:cs="Arial"/>
          <w:bCs/>
        </w:rPr>
      </w:pPr>
      <w:r w:rsidRPr="00BC521A">
        <w:rPr>
          <w:rFonts w:cs="Arial"/>
        </w:rPr>
        <w:t>Durante la vigencia 2016 se han ejecutado un total de 325 cupos para la atención</w:t>
      </w:r>
      <w:r w:rsidRPr="00BC521A">
        <w:rPr>
          <w:rFonts w:cs="Arial"/>
          <w:vertAlign w:val="superscript"/>
        </w:rPr>
        <w:footnoteReference w:id="31"/>
      </w:r>
      <w:r w:rsidRPr="00BC521A">
        <w:rPr>
          <w:rFonts w:cs="Arial"/>
        </w:rPr>
        <w:t xml:space="preserve"> a adolescentes y mujeres gestantes o en periodo de lactancia con sus derechos inobservados, amenazados o vulnerados, los cuales son atendidos a través de la modalidad </w:t>
      </w:r>
      <w:r w:rsidRPr="00BC521A">
        <w:rPr>
          <w:rFonts w:cs="Arial"/>
          <w:bCs/>
        </w:rPr>
        <w:t>en medio diferente al de la familia de origen o red vincular Internado:</w:t>
      </w:r>
    </w:p>
    <w:p w:rsidR="00985DD9" w:rsidRDefault="00985DD9" w:rsidP="00BC521A">
      <w:pPr>
        <w:autoSpaceDE w:val="0"/>
        <w:autoSpaceDN w:val="0"/>
        <w:adjustRightInd w:val="0"/>
        <w:spacing w:after="0" w:line="240" w:lineRule="auto"/>
        <w:jc w:val="both"/>
        <w:rPr>
          <w:rFonts w:cs="Arial"/>
          <w:bCs/>
        </w:rPr>
      </w:pPr>
    </w:p>
    <w:p w:rsidR="00985DD9" w:rsidRDefault="00985DD9" w:rsidP="00BC521A">
      <w:pPr>
        <w:autoSpaceDE w:val="0"/>
        <w:autoSpaceDN w:val="0"/>
        <w:adjustRightInd w:val="0"/>
        <w:spacing w:after="0" w:line="240" w:lineRule="auto"/>
        <w:jc w:val="both"/>
        <w:rPr>
          <w:rFonts w:cs="Arial"/>
          <w:bCs/>
        </w:rPr>
      </w:pPr>
    </w:p>
    <w:p w:rsidR="00985DD9" w:rsidRPr="00BC521A" w:rsidRDefault="00985DD9" w:rsidP="00BC521A">
      <w:pPr>
        <w:autoSpaceDE w:val="0"/>
        <w:autoSpaceDN w:val="0"/>
        <w:adjustRightInd w:val="0"/>
        <w:spacing w:after="0" w:line="240" w:lineRule="auto"/>
        <w:jc w:val="both"/>
        <w:rPr>
          <w:rFonts w:cs="Arial"/>
        </w:rPr>
      </w:pPr>
    </w:p>
    <w:p w:rsidR="00BC521A" w:rsidRPr="00BC521A" w:rsidRDefault="00BC521A" w:rsidP="00BC521A">
      <w:pPr>
        <w:spacing w:after="0" w:line="240" w:lineRule="auto"/>
        <w:jc w:val="both"/>
        <w:rPr>
          <w:rFonts w:cs="Arial"/>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897"/>
        <w:gridCol w:w="1189"/>
        <w:gridCol w:w="1189"/>
        <w:gridCol w:w="1189"/>
        <w:gridCol w:w="1526"/>
        <w:gridCol w:w="1405"/>
      </w:tblGrid>
      <w:tr w:rsidR="00BC521A" w:rsidRPr="005D2611" w:rsidTr="00844CED">
        <w:trPr>
          <w:trHeight w:val="525"/>
        </w:trPr>
        <w:tc>
          <w:tcPr>
            <w:tcW w:w="1541" w:type="pct"/>
            <w:shd w:val="clear" w:color="auto" w:fill="76923C" w:themeFill="accent3" w:themeFillShade="BF"/>
            <w:vAlign w:val="center"/>
            <w:hideMark/>
          </w:tcPr>
          <w:p w:rsidR="00BC521A" w:rsidRPr="00844CED" w:rsidRDefault="00844CED" w:rsidP="00BC521A">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lastRenderedPageBreak/>
              <w:t>Nombre</w:t>
            </w:r>
          </w:p>
        </w:tc>
        <w:tc>
          <w:tcPr>
            <w:tcW w:w="633" w:type="pct"/>
            <w:shd w:val="clear" w:color="auto" w:fill="76923C" w:themeFill="accent3" w:themeFillShade="BF"/>
            <w:vAlign w:val="center"/>
            <w:hideMark/>
          </w:tcPr>
          <w:p w:rsidR="00BC521A" w:rsidRPr="00844CED" w:rsidRDefault="00BC521A" w:rsidP="00BC521A">
            <w:pPr>
              <w:spacing w:after="0" w:line="240" w:lineRule="auto"/>
              <w:jc w:val="center"/>
              <w:rPr>
                <w:rFonts w:eastAsia="Times New Roman" w:cs="Arial"/>
                <w:b/>
                <w:bCs/>
                <w:color w:val="FFFFFF" w:themeColor="background1"/>
                <w:sz w:val="18"/>
                <w:szCs w:val="20"/>
                <w:lang w:val="es-CO" w:eastAsia="es-CO"/>
              </w:rPr>
            </w:pPr>
            <w:r w:rsidRPr="00844CED">
              <w:rPr>
                <w:rFonts w:eastAsia="Times New Roman" w:cs="Arial"/>
                <w:b/>
                <w:bCs/>
                <w:color w:val="FFFFFF" w:themeColor="background1"/>
                <w:sz w:val="18"/>
                <w:szCs w:val="20"/>
                <w:lang w:val="es-CO" w:eastAsia="es-CO"/>
              </w:rPr>
              <w:t>Unidades</w:t>
            </w:r>
          </w:p>
        </w:tc>
        <w:tc>
          <w:tcPr>
            <w:tcW w:w="633" w:type="pct"/>
            <w:shd w:val="clear" w:color="auto" w:fill="76923C" w:themeFill="accent3" w:themeFillShade="BF"/>
            <w:vAlign w:val="center"/>
            <w:hideMark/>
          </w:tcPr>
          <w:p w:rsidR="00BC521A" w:rsidRPr="00844CED" w:rsidRDefault="00BC521A" w:rsidP="00BC521A">
            <w:pPr>
              <w:spacing w:after="0" w:line="240" w:lineRule="auto"/>
              <w:jc w:val="center"/>
              <w:rPr>
                <w:rFonts w:eastAsia="Times New Roman" w:cs="Arial"/>
                <w:b/>
                <w:bCs/>
                <w:color w:val="FFFFFF" w:themeColor="background1"/>
                <w:sz w:val="18"/>
                <w:szCs w:val="20"/>
                <w:lang w:val="es-CO" w:eastAsia="es-CO"/>
              </w:rPr>
            </w:pPr>
            <w:r w:rsidRPr="00844CED">
              <w:rPr>
                <w:rFonts w:eastAsia="Times New Roman" w:cs="Arial"/>
                <w:b/>
                <w:bCs/>
                <w:color w:val="FFFFFF" w:themeColor="background1"/>
                <w:sz w:val="18"/>
                <w:szCs w:val="20"/>
                <w:lang w:val="es-CO" w:eastAsia="es-CO"/>
              </w:rPr>
              <w:t>Cupos</w:t>
            </w:r>
          </w:p>
        </w:tc>
        <w:tc>
          <w:tcPr>
            <w:tcW w:w="633" w:type="pct"/>
            <w:shd w:val="clear" w:color="auto" w:fill="76923C" w:themeFill="accent3" w:themeFillShade="BF"/>
            <w:vAlign w:val="center"/>
            <w:hideMark/>
          </w:tcPr>
          <w:p w:rsidR="00BC521A" w:rsidRPr="00844CED" w:rsidRDefault="00BC521A" w:rsidP="00BC521A">
            <w:pPr>
              <w:spacing w:after="0" w:line="240" w:lineRule="auto"/>
              <w:jc w:val="center"/>
              <w:rPr>
                <w:rFonts w:eastAsia="Times New Roman" w:cs="Arial"/>
                <w:b/>
                <w:bCs/>
                <w:color w:val="FFFFFF" w:themeColor="background1"/>
                <w:sz w:val="18"/>
                <w:szCs w:val="20"/>
                <w:lang w:val="es-CO" w:eastAsia="es-CO"/>
              </w:rPr>
            </w:pPr>
            <w:r w:rsidRPr="00844CED">
              <w:rPr>
                <w:rFonts w:eastAsia="Times New Roman" w:cs="Arial"/>
                <w:b/>
                <w:bCs/>
                <w:color w:val="FFFFFF" w:themeColor="background1"/>
                <w:sz w:val="18"/>
                <w:szCs w:val="20"/>
                <w:lang w:val="es-CO" w:eastAsia="es-CO"/>
              </w:rPr>
              <w:t>Usuarios</w:t>
            </w:r>
          </w:p>
        </w:tc>
        <w:tc>
          <w:tcPr>
            <w:tcW w:w="812" w:type="pct"/>
            <w:shd w:val="clear" w:color="auto" w:fill="76923C" w:themeFill="accent3" w:themeFillShade="BF"/>
            <w:vAlign w:val="center"/>
            <w:hideMark/>
          </w:tcPr>
          <w:p w:rsidR="00BC521A" w:rsidRPr="00844CED" w:rsidRDefault="00BC521A" w:rsidP="00BC521A">
            <w:pPr>
              <w:spacing w:after="0" w:line="240" w:lineRule="auto"/>
              <w:jc w:val="center"/>
              <w:rPr>
                <w:rFonts w:eastAsia="Times New Roman" w:cs="Arial"/>
                <w:b/>
                <w:bCs/>
                <w:color w:val="FFFFFF" w:themeColor="background1"/>
                <w:sz w:val="18"/>
                <w:szCs w:val="20"/>
                <w:lang w:val="es-CO" w:eastAsia="es-CO"/>
              </w:rPr>
            </w:pPr>
            <w:r w:rsidRPr="00844CED">
              <w:rPr>
                <w:rFonts w:eastAsia="Times New Roman" w:cs="Arial"/>
                <w:b/>
                <w:bCs/>
                <w:color w:val="FFFFFF" w:themeColor="background1"/>
                <w:sz w:val="18"/>
                <w:szCs w:val="20"/>
                <w:lang w:val="es-CO" w:eastAsia="es-CO"/>
              </w:rPr>
              <w:t xml:space="preserve"> Usuarios</w:t>
            </w:r>
            <w:r w:rsidRPr="00844CED">
              <w:rPr>
                <w:rFonts w:eastAsia="Times New Roman" w:cs="Arial"/>
                <w:b/>
                <w:bCs/>
                <w:color w:val="FFFFFF" w:themeColor="background1"/>
                <w:sz w:val="18"/>
                <w:szCs w:val="20"/>
                <w:lang w:val="es-CO" w:eastAsia="es-CO"/>
              </w:rPr>
              <w:br/>
              <w:t xml:space="preserve">Desplazados </w:t>
            </w:r>
          </w:p>
        </w:tc>
        <w:tc>
          <w:tcPr>
            <w:tcW w:w="749" w:type="pct"/>
            <w:shd w:val="clear" w:color="auto" w:fill="76923C" w:themeFill="accent3" w:themeFillShade="BF"/>
            <w:vAlign w:val="center"/>
            <w:hideMark/>
          </w:tcPr>
          <w:p w:rsidR="00BC521A" w:rsidRPr="00844CED" w:rsidRDefault="00BC521A" w:rsidP="00BC521A">
            <w:pPr>
              <w:spacing w:after="0" w:line="240" w:lineRule="auto"/>
              <w:jc w:val="center"/>
              <w:rPr>
                <w:rFonts w:eastAsia="Times New Roman" w:cs="Arial"/>
                <w:b/>
                <w:bCs/>
                <w:color w:val="FFFFFF" w:themeColor="background1"/>
                <w:sz w:val="18"/>
                <w:szCs w:val="20"/>
                <w:lang w:val="es-CO" w:eastAsia="es-CO"/>
              </w:rPr>
            </w:pPr>
            <w:r w:rsidRPr="00844CED">
              <w:rPr>
                <w:rFonts w:eastAsia="Times New Roman" w:cs="Arial"/>
                <w:b/>
                <w:bCs/>
                <w:color w:val="FFFFFF" w:themeColor="background1"/>
                <w:sz w:val="18"/>
                <w:szCs w:val="20"/>
                <w:lang w:val="es-CO" w:eastAsia="es-CO"/>
              </w:rPr>
              <w:t xml:space="preserve"> Obligación</w:t>
            </w:r>
            <w:r w:rsidRPr="00844CED">
              <w:rPr>
                <w:rFonts w:eastAsia="Times New Roman" w:cs="Arial"/>
                <w:b/>
                <w:bCs/>
                <w:color w:val="FFFFFF" w:themeColor="background1"/>
                <w:sz w:val="18"/>
                <w:szCs w:val="20"/>
                <w:lang w:val="es-CO" w:eastAsia="es-CO"/>
              </w:rPr>
              <w:br/>
              <w:t xml:space="preserve">SIM </w:t>
            </w:r>
          </w:p>
        </w:tc>
      </w:tr>
      <w:tr w:rsidR="00BC521A" w:rsidRPr="005D2611" w:rsidTr="00844CED">
        <w:trPr>
          <w:trHeight w:val="464"/>
        </w:trPr>
        <w:tc>
          <w:tcPr>
            <w:tcW w:w="1541" w:type="pct"/>
            <w:shd w:val="clear" w:color="auto" w:fill="auto"/>
            <w:vAlign w:val="center"/>
            <w:hideMark/>
          </w:tcPr>
          <w:p w:rsidR="00BC521A" w:rsidRPr="005D2611" w:rsidRDefault="00844CED" w:rsidP="00BC521A">
            <w:pPr>
              <w:spacing w:after="0" w:line="240" w:lineRule="auto"/>
              <w:rPr>
                <w:rFonts w:eastAsia="Times New Roman" w:cs="Arial"/>
                <w:color w:val="000000"/>
                <w:sz w:val="18"/>
                <w:szCs w:val="20"/>
                <w:lang w:val="es-CO" w:eastAsia="es-CO"/>
              </w:rPr>
            </w:pPr>
            <w:r>
              <w:rPr>
                <w:rFonts w:eastAsia="Times New Roman" w:cs="Arial"/>
                <w:color w:val="000000"/>
                <w:sz w:val="18"/>
                <w:szCs w:val="20"/>
                <w:lang w:val="es-CO" w:eastAsia="es-CO"/>
              </w:rPr>
              <w:t>Internado - Gestantes y/o en Periodo d</w:t>
            </w:r>
            <w:r w:rsidRPr="005D2611">
              <w:rPr>
                <w:rFonts w:eastAsia="Times New Roman" w:cs="Arial"/>
                <w:color w:val="000000"/>
                <w:sz w:val="18"/>
                <w:szCs w:val="20"/>
                <w:lang w:val="es-CO" w:eastAsia="es-CO"/>
              </w:rPr>
              <w:t>e Lactancia</w:t>
            </w:r>
          </w:p>
        </w:tc>
        <w:tc>
          <w:tcPr>
            <w:tcW w:w="633" w:type="pct"/>
            <w:shd w:val="clear" w:color="auto" w:fill="auto"/>
            <w:noWrap/>
            <w:vAlign w:val="center"/>
            <w:hideMark/>
          </w:tcPr>
          <w:p w:rsidR="00BC521A" w:rsidRPr="005D2611" w:rsidRDefault="00BC521A" w:rsidP="00BC521A">
            <w:pPr>
              <w:spacing w:after="0" w:line="240" w:lineRule="auto"/>
              <w:jc w:val="center"/>
              <w:rPr>
                <w:rFonts w:eastAsia="Times New Roman" w:cs="Arial"/>
                <w:color w:val="000000"/>
                <w:sz w:val="18"/>
                <w:szCs w:val="20"/>
                <w:lang w:val="es-CO" w:eastAsia="es-CO"/>
              </w:rPr>
            </w:pPr>
            <w:r w:rsidRPr="005D2611">
              <w:rPr>
                <w:rFonts w:eastAsia="Times New Roman" w:cs="Arial"/>
                <w:color w:val="000000"/>
                <w:sz w:val="18"/>
                <w:szCs w:val="20"/>
                <w:lang w:val="es-CO" w:eastAsia="es-CO"/>
              </w:rPr>
              <w:t>0</w:t>
            </w:r>
            <w:r w:rsidR="00D808AA">
              <w:rPr>
                <w:rStyle w:val="Refdenotaalpie"/>
                <w:rFonts w:eastAsia="Times New Roman" w:cs="Arial"/>
                <w:color w:val="000000"/>
                <w:sz w:val="18"/>
                <w:szCs w:val="20"/>
                <w:lang w:val="es-CO" w:eastAsia="es-CO"/>
              </w:rPr>
              <w:footnoteReference w:id="32"/>
            </w:r>
          </w:p>
        </w:tc>
        <w:tc>
          <w:tcPr>
            <w:tcW w:w="633" w:type="pct"/>
            <w:shd w:val="clear" w:color="auto" w:fill="auto"/>
            <w:noWrap/>
            <w:vAlign w:val="center"/>
            <w:hideMark/>
          </w:tcPr>
          <w:p w:rsidR="00BC521A" w:rsidRPr="005D2611" w:rsidRDefault="00BC521A" w:rsidP="00BC521A">
            <w:pPr>
              <w:spacing w:after="0" w:line="240" w:lineRule="auto"/>
              <w:jc w:val="center"/>
              <w:rPr>
                <w:rFonts w:eastAsia="Times New Roman" w:cs="Arial"/>
                <w:color w:val="000000"/>
                <w:sz w:val="18"/>
                <w:szCs w:val="20"/>
                <w:lang w:val="es-CO" w:eastAsia="es-CO"/>
              </w:rPr>
            </w:pPr>
            <w:r w:rsidRPr="005D2611">
              <w:rPr>
                <w:rFonts w:eastAsia="Times New Roman" w:cs="Arial"/>
                <w:color w:val="000000"/>
                <w:sz w:val="18"/>
                <w:szCs w:val="20"/>
                <w:lang w:val="es-CO" w:eastAsia="es-CO"/>
              </w:rPr>
              <w:t>325</w:t>
            </w:r>
          </w:p>
        </w:tc>
        <w:tc>
          <w:tcPr>
            <w:tcW w:w="633" w:type="pct"/>
            <w:shd w:val="clear" w:color="auto" w:fill="auto"/>
            <w:noWrap/>
            <w:vAlign w:val="center"/>
            <w:hideMark/>
          </w:tcPr>
          <w:p w:rsidR="00BC521A" w:rsidRPr="005D2611" w:rsidRDefault="00BC521A" w:rsidP="00BC521A">
            <w:pPr>
              <w:spacing w:after="0" w:line="240" w:lineRule="auto"/>
              <w:jc w:val="center"/>
              <w:rPr>
                <w:rFonts w:eastAsia="Times New Roman" w:cs="Arial"/>
                <w:color w:val="000000"/>
                <w:sz w:val="18"/>
                <w:szCs w:val="20"/>
                <w:lang w:val="es-CO" w:eastAsia="es-CO"/>
              </w:rPr>
            </w:pPr>
            <w:r w:rsidRPr="005D2611">
              <w:rPr>
                <w:rFonts w:eastAsia="Times New Roman" w:cs="Arial"/>
                <w:color w:val="000000"/>
                <w:sz w:val="18"/>
                <w:szCs w:val="20"/>
                <w:lang w:val="es-CO" w:eastAsia="es-CO"/>
              </w:rPr>
              <w:t>335</w:t>
            </w:r>
          </w:p>
        </w:tc>
        <w:tc>
          <w:tcPr>
            <w:tcW w:w="812" w:type="pct"/>
            <w:shd w:val="clear" w:color="auto" w:fill="auto"/>
            <w:noWrap/>
            <w:vAlign w:val="center"/>
            <w:hideMark/>
          </w:tcPr>
          <w:p w:rsidR="00BC521A" w:rsidRPr="005D2611" w:rsidRDefault="00BC521A" w:rsidP="00BC521A">
            <w:pPr>
              <w:spacing w:after="0" w:line="240" w:lineRule="auto"/>
              <w:jc w:val="center"/>
              <w:rPr>
                <w:rFonts w:eastAsia="Times New Roman" w:cs="Arial"/>
                <w:color w:val="000000"/>
                <w:sz w:val="18"/>
                <w:szCs w:val="20"/>
                <w:lang w:val="es-CO" w:eastAsia="es-CO"/>
              </w:rPr>
            </w:pPr>
            <w:r w:rsidRPr="005D2611">
              <w:rPr>
                <w:rFonts w:eastAsia="Times New Roman" w:cs="Arial"/>
                <w:color w:val="000000"/>
                <w:sz w:val="18"/>
                <w:szCs w:val="20"/>
                <w:lang w:val="es-CO" w:eastAsia="es-CO"/>
              </w:rPr>
              <w:t>40</w:t>
            </w:r>
          </w:p>
        </w:tc>
        <w:tc>
          <w:tcPr>
            <w:tcW w:w="749" w:type="pct"/>
            <w:shd w:val="clear" w:color="auto" w:fill="auto"/>
            <w:noWrap/>
            <w:vAlign w:val="center"/>
            <w:hideMark/>
          </w:tcPr>
          <w:p w:rsidR="00BC521A" w:rsidRPr="005D2611" w:rsidRDefault="00BC521A" w:rsidP="00BC521A">
            <w:pPr>
              <w:spacing w:after="0" w:line="240" w:lineRule="auto"/>
              <w:jc w:val="center"/>
              <w:rPr>
                <w:rFonts w:eastAsia="Times New Roman" w:cs="Arial"/>
                <w:color w:val="000000"/>
                <w:sz w:val="18"/>
                <w:szCs w:val="20"/>
                <w:lang w:val="es-CO" w:eastAsia="es-CO"/>
              </w:rPr>
            </w:pPr>
            <w:r w:rsidRPr="005D2611">
              <w:rPr>
                <w:rFonts w:eastAsia="Times New Roman" w:cs="Arial"/>
                <w:color w:val="000000"/>
                <w:sz w:val="18"/>
                <w:szCs w:val="20"/>
                <w:lang w:val="es-CO" w:eastAsia="es-CO"/>
              </w:rPr>
              <w:t>3.647.747.367</w:t>
            </w:r>
          </w:p>
        </w:tc>
      </w:tr>
    </w:tbl>
    <w:p w:rsidR="005D2611" w:rsidRDefault="00217275" w:rsidP="00BC521A">
      <w:pPr>
        <w:autoSpaceDE w:val="0"/>
        <w:autoSpaceDN w:val="0"/>
        <w:adjustRightInd w:val="0"/>
        <w:spacing w:after="0" w:line="240" w:lineRule="auto"/>
        <w:ind w:left="284"/>
        <w:jc w:val="both"/>
        <w:rPr>
          <w:rFonts w:cs="Arial"/>
          <w:iCs/>
          <w:sz w:val="16"/>
        </w:rPr>
      </w:pPr>
      <w:r w:rsidRPr="00006807">
        <w:rPr>
          <w:rFonts w:cs="Arial"/>
          <w:b/>
          <w:iCs/>
          <w:sz w:val="16"/>
        </w:rPr>
        <w:t>Fuente:</w:t>
      </w:r>
      <w:r>
        <w:rPr>
          <w:rFonts w:cs="Arial"/>
          <w:iCs/>
          <w:sz w:val="16"/>
        </w:rPr>
        <w:t xml:space="preserve"> Dirección de Protección. </w:t>
      </w:r>
    </w:p>
    <w:p w:rsidR="00217275" w:rsidRPr="00D21160" w:rsidRDefault="00217275" w:rsidP="00217275">
      <w:pPr>
        <w:rPr>
          <w:rFonts w:ascii="Calibri" w:hAnsi="Calibri"/>
          <w:i/>
          <w:iCs/>
          <w:sz w:val="16"/>
          <w:lang w:val="es-CO"/>
        </w:rPr>
      </w:pPr>
      <w:r>
        <w:rPr>
          <w:i/>
          <w:iCs/>
          <w:sz w:val="16"/>
        </w:rPr>
        <w:t xml:space="preserve">     </w:t>
      </w:r>
      <w:r w:rsidRPr="00D21160">
        <w:rPr>
          <w:i/>
          <w:iCs/>
          <w:sz w:val="16"/>
        </w:rPr>
        <w:t>Nota: Información preliminar, sujeta a actualización del cierre oficial de metas sociales y financieras.</w:t>
      </w:r>
    </w:p>
    <w:p w:rsidR="00BC521A" w:rsidRDefault="00BC521A" w:rsidP="00BC521A">
      <w:pPr>
        <w:spacing w:after="0" w:line="240" w:lineRule="auto"/>
        <w:jc w:val="both"/>
        <w:rPr>
          <w:rFonts w:cs="Arial"/>
        </w:rPr>
      </w:pPr>
      <w:r w:rsidRPr="00BC521A">
        <w:rPr>
          <w:rFonts w:cs="Arial"/>
        </w:rPr>
        <w:t>Adicionalmente se realizaron las siguientes actividades:</w:t>
      </w:r>
    </w:p>
    <w:p w:rsidR="004D173B" w:rsidRPr="00BC521A" w:rsidRDefault="004D173B" w:rsidP="00BC521A">
      <w:pPr>
        <w:spacing w:after="0" w:line="240" w:lineRule="auto"/>
        <w:jc w:val="both"/>
        <w:rPr>
          <w:rFonts w:cs="Arial"/>
        </w:rPr>
      </w:pPr>
    </w:p>
    <w:p w:rsidR="00BC521A"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lang w:val="es-CO"/>
        </w:rPr>
      </w:pPr>
      <w:r w:rsidRPr="00BC521A">
        <w:rPr>
          <w:rFonts w:cs="Arial"/>
          <w:lang w:val="es-CO"/>
        </w:rPr>
        <w:t>Dos (2) visitas de asistencia técnica a operadores de la modalidad de Adolescentes y mujeres mayores de 18 años, gestantes o en periodo de lactancia, de las regionales Caldas y Risaralda.</w:t>
      </w:r>
    </w:p>
    <w:p w:rsidR="004D173B" w:rsidRPr="00BC521A" w:rsidRDefault="004D173B" w:rsidP="00D20970">
      <w:pPr>
        <w:tabs>
          <w:tab w:val="left" w:pos="275"/>
        </w:tabs>
        <w:autoSpaceDE w:val="0"/>
        <w:autoSpaceDN w:val="0"/>
        <w:adjustRightInd w:val="0"/>
        <w:spacing w:after="0" w:line="240" w:lineRule="auto"/>
        <w:ind w:left="360"/>
        <w:contextualSpacing/>
        <w:jc w:val="both"/>
        <w:rPr>
          <w:rFonts w:cs="Arial"/>
          <w:lang w:val="es-CO"/>
        </w:rPr>
      </w:pPr>
    </w:p>
    <w:p w:rsidR="00BC521A" w:rsidRPr="004D173B"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lang w:val="es-CO"/>
        </w:rPr>
        <w:t>Cinco (5) video conferencias con las Regionales: Bogotá Cundinamarca, Boyacá Huila, Caldas, Cauca, Antioquia, Atlántico, Amazonas, Arauca, Bolívar, Caquetá, Chocó, Córdoba, Guainía, Guajira, Tolima, Magdalena, Meta, Nariño, Norte de Santander, Putumayo, Quindío, Risaralda, San Andrés, Santander, Sucre, Valle, Vaupés y Vichada para socializar el lineamiento técnico del programa.</w:t>
      </w:r>
    </w:p>
    <w:p w:rsidR="004D173B" w:rsidRPr="00BC521A" w:rsidRDefault="004D173B" w:rsidP="00D20970">
      <w:pPr>
        <w:tabs>
          <w:tab w:val="left" w:pos="275"/>
        </w:tabs>
        <w:autoSpaceDE w:val="0"/>
        <w:autoSpaceDN w:val="0"/>
        <w:adjustRightInd w:val="0"/>
        <w:spacing w:after="0" w:line="240" w:lineRule="auto"/>
        <w:contextualSpacing/>
        <w:jc w:val="both"/>
        <w:rPr>
          <w:rFonts w:cs="Arial"/>
          <w:b/>
        </w:rPr>
      </w:pPr>
    </w:p>
    <w:p w:rsidR="00BC521A" w:rsidRPr="004D173B"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lang w:val="es-CO"/>
        </w:rPr>
        <w:t>Orientación frente a la actualización de los proyectos de atención institucional respecto a los lineamientos 2016, correspondiente a los operadores: Obra San Rafael, Fundación Cran; Fundación Hogar Margarita Dyouville, Semillas de Amor, Fundación Casa de la Madre y el Niño, Casa de la Divina Providencia Congregación Religiosa Siervas de Cristo Sacerdote, Fundación Amparo de Niño Juan XXIII, Fundación del Amparo de Niños de Tunja, Cermujer, Hogar Corazón de María Hijas del Corazón Misericordioso de María, Hogar Santa Helena Hijas del Corazón Misericordioso de María, Fundación Club Kiwanes Ciudad Musical, Fundación hijos de Bolívar, Hogar San Rafael Hijas del Corazón Misericordioso de María, Hogar Santa Ana Hijas del Corazón Misericordioso de María, donde se fortaleció y brindó asistencia técnica frente a la atención de los hijos recién nacid</w:t>
      </w:r>
      <w:r w:rsidR="004D173B">
        <w:rPr>
          <w:rFonts w:cs="Arial"/>
          <w:lang w:val="es-CO"/>
        </w:rPr>
        <w:t>os e hijos de cuidado temporal.</w:t>
      </w:r>
    </w:p>
    <w:p w:rsidR="004D173B" w:rsidRPr="00BC521A" w:rsidRDefault="004D173B" w:rsidP="00D20970">
      <w:pPr>
        <w:tabs>
          <w:tab w:val="left" w:pos="275"/>
        </w:tabs>
        <w:autoSpaceDE w:val="0"/>
        <w:autoSpaceDN w:val="0"/>
        <w:adjustRightInd w:val="0"/>
        <w:spacing w:after="0" w:line="240" w:lineRule="auto"/>
        <w:contextualSpacing/>
        <w:jc w:val="both"/>
        <w:rPr>
          <w:rFonts w:cs="Arial"/>
          <w:b/>
        </w:rPr>
      </w:pPr>
    </w:p>
    <w:p w:rsidR="00BC521A" w:rsidRPr="004D173B"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lang w:val="es-CO"/>
        </w:rPr>
        <w:t>17 visitas a los operadores:  Asociación Cristiana Nuevo Nacimiento, tres (3) Unidades de Servicio) Obra San Rafael Hijas del Corazón Misericordioso de María, Congregación Corazón Misericordioso de María Hogar Betania, Fundación Cran, Fundación Hogar Margarita Dyouville, Semillas de Amor, Fundación Casa de la Madre y el Niño, Casa de la Divina providencia Congregación Religiosa Siervas de Cristo Sacerdote, Fundación  Amparo de Niño Juan XXIII, Fundación del Amparo de Niños de Tunja, Cermujer, Hogar Corazón de María Hijas del Corazón Misericordioso de María, Hogar Santa Helena Hijas del Corazón Misericordioso de María, Fundación Club Kiwanes Ciudad Musical, Fundación hijos de Bolívar, Hogar San Rafael Hijas del Corazón Misericordioso de María, Hogar Santa Ana Hijas del Corazón Misericordioso de María, donde se verificó el proceso de Atención, desde los 4 ejes de atención, los fundamentos, el modelo de atención de programas de formación, fortalecimiento y estrategi</w:t>
      </w:r>
      <w:r w:rsidR="004D173B">
        <w:rPr>
          <w:rFonts w:cs="Arial"/>
          <w:lang w:val="es-CO"/>
        </w:rPr>
        <w:t>as de evaluación institucional.</w:t>
      </w:r>
    </w:p>
    <w:p w:rsidR="004D173B" w:rsidRPr="00BC521A" w:rsidRDefault="004D173B" w:rsidP="00D20970">
      <w:pPr>
        <w:tabs>
          <w:tab w:val="left" w:pos="275"/>
        </w:tabs>
        <w:autoSpaceDE w:val="0"/>
        <w:autoSpaceDN w:val="0"/>
        <w:adjustRightInd w:val="0"/>
        <w:spacing w:after="0" w:line="240" w:lineRule="auto"/>
        <w:contextualSpacing/>
        <w:jc w:val="both"/>
        <w:rPr>
          <w:rFonts w:cs="Arial"/>
          <w:b/>
        </w:rPr>
      </w:pPr>
    </w:p>
    <w:p w:rsidR="00BC521A" w:rsidRPr="004D173B"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lang w:val="es-CO"/>
        </w:rPr>
        <w:t>Acompañamiento al Convenio 1270 de Profamilia en tres ejes: Caracterización en derechos sexuales y reproductivos, estrategias de socialización con niños, niñas y adolescentes, funcion</w:t>
      </w:r>
      <w:r w:rsidR="004D173B">
        <w:rPr>
          <w:rFonts w:cs="Arial"/>
          <w:lang w:val="es-CO"/>
        </w:rPr>
        <w:t>arios y colaboradores del ICBF.</w:t>
      </w:r>
    </w:p>
    <w:p w:rsidR="004D173B" w:rsidRPr="00BC521A" w:rsidRDefault="004D173B" w:rsidP="00D20970">
      <w:pPr>
        <w:tabs>
          <w:tab w:val="left" w:pos="275"/>
        </w:tabs>
        <w:autoSpaceDE w:val="0"/>
        <w:autoSpaceDN w:val="0"/>
        <w:adjustRightInd w:val="0"/>
        <w:spacing w:after="0" w:line="240" w:lineRule="auto"/>
        <w:contextualSpacing/>
        <w:jc w:val="both"/>
        <w:rPr>
          <w:rFonts w:cs="Arial"/>
          <w:b/>
        </w:rPr>
      </w:pPr>
    </w:p>
    <w:p w:rsidR="00BC521A" w:rsidRPr="004D173B"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rPr>
        <w:t xml:space="preserve">Diseño de </w:t>
      </w:r>
      <w:r w:rsidRPr="00BC521A">
        <w:rPr>
          <w:rFonts w:cs="Arial"/>
          <w:lang w:val="es-CO"/>
        </w:rPr>
        <w:t xml:space="preserve">la Campaña de Lactancia Materna para </w:t>
      </w:r>
      <w:r w:rsidRPr="00BC521A">
        <w:rPr>
          <w:rFonts w:cs="Arial"/>
        </w:rPr>
        <w:t>concientizar a la sociedad de que la lactancia es la base de la correcta alimentación del recién nacido, donde se asegura</w:t>
      </w:r>
      <w:r w:rsidRPr="00BC521A">
        <w:rPr>
          <w:rFonts w:eastAsia="Times New Roman" w:cs="Arial"/>
          <w:lang w:val="es-CO" w:eastAsia="es-CO"/>
        </w:rPr>
        <w:t xml:space="preserve"> su correcto crecimiento y salud, y así mismo se fortalece el vínculo afectivo, para lo cual, la Dirección de Protección tiene planeado realizar dos (2) referencias de comerciales para televisión, dos (2) referencias de cuñas radiales, avisos de prensa, redes sociales con validadoras y material POP para secretarias de salud.</w:t>
      </w:r>
    </w:p>
    <w:p w:rsidR="004D173B" w:rsidRPr="00BC521A" w:rsidRDefault="004D173B" w:rsidP="00D20970">
      <w:pPr>
        <w:tabs>
          <w:tab w:val="left" w:pos="275"/>
        </w:tabs>
        <w:autoSpaceDE w:val="0"/>
        <w:autoSpaceDN w:val="0"/>
        <w:adjustRightInd w:val="0"/>
        <w:spacing w:after="0" w:line="240" w:lineRule="auto"/>
        <w:contextualSpacing/>
        <w:jc w:val="both"/>
        <w:rPr>
          <w:rFonts w:cs="Arial"/>
          <w:b/>
        </w:rPr>
      </w:pPr>
    </w:p>
    <w:p w:rsidR="00BC521A" w:rsidRPr="00BC521A" w:rsidRDefault="00BC521A" w:rsidP="00D20970">
      <w:pPr>
        <w:numPr>
          <w:ilvl w:val="0"/>
          <w:numId w:val="8"/>
        </w:numPr>
        <w:tabs>
          <w:tab w:val="left" w:pos="275"/>
        </w:tabs>
        <w:autoSpaceDE w:val="0"/>
        <w:autoSpaceDN w:val="0"/>
        <w:adjustRightInd w:val="0"/>
        <w:spacing w:after="0" w:line="240" w:lineRule="auto"/>
        <w:ind w:left="360"/>
        <w:contextualSpacing/>
        <w:jc w:val="both"/>
        <w:rPr>
          <w:rFonts w:cs="Arial"/>
          <w:b/>
        </w:rPr>
      </w:pPr>
      <w:r w:rsidRPr="00BC521A">
        <w:rPr>
          <w:rFonts w:cs="Arial"/>
          <w:lang w:val="es-CO"/>
        </w:rPr>
        <w:t xml:space="preserve">Articulación con la dirección de niñez y adolescencia para la iniciativa de prevención de embarazo subsecuente en adolescentes en Convenio con la Corporación EGESCO, en los operadores que se encuentran ubicados en Bogotá, Quindío, Tolima y Bolívar.    </w:t>
      </w:r>
    </w:p>
    <w:p w:rsidR="00BC521A" w:rsidRPr="00BC521A" w:rsidRDefault="00BC521A" w:rsidP="00DD3137"/>
    <w:p w:rsidR="00BC521A" w:rsidRPr="00DD3137" w:rsidRDefault="00BC521A" w:rsidP="00DD3137">
      <w:pPr>
        <w:ind w:left="635"/>
        <w:jc w:val="both"/>
        <w:rPr>
          <w:rFonts w:eastAsiaTheme="majorEastAsia"/>
          <w:b/>
        </w:rPr>
      </w:pPr>
      <w:bookmarkStart w:id="125" w:name="_Toc472519297"/>
      <w:r w:rsidRPr="00DD3137">
        <w:rPr>
          <w:rFonts w:eastAsiaTheme="majorEastAsia"/>
          <w:b/>
        </w:rPr>
        <w:t>Restablecimiento de derechos de niños, niñas y adolescentes en situación de trabajo infantil</w:t>
      </w:r>
      <w:bookmarkEnd w:id="125"/>
    </w:p>
    <w:p w:rsidR="00BC521A" w:rsidRPr="00BC521A" w:rsidRDefault="00BC521A" w:rsidP="00BC521A">
      <w:pPr>
        <w:spacing w:after="0" w:line="240" w:lineRule="auto"/>
        <w:jc w:val="both"/>
        <w:rPr>
          <w:rFonts w:cs="Arial"/>
        </w:rPr>
      </w:pPr>
      <w:r w:rsidRPr="00BC521A">
        <w:rPr>
          <w:rFonts w:cs="Arial"/>
        </w:rPr>
        <w:t xml:space="preserve">El Instituto Colombiano de Bienestar Familiar expidió la Resolución No. 1513 del 23 de febrero de 2016 donde se actualizan los lineamientos técnicos de atención especializada a niños, niñas y adolescentes con sus derechos inobservados, amenazados y vulnerados. </w:t>
      </w:r>
    </w:p>
    <w:p w:rsidR="00BC521A" w:rsidRPr="00BC521A" w:rsidRDefault="00BC521A" w:rsidP="00BC521A">
      <w:pPr>
        <w:tabs>
          <w:tab w:val="left" w:pos="284"/>
          <w:tab w:val="left" w:pos="709"/>
        </w:tabs>
        <w:spacing w:after="0" w:line="240" w:lineRule="auto"/>
        <w:contextualSpacing/>
        <w:jc w:val="both"/>
        <w:rPr>
          <w:rFonts w:cs="Arial"/>
        </w:rPr>
      </w:pPr>
    </w:p>
    <w:p w:rsidR="002E55CD" w:rsidRPr="00BC521A" w:rsidRDefault="002E55CD" w:rsidP="002E55CD">
      <w:pPr>
        <w:spacing w:after="0" w:line="240" w:lineRule="auto"/>
        <w:jc w:val="both"/>
        <w:rPr>
          <w:rFonts w:cs="Arial"/>
        </w:rPr>
      </w:pPr>
      <w:r>
        <w:rPr>
          <w:rFonts w:cs="Arial"/>
        </w:rPr>
        <w:t>A 31 de Diciembre el ICBF ha brindado atención a 3.559</w:t>
      </w:r>
      <w:r w:rsidRPr="00BC521A">
        <w:rPr>
          <w:rFonts w:cs="Arial"/>
          <w:vertAlign w:val="superscript"/>
        </w:rPr>
        <w:footnoteReference w:id="33"/>
      </w:r>
      <w:r w:rsidRPr="00BC521A">
        <w:rPr>
          <w:rFonts w:cs="Arial"/>
        </w:rPr>
        <w:t xml:space="preserve"> niños, niñas y adolescentes en situación de trabajo infantil y sus familias; a través de 21 operadores ubicados en las siguientes regiones del país y en las siguientes modalidades de Apoyo Psicosocial y Externado media jornada.</w:t>
      </w:r>
    </w:p>
    <w:p w:rsidR="00BC521A" w:rsidRPr="00BC521A" w:rsidRDefault="00BC521A" w:rsidP="00BC521A">
      <w:pPr>
        <w:spacing w:after="0" w:line="240" w:lineRule="auto"/>
        <w:jc w:val="both"/>
        <w:rPr>
          <w:rFonts w:cs="Arial"/>
        </w:rPr>
      </w:pPr>
    </w:p>
    <w:tbl>
      <w:tblPr>
        <w:tblW w:w="880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480"/>
        <w:gridCol w:w="1000"/>
        <w:gridCol w:w="700"/>
        <w:gridCol w:w="920"/>
        <w:gridCol w:w="1360"/>
        <w:gridCol w:w="1340"/>
      </w:tblGrid>
      <w:tr w:rsidR="00BC521A" w:rsidRPr="004D173B" w:rsidTr="004D173B">
        <w:trPr>
          <w:cantSplit/>
          <w:trHeight w:val="340"/>
          <w:jc w:val="center"/>
        </w:trPr>
        <w:tc>
          <w:tcPr>
            <w:tcW w:w="3480" w:type="dxa"/>
            <w:shd w:val="clear" w:color="auto" w:fill="76923C" w:themeFill="accent3" w:themeFillShade="BF"/>
            <w:vAlign w:val="center"/>
            <w:hideMark/>
          </w:tcPr>
          <w:p w:rsidR="00BC521A" w:rsidRPr="004D173B" w:rsidRDefault="004D173B" w:rsidP="00BC521A">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Nombre</w:t>
            </w:r>
          </w:p>
        </w:tc>
        <w:tc>
          <w:tcPr>
            <w:tcW w:w="1000" w:type="dxa"/>
            <w:shd w:val="clear" w:color="auto" w:fill="76923C" w:themeFill="accent3" w:themeFillShade="BF"/>
            <w:vAlign w:val="center"/>
            <w:hideMark/>
          </w:tcPr>
          <w:p w:rsidR="00BC521A" w:rsidRPr="004D173B" w:rsidRDefault="00BC521A" w:rsidP="00BC521A">
            <w:pPr>
              <w:spacing w:after="0" w:line="240" w:lineRule="auto"/>
              <w:jc w:val="center"/>
              <w:rPr>
                <w:rFonts w:eastAsia="Times New Roman" w:cs="Arial"/>
                <w:b/>
                <w:bCs/>
                <w:color w:val="FFFFFF" w:themeColor="background1"/>
                <w:sz w:val="18"/>
                <w:szCs w:val="18"/>
                <w:lang w:val="es-CO" w:eastAsia="es-CO"/>
              </w:rPr>
            </w:pPr>
            <w:r w:rsidRPr="004D173B">
              <w:rPr>
                <w:rFonts w:eastAsia="Times New Roman" w:cs="Arial"/>
                <w:b/>
                <w:bCs/>
                <w:color w:val="FFFFFF" w:themeColor="background1"/>
                <w:sz w:val="18"/>
                <w:szCs w:val="18"/>
                <w:lang w:val="es-CO" w:eastAsia="es-CO"/>
              </w:rPr>
              <w:t>Unidades</w:t>
            </w:r>
          </w:p>
        </w:tc>
        <w:tc>
          <w:tcPr>
            <w:tcW w:w="700" w:type="dxa"/>
            <w:shd w:val="clear" w:color="auto" w:fill="76923C" w:themeFill="accent3" w:themeFillShade="BF"/>
            <w:vAlign w:val="center"/>
            <w:hideMark/>
          </w:tcPr>
          <w:p w:rsidR="00BC521A" w:rsidRPr="004D173B" w:rsidRDefault="00BC521A" w:rsidP="00BC521A">
            <w:pPr>
              <w:spacing w:after="0" w:line="240" w:lineRule="auto"/>
              <w:jc w:val="center"/>
              <w:rPr>
                <w:rFonts w:eastAsia="Times New Roman" w:cs="Arial"/>
                <w:b/>
                <w:bCs/>
                <w:color w:val="FFFFFF" w:themeColor="background1"/>
                <w:sz w:val="18"/>
                <w:szCs w:val="18"/>
                <w:lang w:val="es-CO" w:eastAsia="es-CO"/>
              </w:rPr>
            </w:pPr>
            <w:r w:rsidRPr="004D173B">
              <w:rPr>
                <w:rFonts w:eastAsia="Times New Roman" w:cs="Arial"/>
                <w:b/>
                <w:bCs/>
                <w:color w:val="FFFFFF" w:themeColor="background1"/>
                <w:sz w:val="18"/>
                <w:szCs w:val="18"/>
                <w:lang w:val="es-CO" w:eastAsia="es-CO"/>
              </w:rPr>
              <w:t>Cupos</w:t>
            </w:r>
          </w:p>
        </w:tc>
        <w:tc>
          <w:tcPr>
            <w:tcW w:w="920" w:type="dxa"/>
            <w:shd w:val="clear" w:color="auto" w:fill="76923C" w:themeFill="accent3" w:themeFillShade="BF"/>
            <w:vAlign w:val="center"/>
            <w:hideMark/>
          </w:tcPr>
          <w:p w:rsidR="00BC521A" w:rsidRPr="004D173B" w:rsidRDefault="00BC521A" w:rsidP="00BC521A">
            <w:pPr>
              <w:spacing w:after="0" w:line="240" w:lineRule="auto"/>
              <w:jc w:val="center"/>
              <w:rPr>
                <w:rFonts w:eastAsia="Times New Roman" w:cs="Arial"/>
                <w:b/>
                <w:bCs/>
                <w:color w:val="FFFFFF" w:themeColor="background1"/>
                <w:sz w:val="18"/>
                <w:szCs w:val="18"/>
                <w:lang w:val="es-CO" w:eastAsia="es-CO"/>
              </w:rPr>
            </w:pPr>
            <w:r w:rsidRPr="004D173B">
              <w:rPr>
                <w:rFonts w:eastAsia="Times New Roman" w:cs="Arial"/>
                <w:b/>
                <w:bCs/>
                <w:color w:val="FFFFFF" w:themeColor="background1"/>
                <w:sz w:val="18"/>
                <w:szCs w:val="18"/>
                <w:lang w:val="es-CO" w:eastAsia="es-CO"/>
              </w:rPr>
              <w:t>Usuarios</w:t>
            </w:r>
          </w:p>
        </w:tc>
        <w:tc>
          <w:tcPr>
            <w:tcW w:w="1360" w:type="dxa"/>
            <w:shd w:val="clear" w:color="auto" w:fill="76923C" w:themeFill="accent3" w:themeFillShade="BF"/>
            <w:vAlign w:val="center"/>
            <w:hideMark/>
          </w:tcPr>
          <w:p w:rsidR="00BC521A" w:rsidRPr="004D173B" w:rsidRDefault="00BC521A" w:rsidP="00BC521A">
            <w:pPr>
              <w:spacing w:after="0" w:line="240" w:lineRule="auto"/>
              <w:jc w:val="center"/>
              <w:rPr>
                <w:rFonts w:eastAsia="Times New Roman" w:cs="Arial"/>
                <w:b/>
                <w:bCs/>
                <w:color w:val="FFFFFF" w:themeColor="background1"/>
                <w:sz w:val="18"/>
                <w:szCs w:val="18"/>
                <w:lang w:val="es-CO" w:eastAsia="es-CO"/>
              </w:rPr>
            </w:pPr>
            <w:r w:rsidRPr="004D173B">
              <w:rPr>
                <w:rFonts w:eastAsia="Times New Roman" w:cs="Arial"/>
                <w:b/>
                <w:bCs/>
                <w:color w:val="FFFFFF" w:themeColor="background1"/>
                <w:sz w:val="18"/>
                <w:szCs w:val="18"/>
                <w:lang w:val="es-CO" w:eastAsia="es-CO"/>
              </w:rPr>
              <w:t xml:space="preserve"> Usuarios</w:t>
            </w:r>
            <w:r w:rsidRPr="004D173B">
              <w:rPr>
                <w:rFonts w:eastAsia="Times New Roman" w:cs="Arial"/>
                <w:b/>
                <w:bCs/>
                <w:color w:val="FFFFFF" w:themeColor="background1"/>
                <w:sz w:val="18"/>
                <w:szCs w:val="18"/>
                <w:lang w:val="es-CO" w:eastAsia="es-CO"/>
              </w:rPr>
              <w:br/>
              <w:t xml:space="preserve">Desplazados </w:t>
            </w:r>
          </w:p>
        </w:tc>
        <w:tc>
          <w:tcPr>
            <w:tcW w:w="1340" w:type="dxa"/>
            <w:shd w:val="clear" w:color="auto" w:fill="76923C" w:themeFill="accent3" w:themeFillShade="BF"/>
            <w:vAlign w:val="center"/>
            <w:hideMark/>
          </w:tcPr>
          <w:p w:rsidR="00BC521A" w:rsidRPr="004D173B" w:rsidRDefault="00BC521A" w:rsidP="00BC521A">
            <w:pPr>
              <w:spacing w:after="0" w:line="240" w:lineRule="auto"/>
              <w:jc w:val="center"/>
              <w:rPr>
                <w:rFonts w:eastAsia="Times New Roman" w:cs="Arial"/>
                <w:b/>
                <w:bCs/>
                <w:color w:val="FFFFFF" w:themeColor="background1"/>
                <w:sz w:val="18"/>
                <w:szCs w:val="18"/>
                <w:lang w:val="es-CO" w:eastAsia="es-CO"/>
              </w:rPr>
            </w:pPr>
            <w:r w:rsidRPr="004D173B">
              <w:rPr>
                <w:rFonts w:eastAsia="Times New Roman" w:cs="Arial"/>
                <w:b/>
                <w:bCs/>
                <w:color w:val="FFFFFF" w:themeColor="background1"/>
                <w:sz w:val="18"/>
                <w:szCs w:val="18"/>
                <w:lang w:val="es-CO" w:eastAsia="es-CO"/>
              </w:rPr>
              <w:t xml:space="preserve"> Obligación</w:t>
            </w:r>
            <w:r w:rsidRPr="004D173B">
              <w:rPr>
                <w:rFonts w:eastAsia="Times New Roman" w:cs="Arial"/>
                <w:b/>
                <w:bCs/>
                <w:color w:val="FFFFFF" w:themeColor="background1"/>
                <w:sz w:val="18"/>
                <w:szCs w:val="18"/>
                <w:lang w:val="es-CO" w:eastAsia="es-CO"/>
              </w:rPr>
              <w:br/>
              <w:t xml:space="preserve">SIM </w:t>
            </w:r>
          </w:p>
        </w:tc>
      </w:tr>
      <w:tr w:rsidR="00BC521A" w:rsidRPr="004D173B" w:rsidTr="004D173B">
        <w:trPr>
          <w:cantSplit/>
          <w:trHeight w:val="340"/>
          <w:jc w:val="center"/>
        </w:trPr>
        <w:tc>
          <w:tcPr>
            <w:tcW w:w="3480" w:type="dxa"/>
            <w:shd w:val="clear" w:color="auto" w:fill="auto"/>
            <w:vAlign w:val="center"/>
            <w:hideMark/>
          </w:tcPr>
          <w:p w:rsidR="00BC521A" w:rsidRPr="004D173B" w:rsidRDefault="004D173B" w:rsidP="00BC521A">
            <w:pPr>
              <w:spacing w:after="0" w:line="240" w:lineRule="auto"/>
              <w:rPr>
                <w:rFonts w:eastAsia="Times New Roman" w:cs="Arial"/>
                <w:color w:val="000000"/>
                <w:sz w:val="18"/>
                <w:szCs w:val="18"/>
                <w:lang w:val="es-CO" w:eastAsia="es-CO"/>
              </w:rPr>
            </w:pPr>
            <w:r w:rsidRPr="004D173B">
              <w:rPr>
                <w:rFonts w:eastAsia="Times New Roman" w:cs="Arial"/>
                <w:color w:val="000000"/>
                <w:sz w:val="18"/>
                <w:szCs w:val="18"/>
                <w:lang w:val="es-CO" w:eastAsia="es-CO"/>
              </w:rPr>
              <w:t>Extern</w:t>
            </w:r>
            <w:r>
              <w:rPr>
                <w:rFonts w:eastAsia="Times New Roman" w:cs="Arial"/>
                <w:color w:val="000000"/>
                <w:sz w:val="18"/>
                <w:szCs w:val="18"/>
                <w:lang w:val="es-CO" w:eastAsia="es-CO"/>
              </w:rPr>
              <w:t>ado Media Jornada en Situación d</w:t>
            </w:r>
            <w:r w:rsidRPr="004D173B">
              <w:rPr>
                <w:rFonts w:eastAsia="Times New Roman" w:cs="Arial"/>
                <w:color w:val="000000"/>
                <w:sz w:val="18"/>
                <w:szCs w:val="18"/>
                <w:lang w:val="es-CO" w:eastAsia="es-CO"/>
              </w:rPr>
              <w:t>e Trabajo Infantil</w:t>
            </w:r>
          </w:p>
        </w:tc>
        <w:tc>
          <w:tcPr>
            <w:tcW w:w="100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0</w:t>
            </w:r>
          </w:p>
        </w:tc>
        <w:tc>
          <w:tcPr>
            <w:tcW w:w="70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1153</w:t>
            </w:r>
          </w:p>
        </w:tc>
        <w:tc>
          <w:tcPr>
            <w:tcW w:w="92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2494</w:t>
            </w:r>
          </w:p>
        </w:tc>
        <w:tc>
          <w:tcPr>
            <w:tcW w:w="136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58</w:t>
            </w:r>
          </w:p>
        </w:tc>
        <w:tc>
          <w:tcPr>
            <w:tcW w:w="134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5.177.865.793</w:t>
            </w:r>
          </w:p>
        </w:tc>
      </w:tr>
      <w:tr w:rsidR="00BC521A" w:rsidRPr="004D173B" w:rsidTr="004D173B">
        <w:trPr>
          <w:cantSplit/>
          <w:trHeight w:val="340"/>
          <w:jc w:val="center"/>
        </w:trPr>
        <w:tc>
          <w:tcPr>
            <w:tcW w:w="3480" w:type="dxa"/>
            <w:shd w:val="clear" w:color="auto" w:fill="auto"/>
            <w:vAlign w:val="center"/>
            <w:hideMark/>
          </w:tcPr>
          <w:p w:rsidR="00BC521A" w:rsidRPr="004D173B" w:rsidRDefault="004D173B"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Intervención de Apoyo - Apoyo Psicosocial en Situación d</w:t>
            </w:r>
            <w:r w:rsidRPr="004D173B">
              <w:rPr>
                <w:rFonts w:eastAsia="Times New Roman" w:cs="Arial"/>
                <w:color w:val="000000"/>
                <w:sz w:val="18"/>
                <w:szCs w:val="18"/>
                <w:lang w:val="es-CO" w:eastAsia="es-CO"/>
              </w:rPr>
              <w:t>e Trabajo Infantil</w:t>
            </w:r>
          </w:p>
        </w:tc>
        <w:tc>
          <w:tcPr>
            <w:tcW w:w="100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0</w:t>
            </w:r>
          </w:p>
        </w:tc>
        <w:tc>
          <w:tcPr>
            <w:tcW w:w="70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602</w:t>
            </w:r>
          </w:p>
        </w:tc>
        <w:tc>
          <w:tcPr>
            <w:tcW w:w="92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1451</w:t>
            </w:r>
          </w:p>
        </w:tc>
        <w:tc>
          <w:tcPr>
            <w:tcW w:w="136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90</w:t>
            </w:r>
          </w:p>
        </w:tc>
        <w:tc>
          <w:tcPr>
            <w:tcW w:w="1340" w:type="dxa"/>
            <w:shd w:val="clear" w:color="auto" w:fill="auto"/>
            <w:noWrap/>
            <w:vAlign w:val="center"/>
            <w:hideMark/>
          </w:tcPr>
          <w:p w:rsidR="00BC521A" w:rsidRPr="004D173B" w:rsidRDefault="00BC521A" w:rsidP="00BC521A">
            <w:pPr>
              <w:spacing w:after="0" w:line="240" w:lineRule="auto"/>
              <w:jc w:val="center"/>
              <w:rPr>
                <w:rFonts w:eastAsia="Times New Roman" w:cs="Arial"/>
                <w:color w:val="000000"/>
                <w:sz w:val="18"/>
                <w:szCs w:val="18"/>
                <w:lang w:val="es-CO" w:eastAsia="es-CO"/>
              </w:rPr>
            </w:pPr>
            <w:r w:rsidRPr="004D173B">
              <w:rPr>
                <w:rFonts w:eastAsia="Times New Roman" w:cs="Arial"/>
                <w:color w:val="000000"/>
                <w:sz w:val="18"/>
                <w:szCs w:val="18"/>
                <w:lang w:val="es-CO" w:eastAsia="es-CO"/>
              </w:rPr>
              <w:t>1.619.462.530</w:t>
            </w:r>
          </w:p>
        </w:tc>
      </w:tr>
    </w:tbl>
    <w:p w:rsidR="004D173B" w:rsidRDefault="00006807" w:rsidP="00BC521A">
      <w:pPr>
        <w:spacing w:after="0" w:line="240" w:lineRule="auto"/>
        <w:jc w:val="both"/>
        <w:rPr>
          <w:rFonts w:eastAsia="Times New Roman" w:cs="Arial"/>
          <w:color w:val="000000"/>
          <w:sz w:val="16"/>
          <w:szCs w:val="16"/>
          <w:lang w:val="es-CO" w:eastAsia="es-CO"/>
        </w:rPr>
      </w:pPr>
      <w:r>
        <w:rPr>
          <w:rFonts w:eastAsia="Times New Roman" w:cs="Arial"/>
          <w:b/>
          <w:color w:val="000000"/>
          <w:sz w:val="16"/>
          <w:szCs w:val="16"/>
          <w:lang w:val="es-CO" w:eastAsia="es-CO"/>
        </w:rPr>
        <w:t xml:space="preserve">      </w:t>
      </w:r>
      <w:r w:rsidR="004D173B" w:rsidRPr="004D173B">
        <w:rPr>
          <w:rFonts w:eastAsia="Times New Roman" w:cs="Arial"/>
          <w:b/>
          <w:color w:val="000000"/>
          <w:sz w:val="16"/>
          <w:szCs w:val="16"/>
          <w:lang w:val="es-CO" w:eastAsia="es-CO"/>
        </w:rPr>
        <w:t>Fuente:</w:t>
      </w:r>
      <w:r w:rsidR="004D173B" w:rsidRPr="004D173B">
        <w:rPr>
          <w:rFonts w:eastAsia="Times New Roman" w:cs="Arial"/>
          <w:color w:val="000000"/>
          <w:sz w:val="16"/>
          <w:szCs w:val="16"/>
          <w:lang w:val="es-CO" w:eastAsia="es-CO"/>
        </w:rPr>
        <w:t xml:space="preserve"> Ejecución de Metas Sociales y Financieras Vigencia 2016 - Reporte Ejecución Municipal - SIM - Diciembre Preliminar</w:t>
      </w:r>
    </w:p>
    <w:p w:rsidR="00217275" w:rsidRPr="00D21160" w:rsidRDefault="00006807" w:rsidP="00217275">
      <w:pPr>
        <w:rPr>
          <w:rFonts w:ascii="Calibri" w:hAnsi="Calibri"/>
          <w:i/>
          <w:iCs/>
          <w:sz w:val="16"/>
          <w:lang w:val="es-CO"/>
        </w:rPr>
      </w:pPr>
      <w:r>
        <w:rPr>
          <w:i/>
          <w:iCs/>
          <w:sz w:val="16"/>
        </w:rPr>
        <w:t xml:space="preserve">     </w:t>
      </w:r>
      <w:r w:rsidR="00217275" w:rsidRPr="00D21160">
        <w:rPr>
          <w:i/>
          <w:iCs/>
          <w:sz w:val="16"/>
        </w:rPr>
        <w:t>Nota: Información preliminar, sujeta a actualización del cierre oficial de metas sociales y financieras.</w:t>
      </w:r>
    </w:p>
    <w:p w:rsidR="00BC521A" w:rsidRPr="00BC521A" w:rsidRDefault="00BC521A" w:rsidP="00BC521A">
      <w:pPr>
        <w:spacing w:after="0" w:line="240" w:lineRule="auto"/>
        <w:jc w:val="both"/>
        <w:rPr>
          <w:rFonts w:cs="Arial"/>
        </w:rPr>
      </w:pPr>
      <w:r w:rsidRPr="00BC521A">
        <w:rPr>
          <w:rFonts w:cs="Arial"/>
        </w:rPr>
        <w:t>Adicionalmente se realizaron las siguientes actividades:</w:t>
      </w:r>
    </w:p>
    <w:p w:rsidR="00BC521A" w:rsidRPr="00BC521A" w:rsidRDefault="00BC521A" w:rsidP="00BC521A">
      <w:pPr>
        <w:spacing w:after="0" w:line="240" w:lineRule="auto"/>
        <w:jc w:val="both"/>
        <w:rPr>
          <w:rFonts w:cs="Arial"/>
        </w:rPr>
      </w:pPr>
    </w:p>
    <w:p w:rsidR="00BC521A" w:rsidRPr="00BC521A" w:rsidRDefault="00BC521A" w:rsidP="00D712DC">
      <w:pPr>
        <w:numPr>
          <w:ilvl w:val="0"/>
          <w:numId w:val="70"/>
        </w:numPr>
        <w:spacing w:after="0" w:line="240" w:lineRule="auto"/>
        <w:ind w:left="284"/>
        <w:jc w:val="both"/>
        <w:rPr>
          <w:rFonts w:cs="Arial"/>
        </w:rPr>
      </w:pPr>
      <w:r w:rsidRPr="00BC521A">
        <w:rPr>
          <w:rFonts w:cs="Arial"/>
        </w:rPr>
        <w:t>Se logró la contratación de 41 Equipos Móviles de Protección Integral (EMPI) para realizar acciones integrales y coordinadas con los agentes del SNBF en el territorio, que han permitido atender la situación de trabajo infantil y otras problemáticas identificadas en las regiones del país. Los equipos están integrados por  un psicólogo (a), un trabajador (a) social y un tercer profesional. A la fecha se cuenta con 123 profesionales.</w:t>
      </w:r>
    </w:p>
    <w:p w:rsidR="00BC521A" w:rsidRPr="00BC521A" w:rsidRDefault="00BC521A" w:rsidP="00D712DC">
      <w:pPr>
        <w:widowControl w:val="0"/>
        <w:numPr>
          <w:ilvl w:val="0"/>
          <w:numId w:val="67"/>
        </w:numPr>
        <w:spacing w:after="0" w:line="240" w:lineRule="auto"/>
        <w:ind w:left="284"/>
        <w:jc w:val="both"/>
        <w:rPr>
          <w:rFonts w:cs="Arial"/>
        </w:rPr>
      </w:pPr>
      <w:r w:rsidRPr="00BC521A">
        <w:rPr>
          <w:rFonts w:cs="Arial"/>
        </w:rPr>
        <w:lastRenderedPageBreak/>
        <w:t>Participación en la construcción de la línea de política de prevención y erradicación de trabajo infantil y protección al adolescente trabajador (2016 – 2026) en conjunto con  el Ministerio de Trabajo y el ICBF (Direcciones de Niñez y Adolescencia, SNBF y Protección), con el apoyo técnico de la OIT. En este espacio se definió la estructura de la política tomando como referencia los seis (6) ejes ordenadores de la Política Nacional de Infancia y Adolescencia: (1) Arquitectura Institucional y gestión de la política pública; (2) Calidad y cobertura de las atenciones; (3) Promoción y prevención; (4) Participación y movilización social; (5) Gestión de conocimiento y, (6) Seguimiento y evaluación de la política pública.</w:t>
      </w:r>
    </w:p>
    <w:p w:rsidR="00BC521A" w:rsidRPr="00BC521A" w:rsidRDefault="00BC521A" w:rsidP="00BC521A">
      <w:pPr>
        <w:widowControl w:val="0"/>
        <w:spacing w:after="0" w:line="240" w:lineRule="auto"/>
        <w:ind w:left="284"/>
        <w:jc w:val="both"/>
        <w:rPr>
          <w:rFonts w:cs="Arial"/>
        </w:rPr>
      </w:pPr>
    </w:p>
    <w:p w:rsidR="00BC521A" w:rsidRPr="00BC521A" w:rsidRDefault="00BC521A" w:rsidP="00D712DC">
      <w:pPr>
        <w:widowControl w:val="0"/>
        <w:numPr>
          <w:ilvl w:val="0"/>
          <w:numId w:val="67"/>
        </w:numPr>
        <w:spacing w:after="0" w:line="240" w:lineRule="auto"/>
        <w:ind w:left="284"/>
        <w:jc w:val="both"/>
        <w:rPr>
          <w:rFonts w:cs="Arial"/>
        </w:rPr>
      </w:pPr>
      <w:r w:rsidRPr="00BC521A">
        <w:rPr>
          <w:rFonts w:cs="Arial"/>
        </w:rPr>
        <w:t>Asistencia técnica presencial a 350 personas de las diferentes entidades para el desarrollo de ejercicios de discusión y análisis a nivel departamental (15 ciudades), en el marco de los Comités Interinstitucionales de Erradicación de Trabajo Infantil (CIETI), en torno a los principales avances, logros, aprendizajes y dificultades en la implementación de la ENETI 2008 - 2015.</w:t>
      </w:r>
    </w:p>
    <w:p w:rsidR="00BC521A" w:rsidRPr="00BC521A" w:rsidRDefault="00BC521A" w:rsidP="00BC521A">
      <w:pPr>
        <w:widowControl w:val="0"/>
        <w:spacing w:after="0" w:line="240" w:lineRule="auto"/>
        <w:jc w:val="both"/>
        <w:rPr>
          <w:rFonts w:cs="Arial"/>
        </w:rPr>
      </w:pPr>
    </w:p>
    <w:p w:rsidR="00BC521A" w:rsidRPr="00BC521A" w:rsidRDefault="00BC521A" w:rsidP="00D712DC">
      <w:pPr>
        <w:numPr>
          <w:ilvl w:val="0"/>
          <w:numId w:val="68"/>
        </w:numPr>
        <w:spacing w:after="0" w:line="240" w:lineRule="auto"/>
        <w:ind w:left="284"/>
        <w:jc w:val="both"/>
        <w:rPr>
          <w:rFonts w:cs="Arial"/>
          <w:lang w:val="es-ES_tradnl"/>
        </w:rPr>
      </w:pPr>
      <w:r w:rsidRPr="00BC521A">
        <w:rPr>
          <w:rFonts w:cs="Arial"/>
        </w:rPr>
        <w:t>Asistencia técnica al Proyecto Somos Tesoro, enfocado en la erradicación del trabajo infantil en el sector minero del departamento de</w:t>
      </w:r>
      <w:r w:rsidRPr="00BC521A">
        <w:rPr>
          <w:rFonts w:cs="Arial"/>
          <w:lang w:val="es-ES_tradnl"/>
        </w:rPr>
        <w:t xml:space="preserve"> Boyacá, específicamente en los municipios de: Gámeza, Tópaga, Mongua y Sogamoso; y Antioquía en los Municipios de: Segovia, Remedios, El Bagre y Zaragoza con una intervención desde el 2013 hasta 2017. </w:t>
      </w:r>
    </w:p>
    <w:p w:rsidR="00BC521A" w:rsidRPr="00BC521A" w:rsidRDefault="00BC521A" w:rsidP="00BC521A">
      <w:pPr>
        <w:spacing w:after="0" w:line="240" w:lineRule="auto"/>
        <w:ind w:left="284"/>
        <w:jc w:val="both"/>
        <w:rPr>
          <w:rFonts w:cs="Arial"/>
          <w:lang w:val="es-ES_tradnl"/>
        </w:rPr>
      </w:pPr>
    </w:p>
    <w:p w:rsidR="00BC521A" w:rsidRPr="00BC521A" w:rsidRDefault="00BC521A" w:rsidP="00D712DC">
      <w:pPr>
        <w:numPr>
          <w:ilvl w:val="0"/>
          <w:numId w:val="68"/>
        </w:numPr>
        <w:spacing w:after="0" w:line="240" w:lineRule="auto"/>
        <w:ind w:left="284"/>
        <w:contextualSpacing/>
        <w:jc w:val="both"/>
        <w:rPr>
          <w:rFonts w:cs="Arial"/>
          <w:b/>
        </w:rPr>
      </w:pPr>
      <w:r w:rsidRPr="00BC521A">
        <w:rPr>
          <w:rFonts w:cs="Arial"/>
        </w:rPr>
        <w:t>En el marco del proyecto Somos Tesoro con Fondo Acción, video que identifica la ruta de reporte y atención de trabajo infantil,</w:t>
      </w:r>
      <w:r w:rsidRPr="00BC521A">
        <w:rPr>
          <w:rFonts w:cs="Arial"/>
          <w:lang w:val="es-ES_tradnl"/>
        </w:rPr>
        <w:t xml:space="preserve"> </w:t>
      </w:r>
      <w:hyperlink r:id="rId32" w:tgtFrame="_blank" w:history="1">
        <w:r w:rsidRPr="00BC521A">
          <w:rPr>
            <w:rFonts w:cs="Arial"/>
            <w:color w:val="0000FF"/>
            <w:u w:val="single"/>
          </w:rPr>
          <w:t>https://www.youtube.com/watch?v=UL8E9gnPH9w</w:t>
        </w:r>
      </w:hyperlink>
      <w:r w:rsidRPr="00BC521A">
        <w:rPr>
          <w:rFonts w:cs="Arial"/>
        </w:rPr>
        <w:t>.</w:t>
      </w:r>
    </w:p>
    <w:p w:rsidR="00BC521A" w:rsidRPr="00BC521A" w:rsidRDefault="00BC521A" w:rsidP="00BC521A">
      <w:pPr>
        <w:spacing w:after="0" w:line="240" w:lineRule="auto"/>
        <w:contextualSpacing/>
        <w:jc w:val="both"/>
        <w:rPr>
          <w:rFonts w:cs="Arial"/>
          <w:b/>
        </w:rPr>
      </w:pPr>
    </w:p>
    <w:p w:rsidR="00BC521A" w:rsidRPr="00BC521A" w:rsidRDefault="00BC521A" w:rsidP="00D712DC">
      <w:pPr>
        <w:numPr>
          <w:ilvl w:val="0"/>
          <w:numId w:val="68"/>
        </w:numPr>
        <w:spacing w:after="0" w:line="240" w:lineRule="auto"/>
        <w:ind w:left="284" w:hanging="218"/>
        <w:contextualSpacing/>
        <w:jc w:val="both"/>
        <w:rPr>
          <w:rFonts w:cs="Arial"/>
          <w:b/>
        </w:rPr>
      </w:pPr>
      <w:r w:rsidRPr="00BC521A">
        <w:rPr>
          <w:rFonts w:cs="Arial"/>
        </w:rPr>
        <w:t xml:space="preserve">Apoyo en la construcción de la ruta integral de gestión territorial para la prevención y reducción del trabajo infantil minero, la cual fue socializada con los alcaldes de los municipios focalizados y delegados de las gobernaciones de Antioquia y Boyacá. De otra parte, en el segundo semestre se brindó apoyo en el diseño y desarrollo de dos módulos de fortalecimiento técnico dirigido a los CIETI de dichos departamentos.  </w:t>
      </w:r>
    </w:p>
    <w:p w:rsidR="00BC521A" w:rsidRPr="00BC521A" w:rsidRDefault="00BC521A" w:rsidP="00BC521A">
      <w:pPr>
        <w:spacing w:after="0" w:line="240" w:lineRule="auto"/>
        <w:contextualSpacing/>
        <w:jc w:val="both"/>
        <w:rPr>
          <w:rFonts w:cs="Arial"/>
          <w:b/>
        </w:rPr>
      </w:pPr>
    </w:p>
    <w:p w:rsidR="00BC521A" w:rsidRPr="00BC521A" w:rsidRDefault="00BC521A" w:rsidP="00D712DC">
      <w:pPr>
        <w:numPr>
          <w:ilvl w:val="0"/>
          <w:numId w:val="69"/>
        </w:numPr>
        <w:spacing w:after="0" w:line="240" w:lineRule="auto"/>
        <w:ind w:left="284" w:hanging="218"/>
        <w:contextualSpacing/>
        <w:jc w:val="both"/>
        <w:rPr>
          <w:rFonts w:cs="Arial"/>
          <w:b/>
        </w:rPr>
      </w:pPr>
      <w:r w:rsidRPr="00BC521A">
        <w:rPr>
          <w:rFonts w:cs="Arial"/>
        </w:rPr>
        <w:t xml:space="preserve">Articulación con el DPS para la implementación del proyecto piloto en el marco del programa Más Familias en Acción, dirigido a prevenir y reducir el trabajo infantil en el sector minero artesanal, desarrollando en los departamentos de Chocó – Condoto; Antioquia - Anorí y Bolívar en Santa Rosa del Sur, realizando encuentros de sensibilización familiar en torno al trabajo infantil, para la atención directa a 210 familias. </w:t>
      </w:r>
    </w:p>
    <w:p w:rsidR="00BC521A" w:rsidRPr="00BC521A" w:rsidRDefault="00BC521A" w:rsidP="00BC521A">
      <w:pPr>
        <w:spacing w:after="0" w:line="240" w:lineRule="auto"/>
        <w:ind w:left="284"/>
        <w:contextualSpacing/>
        <w:jc w:val="both"/>
        <w:rPr>
          <w:rFonts w:cs="Arial"/>
          <w:b/>
        </w:rPr>
      </w:pPr>
    </w:p>
    <w:p w:rsidR="00BC521A" w:rsidRPr="00BC521A" w:rsidRDefault="00BC521A" w:rsidP="00D712DC">
      <w:pPr>
        <w:numPr>
          <w:ilvl w:val="0"/>
          <w:numId w:val="69"/>
        </w:numPr>
        <w:spacing w:after="0" w:line="240" w:lineRule="auto"/>
        <w:ind w:left="284" w:hanging="218"/>
        <w:jc w:val="both"/>
        <w:rPr>
          <w:rFonts w:cs="Arial"/>
        </w:rPr>
      </w:pPr>
      <w:r w:rsidRPr="00BC521A">
        <w:rPr>
          <w:rFonts w:cs="Arial"/>
        </w:rPr>
        <w:t>En el marco del III Gabinete Binacional Colombia - Ecuador, se elaboró el Plan de Acción de la Comisión Técnica de Lucha Contra La Minería Ilegal, en el cual contemplan acciones para atender de manera articulada a los niños, niñas y adolescentes que participan en actividades de minería y sus familias. De manera articulada con la Policía Nacional se construye, actualmente, una ruta de trabajo conjunto ante la presencia de niños, niñas y adolescentes en situación de trabajo infantil en territorio fronterizo, insumo que será presentado en el marco del III Gabinete Binacional para la consolidación de una ruta de intervención y reporte de casos de trabajo infantil que involucre a autoridades de ambos países.</w:t>
      </w:r>
    </w:p>
    <w:p w:rsidR="00BC521A" w:rsidRPr="00BC521A" w:rsidRDefault="00BC521A" w:rsidP="00BC521A">
      <w:pPr>
        <w:spacing w:after="0" w:line="240" w:lineRule="auto"/>
        <w:jc w:val="both"/>
        <w:rPr>
          <w:rFonts w:cs="Arial"/>
        </w:rPr>
      </w:pPr>
    </w:p>
    <w:p w:rsidR="00BC521A" w:rsidRPr="00BC521A" w:rsidRDefault="00BC521A" w:rsidP="00D712DC">
      <w:pPr>
        <w:numPr>
          <w:ilvl w:val="0"/>
          <w:numId w:val="69"/>
        </w:numPr>
        <w:spacing w:after="0" w:line="240" w:lineRule="auto"/>
        <w:ind w:left="284"/>
        <w:jc w:val="both"/>
        <w:rPr>
          <w:rFonts w:cs="Arial"/>
        </w:rPr>
      </w:pPr>
      <w:r w:rsidRPr="00BC521A">
        <w:rPr>
          <w:rFonts w:cs="Arial"/>
        </w:rPr>
        <w:t xml:space="preserve">Asistencia técnica a la Red de Empresas contra el Trabajo Infantil, liderada por el Ministerio del Trabajo, con el apoyo de Pacto Global Colombia, la Organización Internacional del Trabajo </w:t>
      </w:r>
      <w:r w:rsidRPr="00BC521A">
        <w:rPr>
          <w:rFonts w:cs="Arial"/>
        </w:rPr>
        <w:lastRenderedPageBreak/>
        <w:t>(OIT) y de 32 empresas encaminada a identificar y gestionar los riesgos e impactos del trabajo infantil y promover el respeto de los derechos de los niños, niñas y adolescentes, al interior de la empresa y su cadena de suministro.</w:t>
      </w:r>
    </w:p>
    <w:p w:rsidR="00BC521A" w:rsidRPr="00BC521A" w:rsidRDefault="00BC521A" w:rsidP="00BC521A">
      <w:pPr>
        <w:spacing w:after="0" w:line="240" w:lineRule="auto"/>
        <w:jc w:val="both"/>
        <w:rPr>
          <w:rFonts w:cs="Arial"/>
        </w:rPr>
      </w:pPr>
    </w:p>
    <w:p w:rsidR="00BC521A" w:rsidRPr="00BC521A" w:rsidRDefault="00BC521A" w:rsidP="00D712DC">
      <w:pPr>
        <w:numPr>
          <w:ilvl w:val="0"/>
          <w:numId w:val="69"/>
        </w:numPr>
        <w:spacing w:after="0" w:line="240" w:lineRule="auto"/>
        <w:ind w:left="284"/>
        <w:jc w:val="both"/>
        <w:rPr>
          <w:rFonts w:cs="Arial"/>
        </w:rPr>
      </w:pPr>
      <w:r w:rsidRPr="00BC521A">
        <w:rPr>
          <w:rFonts w:cs="Arial"/>
        </w:rPr>
        <w:t>Fortalecimiento del Comité Interinstitucional de Erradicación de Trabajo Infantil (CIETI) municipal de Pauna - Boyacá y promoción para el restablecimiento de los derechos de los niños, niñas y  adolescentes en situación de trabajo infantil y sus familias, en respuesta a la solicitud de verificación de derechos elevada por la Presidencia de la República.</w:t>
      </w:r>
    </w:p>
    <w:p w:rsidR="00817E2C" w:rsidRDefault="00817E2C" w:rsidP="00817E2C">
      <w:pPr>
        <w:spacing w:after="0" w:line="240" w:lineRule="auto"/>
        <w:rPr>
          <w:rFonts w:cs="Arial"/>
        </w:rPr>
      </w:pPr>
    </w:p>
    <w:p w:rsidR="00817E2C" w:rsidRPr="00D23FA4" w:rsidRDefault="00817E2C" w:rsidP="00817E2C">
      <w:pPr>
        <w:spacing w:after="0" w:line="240" w:lineRule="auto"/>
        <w:rPr>
          <w:rFonts w:cs="Arial"/>
        </w:rPr>
      </w:pPr>
    </w:p>
    <w:p w:rsidR="00817E2C" w:rsidRPr="00D20970" w:rsidRDefault="00817E2C" w:rsidP="007342CF">
      <w:pPr>
        <w:pStyle w:val="Prrafodelista"/>
        <w:keepNext/>
        <w:keepLines/>
        <w:numPr>
          <w:ilvl w:val="2"/>
          <w:numId w:val="242"/>
        </w:numPr>
        <w:spacing w:after="0" w:line="240" w:lineRule="auto"/>
        <w:outlineLvl w:val="1"/>
        <w:rPr>
          <w:rFonts w:eastAsiaTheme="majorEastAsia" w:cs="Arial"/>
          <w:b/>
        </w:rPr>
      </w:pPr>
      <w:bookmarkStart w:id="126" w:name="_Toc473581429"/>
      <w:r w:rsidRPr="00D20970">
        <w:rPr>
          <w:rFonts w:eastAsia="Times New Roman" w:cs="Arial"/>
          <w:b/>
          <w:bCs/>
          <w:kern w:val="32"/>
        </w:rPr>
        <w:t>Sistema de Responsabilidad Penal para Adolescentes (SRPA)</w:t>
      </w:r>
      <w:bookmarkEnd w:id="126"/>
      <w:r w:rsidRPr="00D20970">
        <w:rPr>
          <w:rFonts w:eastAsia="Times New Roman" w:cs="Arial"/>
          <w:b/>
          <w:bCs/>
          <w:kern w:val="32"/>
        </w:rPr>
        <w:t xml:space="preserve"> </w:t>
      </w:r>
    </w:p>
    <w:p w:rsidR="00817E2C" w:rsidRDefault="00817E2C" w:rsidP="00817E2C">
      <w:pPr>
        <w:spacing w:after="0" w:line="240" w:lineRule="auto"/>
        <w:jc w:val="both"/>
        <w:rPr>
          <w:rFonts w:cs="Arial"/>
        </w:rPr>
      </w:pPr>
    </w:p>
    <w:p w:rsidR="00BC521A" w:rsidRPr="00BC521A" w:rsidRDefault="00BC521A" w:rsidP="00BC521A">
      <w:pPr>
        <w:spacing w:after="0" w:line="240" w:lineRule="auto"/>
        <w:jc w:val="both"/>
        <w:rPr>
          <w:rFonts w:cs="Arial"/>
          <w:lang w:val="es-CO"/>
        </w:rPr>
      </w:pPr>
      <w:r w:rsidRPr="00BC521A">
        <w:rPr>
          <w:rFonts w:cs="Arial"/>
          <w:lang w:val="es-CO"/>
        </w:rPr>
        <w:t>Durante el año 2016 se expidieron 3 Lineamientos Técnicos acordes con la normatividad vigente y finalidades del SRPA:</w:t>
      </w:r>
    </w:p>
    <w:p w:rsidR="00BC521A" w:rsidRPr="00BC521A" w:rsidRDefault="00BC521A" w:rsidP="00BC521A">
      <w:pPr>
        <w:spacing w:after="0" w:line="240" w:lineRule="auto"/>
        <w:jc w:val="both"/>
        <w:rPr>
          <w:rFonts w:cs="Arial"/>
          <w:lang w:val="es-CO"/>
        </w:rPr>
      </w:pPr>
    </w:p>
    <w:p w:rsidR="00B164A9" w:rsidRDefault="00BC521A" w:rsidP="00D712DC">
      <w:pPr>
        <w:numPr>
          <w:ilvl w:val="0"/>
          <w:numId w:val="71"/>
        </w:numPr>
        <w:spacing w:after="0" w:line="240" w:lineRule="auto"/>
        <w:jc w:val="both"/>
        <w:rPr>
          <w:rFonts w:cs="Arial"/>
        </w:rPr>
      </w:pPr>
      <w:r w:rsidRPr="00BC521A">
        <w:rPr>
          <w:rFonts w:cs="Arial"/>
        </w:rPr>
        <w:t>Lineamiento Modelo de Atención para adolescentes y jóvenes en conflicto con la ley –SRPA: Resoluciones 1522 del 23 de febrero de 2016 y 5668 del 15 de junio de 2016.</w:t>
      </w:r>
    </w:p>
    <w:p w:rsidR="00BC521A" w:rsidRPr="00BC521A" w:rsidRDefault="00BC521A" w:rsidP="00B164A9">
      <w:pPr>
        <w:spacing w:after="0" w:line="240" w:lineRule="auto"/>
        <w:ind w:left="720"/>
        <w:jc w:val="both"/>
        <w:rPr>
          <w:rFonts w:cs="Arial"/>
        </w:rPr>
      </w:pPr>
      <w:r w:rsidRPr="00BC521A">
        <w:rPr>
          <w:rFonts w:cs="Arial"/>
        </w:rPr>
        <w:t xml:space="preserve"> </w:t>
      </w:r>
    </w:p>
    <w:p w:rsidR="00BC521A" w:rsidRDefault="00BC521A" w:rsidP="00D712DC">
      <w:pPr>
        <w:numPr>
          <w:ilvl w:val="0"/>
          <w:numId w:val="71"/>
        </w:numPr>
        <w:spacing w:after="0" w:line="240" w:lineRule="auto"/>
        <w:jc w:val="both"/>
        <w:rPr>
          <w:rFonts w:cs="Arial"/>
        </w:rPr>
      </w:pPr>
      <w:r w:rsidRPr="00BC521A">
        <w:rPr>
          <w:rFonts w:cs="Arial"/>
        </w:rPr>
        <w:t>Lineamiento de servicios para medidas y sanciones del proceso judicial SRPA: Resoluciones 1521 del 23 de febrero de 2016 y 5667 del 15 de junio de 2016.</w:t>
      </w:r>
    </w:p>
    <w:p w:rsidR="00B164A9" w:rsidRPr="00BC521A" w:rsidRDefault="00B164A9" w:rsidP="00B164A9">
      <w:pPr>
        <w:spacing w:after="0" w:line="240" w:lineRule="auto"/>
        <w:jc w:val="both"/>
        <w:rPr>
          <w:rFonts w:cs="Arial"/>
        </w:rPr>
      </w:pPr>
    </w:p>
    <w:p w:rsidR="00BC521A" w:rsidRPr="00BC521A" w:rsidRDefault="00BC521A" w:rsidP="00D712DC">
      <w:pPr>
        <w:numPr>
          <w:ilvl w:val="0"/>
          <w:numId w:val="71"/>
        </w:numPr>
        <w:spacing w:after="0" w:line="240" w:lineRule="auto"/>
        <w:jc w:val="both"/>
        <w:rPr>
          <w:rFonts w:cs="Arial"/>
        </w:rPr>
      </w:pPr>
      <w:r w:rsidRPr="00BC521A">
        <w:rPr>
          <w:rFonts w:cs="Arial"/>
        </w:rPr>
        <w:t>Lineamientos de Medidas Complementarias y/o de Restablecimiento en Administración de Justicia: Resoluciones 1512 del 23 de febrero de 2016 y 5666 del 15 de junio de 2016.</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highlight w:val="yellow"/>
        </w:rPr>
      </w:pPr>
      <w:r w:rsidRPr="00BC521A">
        <w:rPr>
          <w:rFonts w:cs="Arial"/>
        </w:rPr>
        <w:t>A continuación se expone el cuadro de Programación de Metas Sociales y Financiera</w:t>
      </w:r>
      <w:r w:rsidRPr="001767CE">
        <w:rPr>
          <w:rFonts w:cs="Arial"/>
        </w:rPr>
        <w:t>s:</w:t>
      </w:r>
    </w:p>
    <w:p w:rsidR="00872A46" w:rsidRPr="00BC521A" w:rsidRDefault="00872A46" w:rsidP="00BC521A">
      <w:pPr>
        <w:spacing w:after="0" w:line="240" w:lineRule="auto"/>
        <w:jc w:val="both"/>
        <w:rPr>
          <w:rFonts w:cs="Arial"/>
          <w:highlight w:val="green"/>
        </w:rPr>
      </w:pPr>
    </w:p>
    <w:tbl>
      <w:tblPr>
        <w:tblW w:w="5000"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70"/>
        <w:gridCol w:w="1140"/>
        <w:gridCol w:w="1213"/>
        <w:gridCol w:w="911"/>
        <w:gridCol w:w="1369"/>
        <w:gridCol w:w="1392"/>
      </w:tblGrid>
      <w:tr w:rsidR="00B164A9" w:rsidRPr="00B164A9" w:rsidTr="00EE3297">
        <w:trPr>
          <w:cantSplit/>
          <w:trHeight w:val="340"/>
          <w:tblHeader/>
        </w:trPr>
        <w:tc>
          <w:tcPr>
            <w:tcW w:w="1794" w:type="pct"/>
            <w:shd w:val="clear" w:color="auto" w:fill="76923C" w:themeFill="accent3" w:themeFillShade="BF"/>
            <w:vAlign w:val="center"/>
            <w:hideMark/>
          </w:tcPr>
          <w:p w:rsidR="00BC521A" w:rsidRPr="00B164A9" w:rsidRDefault="00B164A9"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Nombre</w:t>
            </w:r>
          </w:p>
        </w:tc>
        <w:tc>
          <w:tcPr>
            <w:tcW w:w="607" w:type="pct"/>
            <w:shd w:val="clear" w:color="auto" w:fill="76923C" w:themeFill="accent3" w:themeFillShade="BF"/>
            <w:vAlign w:val="center"/>
            <w:hideMark/>
          </w:tcPr>
          <w:p w:rsidR="00BC521A" w:rsidRPr="00B164A9" w:rsidRDefault="00BC521A"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Unidades</w:t>
            </w:r>
          </w:p>
        </w:tc>
        <w:tc>
          <w:tcPr>
            <w:tcW w:w="646" w:type="pct"/>
            <w:shd w:val="clear" w:color="auto" w:fill="76923C" w:themeFill="accent3" w:themeFillShade="BF"/>
            <w:vAlign w:val="center"/>
            <w:hideMark/>
          </w:tcPr>
          <w:p w:rsidR="00BC521A" w:rsidRPr="00B164A9" w:rsidRDefault="00BC521A"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Cupos</w:t>
            </w:r>
          </w:p>
        </w:tc>
        <w:tc>
          <w:tcPr>
            <w:tcW w:w="485" w:type="pct"/>
            <w:shd w:val="clear" w:color="auto" w:fill="76923C" w:themeFill="accent3" w:themeFillShade="BF"/>
            <w:vAlign w:val="center"/>
            <w:hideMark/>
          </w:tcPr>
          <w:p w:rsidR="00BC521A" w:rsidRPr="00B164A9" w:rsidRDefault="00BC521A"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Usuarios</w:t>
            </w:r>
          </w:p>
        </w:tc>
        <w:tc>
          <w:tcPr>
            <w:tcW w:w="729" w:type="pct"/>
            <w:shd w:val="clear" w:color="auto" w:fill="76923C" w:themeFill="accent3" w:themeFillShade="BF"/>
            <w:vAlign w:val="center"/>
            <w:hideMark/>
          </w:tcPr>
          <w:p w:rsidR="00BC521A" w:rsidRPr="00B164A9" w:rsidRDefault="00BC521A"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 xml:space="preserve"> Usuarios</w:t>
            </w:r>
            <w:r w:rsidRPr="00B164A9">
              <w:rPr>
                <w:rFonts w:eastAsia="Times New Roman" w:cs="Arial"/>
                <w:b/>
                <w:bCs/>
                <w:color w:val="FFFFFF" w:themeColor="background1"/>
                <w:sz w:val="18"/>
                <w:szCs w:val="18"/>
                <w:lang w:val="es-CO" w:eastAsia="es-CO"/>
              </w:rPr>
              <w:br/>
              <w:t xml:space="preserve">Desplazados </w:t>
            </w:r>
          </w:p>
        </w:tc>
        <w:tc>
          <w:tcPr>
            <w:tcW w:w="741" w:type="pct"/>
            <w:shd w:val="clear" w:color="auto" w:fill="76923C" w:themeFill="accent3" w:themeFillShade="BF"/>
            <w:vAlign w:val="center"/>
            <w:hideMark/>
          </w:tcPr>
          <w:p w:rsidR="00BC521A" w:rsidRPr="00B164A9" w:rsidRDefault="00BC521A" w:rsidP="00BC521A">
            <w:pPr>
              <w:spacing w:after="0" w:line="240" w:lineRule="auto"/>
              <w:jc w:val="center"/>
              <w:rPr>
                <w:rFonts w:eastAsia="Times New Roman" w:cs="Arial"/>
                <w:b/>
                <w:bCs/>
                <w:color w:val="FFFFFF" w:themeColor="background1"/>
                <w:sz w:val="18"/>
                <w:szCs w:val="18"/>
                <w:lang w:val="es-CO" w:eastAsia="es-CO"/>
              </w:rPr>
            </w:pPr>
            <w:r w:rsidRPr="00B164A9">
              <w:rPr>
                <w:rFonts w:eastAsia="Times New Roman" w:cs="Arial"/>
                <w:b/>
                <w:bCs/>
                <w:color w:val="FFFFFF" w:themeColor="background1"/>
                <w:sz w:val="18"/>
                <w:szCs w:val="18"/>
                <w:lang w:val="es-CO" w:eastAsia="es-CO"/>
              </w:rPr>
              <w:t xml:space="preserve"> Obligación</w:t>
            </w:r>
            <w:r w:rsidRPr="00B164A9">
              <w:rPr>
                <w:rFonts w:eastAsia="Times New Roman" w:cs="Arial"/>
                <w:b/>
                <w:bCs/>
                <w:color w:val="FFFFFF" w:themeColor="background1"/>
                <w:sz w:val="18"/>
                <w:szCs w:val="18"/>
                <w:lang w:val="es-CO" w:eastAsia="es-CO"/>
              </w:rPr>
              <w:br/>
              <w:t xml:space="preserve">SIM </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Apoyo Post Institucional</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355</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358</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950.874.111</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Apoyo Post-Institucional Rest</w:t>
            </w:r>
            <w:r>
              <w:rPr>
                <w:rFonts w:eastAsia="Times New Roman" w:cs="Arial"/>
                <w:color w:val="000000"/>
                <w:sz w:val="18"/>
                <w:szCs w:val="18"/>
                <w:lang w:val="es-CO" w:eastAsia="es-CO"/>
              </w:rPr>
              <w:t>ablecimiento en Administración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32</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32</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89.161.465</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Centro d</w:t>
            </w:r>
            <w:r w:rsidRPr="00B164A9">
              <w:rPr>
                <w:rFonts w:eastAsia="Times New Roman" w:cs="Arial"/>
                <w:color w:val="000000"/>
                <w:sz w:val="18"/>
                <w:szCs w:val="18"/>
                <w:lang w:val="es-CO" w:eastAsia="es-CO"/>
              </w:rPr>
              <w:t>e Atención Especializado</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5</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2841</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2932</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151</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50.260.234.725</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Centro de Emergencia Restablecimiento e</w:t>
            </w:r>
            <w:r w:rsidRPr="00B164A9">
              <w:rPr>
                <w:rFonts w:eastAsia="Times New Roman" w:cs="Arial"/>
                <w:color w:val="000000"/>
                <w:sz w:val="18"/>
                <w:szCs w:val="18"/>
                <w:lang w:val="es-CO" w:eastAsia="es-CO"/>
              </w:rPr>
              <w:t>n Administració</w:t>
            </w:r>
            <w:r>
              <w:rPr>
                <w:rFonts w:eastAsia="Times New Roman" w:cs="Arial"/>
                <w:color w:val="000000"/>
                <w:sz w:val="18"/>
                <w:szCs w:val="18"/>
                <w:lang w:val="es-CO" w:eastAsia="es-CO"/>
              </w:rPr>
              <w:t>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11</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122</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3491</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1.885.403.733</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Centro d</w:t>
            </w:r>
            <w:r w:rsidRPr="00B164A9">
              <w:rPr>
                <w:rFonts w:eastAsia="Times New Roman" w:cs="Arial"/>
                <w:color w:val="000000"/>
                <w:sz w:val="18"/>
                <w:szCs w:val="18"/>
                <w:lang w:val="es-CO" w:eastAsia="es-CO"/>
              </w:rPr>
              <w:t>e Internamiento Preventivo</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875</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3154</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17.743.143.637</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Centro Transitorio</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45</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317</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64412</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1137</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4.577.310.910</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Externado Jornada Completa Rest</w:t>
            </w:r>
            <w:r>
              <w:rPr>
                <w:rFonts w:eastAsia="Times New Roman" w:cs="Arial"/>
                <w:color w:val="000000"/>
                <w:sz w:val="18"/>
                <w:szCs w:val="18"/>
                <w:lang w:val="es-CO" w:eastAsia="es-CO"/>
              </w:rPr>
              <w:t>ablecimiento en Administración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373</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391</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2.449.809.878</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Externado Media Jornada Rest</w:t>
            </w:r>
            <w:r>
              <w:rPr>
                <w:rFonts w:eastAsia="Times New Roman" w:cs="Arial"/>
                <w:color w:val="000000"/>
                <w:sz w:val="18"/>
                <w:szCs w:val="18"/>
                <w:lang w:val="es-CO" w:eastAsia="es-CO"/>
              </w:rPr>
              <w:t>ablecimiento en Administración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348</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397</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1.596.676.417</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Hogar Gestor</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78</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116</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116</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217.369.030</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Internado Restablecimiento e</w:t>
            </w:r>
            <w:r w:rsidRPr="00B164A9">
              <w:rPr>
                <w:rFonts w:eastAsia="Times New Roman" w:cs="Arial"/>
                <w:color w:val="000000"/>
                <w:sz w:val="18"/>
                <w:szCs w:val="18"/>
                <w:lang w:val="es-CO" w:eastAsia="es-CO"/>
              </w:rPr>
              <w:t>n Admini</w:t>
            </w:r>
            <w:r>
              <w:rPr>
                <w:rFonts w:eastAsia="Times New Roman" w:cs="Arial"/>
                <w:color w:val="000000"/>
                <w:sz w:val="18"/>
                <w:szCs w:val="18"/>
                <w:lang w:val="es-CO" w:eastAsia="es-CO"/>
              </w:rPr>
              <w:t>stración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5</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1372</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1441</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19.109.859.786</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lastRenderedPageBreak/>
              <w:t>Interven</w:t>
            </w:r>
            <w:r>
              <w:rPr>
                <w:rFonts w:eastAsia="Times New Roman" w:cs="Arial"/>
                <w:color w:val="000000"/>
                <w:sz w:val="18"/>
                <w:szCs w:val="18"/>
                <w:lang w:val="es-CO" w:eastAsia="es-CO"/>
              </w:rPr>
              <w:t>ción de Apoyo Restablecimiento en Administración d</w:t>
            </w:r>
            <w:r w:rsidRPr="00B164A9">
              <w:rPr>
                <w:rFonts w:eastAsia="Times New Roman" w:cs="Arial"/>
                <w:color w:val="000000"/>
                <w:sz w:val="18"/>
                <w:szCs w:val="18"/>
                <w:lang w:val="es-CO" w:eastAsia="es-CO"/>
              </w:rPr>
              <w:t>e Justicia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1243</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1182</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53</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3.395.619.825</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Libertad Asistida/Vigilada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2151</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2273</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153</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8.684.721.284</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Pr>
                <w:rFonts w:eastAsia="Times New Roman" w:cs="Arial"/>
                <w:color w:val="000000"/>
                <w:sz w:val="18"/>
                <w:szCs w:val="18"/>
                <w:lang w:val="es-CO" w:eastAsia="es-CO"/>
              </w:rPr>
              <w:t>Prestación de Servicios a l</w:t>
            </w:r>
            <w:r w:rsidRPr="00B164A9">
              <w:rPr>
                <w:rFonts w:eastAsia="Times New Roman" w:cs="Arial"/>
                <w:color w:val="000000"/>
                <w:sz w:val="18"/>
                <w:szCs w:val="18"/>
                <w:lang w:val="es-CO" w:eastAsia="es-CO"/>
              </w:rPr>
              <w:t>a Comunidad</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407</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791</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208</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1.033.773.621</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Semicerrado</w:t>
            </w:r>
            <w:r>
              <w:rPr>
                <w:rFonts w:eastAsia="Times New Roman" w:cs="Arial"/>
                <w:color w:val="000000"/>
                <w:sz w:val="18"/>
                <w:szCs w:val="18"/>
                <w:lang w:val="es-CO" w:eastAsia="es-CO"/>
              </w:rPr>
              <w:t xml:space="preserve"> </w:t>
            </w:r>
            <w:r w:rsidRPr="00B164A9">
              <w:rPr>
                <w:rFonts w:eastAsia="Times New Roman" w:cs="Arial"/>
                <w:color w:val="000000"/>
                <w:sz w:val="18"/>
                <w:szCs w:val="18"/>
                <w:lang w:val="es-CO" w:eastAsia="es-CO"/>
              </w:rPr>
              <w:t>-Externado Jornada Completa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376</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405</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18</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2.963.015.650</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Semicerrado</w:t>
            </w:r>
            <w:r>
              <w:rPr>
                <w:rFonts w:eastAsia="Times New Roman" w:cs="Arial"/>
                <w:color w:val="000000"/>
                <w:sz w:val="18"/>
                <w:szCs w:val="18"/>
                <w:lang w:val="es-CO" w:eastAsia="es-CO"/>
              </w:rPr>
              <w:t xml:space="preserve"> </w:t>
            </w:r>
            <w:r w:rsidRPr="00B164A9">
              <w:rPr>
                <w:rFonts w:eastAsia="Times New Roman" w:cs="Arial"/>
                <w:color w:val="000000"/>
                <w:sz w:val="18"/>
                <w:szCs w:val="18"/>
                <w:lang w:val="es-CO" w:eastAsia="es-CO"/>
              </w:rPr>
              <w:t>-Externado Media Jornada</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657</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691</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4</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3.173.015.296</w:t>
            </w:r>
          </w:p>
        </w:tc>
      </w:tr>
      <w:tr w:rsidR="00B164A9" w:rsidRPr="00B164A9" w:rsidTr="00B164A9">
        <w:trPr>
          <w:cantSplit/>
          <w:trHeight w:val="340"/>
        </w:trPr>
        <w:tc>
          <w:tcPr>
            <w:tcW w:w="1794" w:type="pct"/>
            <w:shd w:val="clear" w:color="auto" w:fill="auto"/>
            <w:vAlign w:val="center"/>
            <w:hideMark/>
          </w:tcPr>
          <w:p w:rsidR="00BC521A" w:rsidRPr="00B164A9" w:rsidRDefault="00B164A9" w:rsidP="00BC521A">
            <w:pPr>
              <w:spacing w:after="0" w:line="240" w:lineRule="auto"/>
              <w:rPr>
                <w:rFonts w:eastAsia="Times New Roman" w:cs="Arial"/>
                <w:color w:val="000000"/>
                <w:sz w:val="18"/>
                <w:szCs w:val="18"/>
                <w:lang w:val="es-CO" w:eastAsia="es-CO"/>
              </w:rPr>
            </w:pPr>
            <w:r w:rsidRPr="00B164A9">
              <w:rPr>
                <w:rFonts w:eastAsia="Times New Roman" w:cs="Arial"/>
                <w:color w:val="000000"/>
                <w:sz w:val="18"/>
                <w:szCs w:val="18"/>
                <w:lang w:val="es-CO" w:eastAsia="es-CO"/>
              </w:rPr>
              <w:t>Semicerrado</w:t>
            </w:r>
            <w:r>
              <w:rPr>
                <w:rFonts w:eastAsia="Times New Roman" w:cs="Arial"/>
                <w:color w:val="000000"/>
                <w:sz w:val="18"/>
                <w:szCs w:val="18"/>
                <w:lang w:val="es-CO" w:eastAsia="es-CO"/>
              </w:rPr>
              <w:t xml:space="preserve"> </w:t>
            </w:r>
            <w:r w:rsidRPr="00B164A9">
              <w:rPr>
                <w:rFonts w:eastAsia="Times New Roman" w:cs="Arial"/>
                <w:color w:val="000000"/>
                <w:sz w:val="18"/>
                <w:szCs w:val="18"/>
                <w:lang w:val="es-CO" w:eastAsia="es-CO"/>
              </w:rPr>
              <w:t>-Internado</w:t>
            </w:r>
          </w:p>
        </w:tc>
        <w:tc>
          <w:tcPr>
            <w:tcW w:w="607"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646"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256</w:t>
            </w:r>
          </w:p>
        </w:tc>
        <w:tc>
          <w:tcPr>
            <w:tcW w:w="485"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268</w:t>
            </w:r>
          </w:p>
        </w:tc>
        <w:tc>
          <w:tcPr>
            <w:tcW w:w="729"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0</w:t>
            </w:r>
          </w:p>
        </w:tc>
        <w:tc>
          <w:tcPr>
            <w:tcW w:w="741" w:type="pct"/>
            <w:shd w:val="clear" w:color="auto" w:fill="auto"/>
            <w:noWrap/>
            <w:vAlign w:val="center"/>
            <w:hideMark/>
          </w:tcPr>
          <w:p w:rsidR="00BC521A" w:rsidRPr="00B164A9" w:rsidRDefault="00BC521A" w:rsidP="00BC521A">
            <w:pPr>
              <w:spacing w:after="0" w:line="240" w:lineRule="auto"/>
              <w:jc w:val="center"/>
              <w:rPr>
                <w:rFonts w:eastAsia="Times New Roman" w:cs="Arial"/>
                <w:color w:val="000000"/>
                <w:sz w:val="18"/>
                <w:szCs w:val="18"/>
                <w:lang w:val="es-CO" w:eastAsia="es-CO"/>
              </w:rPr>
            </w:pPr>
            <w:r w:rsidRPr="00B164A9">
              <w:rPr>
                <w:rFonts w:eastAsia="Times New Roman" w:cs="Arial"/>
                <w:color w:val="000000"/>
                <w:sz w:val="18"/>
                <w:szCs w:val="18"/>
                <w:lang w:val="es-CO" w:eastAsia="es-CO"/>
              </w:rPr>
              <w:t>3.738.542.849</w:t>
            </w:r>
          </w:p>
        </w:tc>
      </w:tr>
    </w:tbl>
    <w:p w:rsidR="00B164A9" w:rsidRDefault="00B164A9" w:rsidP="00BC521A">
      <w:pPr>
        <w:spacing w:after="0" w:line="240" w:lineRule="auto"/>
        <w:rPr>
          <w:rFonts w:eastAsia="Times New Roman" w:cs="Arial"/>
          <w:color w:val="000000"/>
          <w:sz w:val="16"/>
          <w:szCs w:val="16"/>
          <w:lang w:val="es-CO" w:eastAsia="es-CO"/>
        </w:rPr>
      </w:pPr>
      <w:r w:rsidRPr="00B164A9">
        <w:rPr>
          <w:rFonts w:eastAsia="Times New Roman" w:cs="Arial"/>
          <w:b/>
          <w:color w:val="000000"/>
          <w:sz w:val="16"/>
          <w:szCs w:val="16"/>
          <w:lang w:val="es-CO" w:eastAsia="es-CO"/>
        </w:rPr>
        <w:t>Fuente:</w:t>
      </w:r>
      <w:r w:rsidRPr="00B164A9">
        <w:rPr>
          <w:rFonts w:eastAsia="Times New Roman" w:cs="Arial"/>
          <w:color w:val="000000"/>
          <w:sz w:val="16"/>
          <w:szCs w:val="16"/>
          <w:lang w:val="es-CO" w:eastAsia="es-CO"/>
        </w:rPr>
        <w:t xml:space="preserve"> Ejecución de Metas Sociales y Financieras Vigencia 2016 - Reporte Ejecución Municipal - SIM - Diciembre Preliminar</w:t>
      </w:r>
    </w:p>
    <w:p w:rsidR="00217275" w:rsidRPr="00D21160" w:rsidRDefault="00217275" w:rsidP="00217275">
      <w:pPr>
        <w:rPr>
          <w:rFonts w:ascii="Calibri" w:hAnsi="Calibri"/>
          <w:i/>
          <w:iCs/>
          <w:sz w:val="16"/>
          <w:lang w:val="es-CO"/>
        </w:rPr>
      </w:pPr>
      <w:r w:rsidRPr="00D21160">
        <w:rPr>
          <w:i/>
          <w:iCs/>
          <w:sz w:val="16"/>
        </w:rPr>
        <w:t>Nota: Información preliminar, sujeta a actualización del cierre oficial de metas sociales y financieras.</w:t>
      </w:r>
    </w:p>
    <w:p w:rsidR="00BC521A" w:rsidRPr="00BC521A" w:rsidRDefault="00BC521A" w:rsidP="00BC521A">
      <w:pPr>
        <w:spacing w:after="0" w:line="240" w:lineRule="auto"/>
        <w:jc w:val="both"/>
        <w:rPr>
          <w:rFonts w:cs="Arial"/>
        </w:rPr>
      </w:pPr>
      <w:r w:rsidRPr="00BC521A">
        <w:rPr>
          <w:rFonts w:cs="Arial"/>
        </w:rPr>
        <w:t>Como logros principales cabe destacar:</w:t>
      </w:r>
    </w:p>
    <w:p w:rsidR="00BC521A" w:rsidRPr="00BC521A" w:rsidRDefault="00BC521A" w:rsidP="00BC521A">
      <w:pPr>
        <w:spacing w:after="0" w:line="240" w:lineRule="auto"/>
        <w:jc w:val="both"/>
        <w:rPr>
          <w:rFonts w:cs="Arial"/>
          <w:b/>
        </w:rPr>
      </w:pPr>
    </w:p>
    <w:p w:rsidR="00BC521A" w:rsidRPr="00BC521A" w:rsidRDefault="00BC521A" w:rsidP="00D712DC">
      <w:pPr>
        <w:numPr>
          <w:ilvl w:val="0"/>
          <w:numId w:val="193"/>
        </w:numPr>
        <w:spacing w:after="0" w:line="240" w:lineRule="auto"/>
        <w:ind w:left="284" w:hanging="284"/>
        <w:jc w:val="both"/>
        <w:rPr>
          <w:rFonts w:cs="Arial"/>
          <w:lang w:val="es-CO"/>
        </w:rPr>
      </w:pPr>
      <w:r w:rsidRPr="00BC521A">
        <w:rPr>
          <w:rFonts w:cs="Arial"/>
          <w:b/>
        </w:rPr>
        <w:t xml:space="preserve">Sistema Nacional de Coordinación de Responsabilidad Penal para Adolescentes: </w:t>
      </w:r>
      <w:r w:rsidRPr="00BC521A">
        <w:rPr>
          <w:rFonts w:cs="Arial"/>
          <w:lang w:val="es-CO"/>
        </w:rPr>
        <w:t>Instalación de 32 Comités Departamentales y aprobación de 32 Planes de Acción del Sistema Nacional de Coordinación de Responsabilidad Penal para Adolescentes.</w:t>
      </w:r>
    </w:p>
    <w:p w:rsidR="00BC521A" w:rsidRPr="00BC521A" w:rsidRDefault="00BC521A" w:rsidP="00BC521A">
      <w:pPr>
        <w:spacing w:after="0" w:line="240" w:lineRule="auto"/>
        <w:ind w:left="284" w:hanging="284"/>
        <w:jc w:val="both"/>
        <w:rPr>
          <w:rFonts w:cs="Arial"/>
          <w:lang w:val="es-CO"/>
        </w:rPr>
      </w:pPr>
    </w:p>
    <w:p w:rsidR="00BC521A" w:rsidRPr="00BC521A" w:rsidRDefault="00BC521A" w:rsidP="00D712DC">
      <w:pPr>
        <w:numPr>
          <w:ilvl w:val="0"/>
          <w:numId w:val="193"/>
        </w:numPr>
        <w:spacing w:after="0" w:line="240" w:lineRule="auto"/>
        <w:ind w:left="284" w:hanging="284"/>
        <w:jc w:val="both"/>
        <w:rPr>
          <w:rFonts w:eastAsia="Times New Roman" w:cs="Arial"/>
          <w:lang w:eastAsia="es-CO"/>
        </w:rPr>
      </w:pPr>
      <w:r w:rsidRPr="00BC521A">
        <w:rPr>
          <w:rFonts w:cs="Arial"/>
          <w:b/>
        </w:rPr>
        <w:t xml:space="preserve">Construcción y puesta en marcha de Planes Interinstitucionales: </w:t>
      </w:r>
      <w:r w:rsidRPr="00BC521A">
        <w:rPr>
          <w:rFonts w:cs="Arial"/>
          <w:lang w:val="es-CO"/>
        </w:rPr>
        <w:t>Se llevaron a cabo Planes Interinstitucionales con las siguientes entidades del SNBF:</w:t>
      </w:r>
      <w:r w:rsidRPr="00BC521A">
        <w:rPr>
          <w:rFonts w:eastAsia="Times New Roman" w:cs="Arial"/>
          <w:lang w:eastAsia="es-CO"/>
        </w:rPr>
        <w:t xml:space="preserve"> Ministerio de Educación (10 Regionales priorizadas), Ministerio de Cultura (</w:t>
      </w:r>
      <w:r w:rsidRPr="00BC521A">
        <w:rPr>
          <w:rFonts w:eastAsia="Times New Roman" w:cs="Arial"/>
          <w:lang w:val="es-CO"/>
        </w:rPr>
        <w:t>425 adolescentes y jóvenes beneficiados),</w:t>
      </w:r>
      <w:r w:rsidRPr="00BC521A">
        <w:rPr>
          <w:rFonts w:eastAsia="Times New Roman" w:cs="Arial"/>
          <w:lang w:eastAsia="es-CO"/>
        </w:rPr>
        <w:t xml:space="preserve"> Ministerio de Salud (13 Regionales con Asistencia Técnica), Ministerio de Justicia (</w:t>
      </w:r>
      <w:r w:rsidRPr="00BC521A">
        <w:rPr>
          <w:rFonts w:cs="Arial"/>
        </w:rPr>
        <w:t>Programa de Seguimiento Judicial al Tratamiento de Drogas en el Sistema de Responsabilidad Penal para Adolescentes</w:t>
      </w:r>
      <w:r w:rsidRPr="00BC521A">
        <w:rPr>
          <w:rFonts w:eastAsia="Times New Roman" w:cs="Arial"/>
          <w:lang w:eastAsia="es-CO"/>
        </w:rPr>
        <w:t>), Fiscalía General de la Nación (Plan Piloto en 5 Distritos Judiciales), Policía Nacional (100 Policías capacitados), SENA (51 adolescentes y jóvenes beneficiados) y Escuela Judicial Rodrigo Lara Bonilla (480 profesionales capacitados).</w:t>
      </w:r>
    </w:p>
    <w:p w:rsidR="00BC521A" w:rsidRPr="00BC521A" w:rsidRDefault="00BC521A" w:rsidP="00BC521A">
      <w:pPr>
        <w:spacing w:after="0" w:line="240" w:lineRule="auto"/>
        <w:ind w:left="284" w:hanging="284"/>
        <w:jc w:val="both"/>
        <w:rPr>
          <w:rFonts w:cs="Arial"/>
        </w:rPr>
      </w:pPr>
    </w:p>
    <w:p w:rsidR="00BC521A" w:rsidRPr="00BC521A" w:rsidRDefault="00BC521A" w:rsidP="00D712DC">
      <w:pPr>
        <w:numPr>
          <w:ilvl w:val="0"/>
          <w:numId w:val="193"/>
        </w:numPr>
        <w:spacing w:after="0" w:line="240" w:lineRule="auto"/>
        <w:ind w:left="284" w:hanging="284"/>
        <w:jc w:val="both"/>
        <w:rPr>
          <w:rFonts w:eastAsia="Times New Roman" w:cs="Arial"/>
          <w:lang w:eastAsia="es-CO"/>
        </w:rPr>
      </w:pPr>
      <w:r w:rsidRPr="00BC521A">
        <w:rPr>
          <w:rFonts w:cs="Arial"/>
          <w:b/>
        </w:rPr>
        <w:t xml:space="preserve">Convenios y alianzas estratégicas: </w:t>
      </w:r>
      <w:r w:rsidRPr="00BC521A">
        <w:rPr>
          <w:rFonts w:cs="Arial"/>
          <w:lang w:val="es-CO"/>
        </w:rPr>
        <w:t xml:space="preserve">Se realizaron alianzas estratégicas para el fortalecimiento del Proyecto de Vida los adolescentes y jóvenes del SRPA; </w:t>
      </w:r>
      <w:r w:rsidRPr="00BC521A">
        <w:rPr>
          <w:rFonts w:eastAsia="Times New Roman" w:cs="Arial"/>
          <w:lang w:eastAsia="es-CO"/>
        </w:rPr>
        <w:t>UNODC (300 adolescentes y 633 profesionales beneficiados), Secretaría de Gobierno de Bogotá (250 adolescentes y jóvenes beneficiados), Profamilia (2.664 adolescentes y 972 profesionales beneficiados), Fundación Bolívar Davivienda (270 adolescentes y 220 familiares beneficiados), Fundación Delirio (470 adolescentes y jóvenes beneficiados), Fundación Construyendo Futuro (90 adolescentes y jóvenes beneficiados) y Escuela de Teatro Esquina Latina (315 adolescentes y jóvenes beneficiados).</w:t>
      </w:r>
    </w:p>
    <w:p w:rsidR="00BC521A" w:rsidRPr="00BC521A" w:rsidRDefault="00BC521A" w:rsidP="00BC521A">
      <w:pPr>
        <w:spacing w:after="0" w:line="240" w:lineRule="auto"/>
        <w:ind w:left="284" w:hanging="284"/>
        <w:contextualSpacing/>
        <w:jc w:val="both"/>
        <w:rPr>
          <w:rFonts w:eastAsia="Times New Roman" w:cs="Arial"/>
          <w:lang w:eastAsia="es-CO"/>
        </w:rPr>
      </w:pPr>
    </w:p>
    <w:p w:rsidR="00BC521A" w:rsidRPr="00BC521A" w:rsidRDefault="00BC521A" w:rsidP="00D712DC">
      <w:pPr>
        <w:numPr>
          <w:ilvl w:val="0"/>
          <w:numId w:val="193"/>
        </w:numPr>
        <w:spacing w:after="0" w:line="240" w:lineRule="auto"/>
        <w:ind w:left="284" w:hanging="284"/>
        <w:jc w:val="both"/>
        <w:rPr>
          <w:rFonts w:cs="Arial"/>
          <w:lang w:val="es-CO"/>
        </w:rPr>
      </w:pPr>
      <w:r w:rsidRPr="00BC521A">
        <w:rPr>
          <w:rFonts w:cs="Arial"/>
          <w:b/>
        </w:rPr>
        <w:t xml:space="preserve">Prácticas Restaurativas: </w:t>
      </w:r>
      <w:r w:rsidRPr="00BC521A">
        <w:rPr>
          <w:rFonts w:cs="Arial"/>
          <w:lang w:val="es-CO"/>
        </w:rPr>
        <w:t>Formación presencial a 33 regionales y sus operadores de servicios SRPA en el proceso de implementación de Prácticas Restaurativas de acuerdo al lineamiento de atención “Modelo de Atención Adolescentes y Jóvenes del SRPA” a través de encuentros macro regionales.</w:t>
      </w:r>
    </w:p>
    <w:p w:rsidR="00BC521A" w:rsidRPr="00BC521A" w:rsidRDefault="00BC521A" w:rsidP="00BC521A">
      <w:pPr>
        <w:spacing w:after="0" w:line="240" w:lineRule="auto"/>
        <w:ind w:left="284" w:hanging="284"/>
        <w:contextualSpacing/>
        <w:jc w:val="both"/>
        <w:rPr>
          <w:rFonts w:cs="Arial"/>
          <w:lang w:val="es-CO"/>
        </w:rPr>
      </w:pPr>
    </w:p>
    <w:p w:rsidR="00BC521A" w:rsidRPr="00BC521A" w:rsidRDefault="00BC521A" w:rsidP="00D712DC">
      <w:pPr>
        <w:numPr>
          <w:ilvl w:val="0"/>
          <w:numId w:val="193"/>
        </w:numPr>
        <w:spacing w:after="0" w:line="240" w:lineRule="auto"/>
        <w:ind w:left="284" w:hanging="284"/>
        <w:jc w:val="both"/>
        <w:rPr>
          <w:rFonts w:cs="Arial"/>
          <w:lang w:val="es-CO"/>
        </w:rPr>
      </w:pPr>
      <w:r w:rsidRPr="00BC521A">
        <w:rPr>
          <w:rFonts w:cs="Arial"/>
          <w:b/>
        </w:rPr>
        <w:t xml:space="preserve">Puesta en marcha de una estrategia de vinculación laboral: </w:t>
      </w:r>
      <w:r w:rsidRPr="00BC521A">
        <w:rPr>
          <w:rFonts w:cs="Arial"/>
        </w:rPr>
        <w:t>236 adolescentes y jóvenes del SRPA se encuentran trabajando, 124 de ellos a través de contratos de prestación de servicios, a término fijo o indefinido, o contratos de aprendizaje.</w:t>
      </w:r>
    </w:p>
    <w:p w:rsidR="00BC521A" w:rsidRPr="00BC521A" w:rsidRDefault="00BC521A" w:rsidP="00BC521A">
      <w:pPr>
        <w:spacing w:after="0" w:line="240" w:lineRule="auto"/>
        <w:ind w:left="284" w:hanging="284"/>
        <w:contextualSpacing/>
        <w:jc w:val="both"/>
        <w:rPr>
          <w:rFonts w:cs="Arial"/>
          <w:lang w:val="es-CO"/>
        </w:rPr>
      </w:pPr>
    </w:p>
    <w:p w:rsidR="00BC521A" w:rsidRPr="00BC521A" w:rsidRDefault="00BC521A" w:rsidP="00D712DC">
      <w:pPr>
        <w:numPr>
          <w:ilvl w:val="0"/>
          <w:numId w:val="193"/>
        </w:numPr>
        <w:spacing w:after="0" w:line="240" w:lineRule="auto"/>
        <w:ind w:left="284" w:hanging="284"/>
        <w:jc w:val="both"/>
        <w:rPr>
          <w:rFonts w:cs="Arial"/>
          <w:lang w:val="es-CO"/>
        </w:rPr>
      </w:pPr>
      <w:r w:rsidRPr="00BC521A">
        <w:rPr>
          <w:rFonts w:cs="Arial"/>
          <w:b/>
        </w:rPr>
        <w:lastRenderedPageBreak/>
        <w:t xml:space="preserve">Prevención del Daño Antijurídico: </w:t>
      </w:r>
      <w:r w:rsidRPr="00BC521A">
        <w:rPr>
          <w:rFonts w:cs="Arial"/>
          <w:lang w:val="es-CO"/>
        </w:rPr>
        <w:t xml:space="preserve">Elaboración de 28 planes de acción y 45 informes de seguimiento remitidos por las Regionales y el desarrollo de 3 encuentros macro </w:t>
      </w:r>
      <w:r w:rsidRPr="00BC521A">
        <w:rPr>
          <w:rFonts w:cs="Arial"/>
        </w:rPr>
        <w:t xml:space="preserve">regionales con la participación de operadores pedagógicos en la formación para el manejo y atención en crisis.  </w:t>
      </w:r>
    </w:p>
    <w:p w:rsidR="00BC521A" w:rsidRPr="00BC521A" w:rsidRDefault="00BC521A" w:rsidP="00BC521A">
      <w:pPr>
        <w:spacing w:after="0" w:line="240" w:lineRule="auto"/>
        <w:ind w:left="284" w:hanging="284"/>
        <w:contextualSpacing/>
        <w:jc w:val="both"/>
        <w:rPr>
          <w:rFonts w:cs="Arial"/>
          <w:lang w:val="es-CO"/>
        </w:rPr>
      </w:pPr>
    </w:p>
    <w:p w:rsidR="00BC521A" w:rsidRPr="00BC521A" w:rsidRDefault="00BC521A" w:rsidP="00D712DC">
      <w:pPr>
        <w:numPr>
          <w:ilvl w:val="0"/>
          <w:numId w:val="193"/>
        </w:numPr>
        <w:spacing w:after="0" w:line="240" w:lineRule="auto"/>
        <w:ind w:left="284" w:hanging="284"/>
        <w:jc w:val="both"/>
        <w:rPr>
          <w:rFonts w:cs="Arial"/>
          <w:lang w:val="es-CO"/>
        </w:rPr>
      </w:pPr>
      <w:r w:rsidRPr="00BC521A">
        <w:rPr>
          <w:rFonts w:cs="Arial"/>
          <w:b/>
        </w:rPr>
        <w:t xml:space="preserve">Comisión verificadora de Derechos Humanos: </w:t>
      </w:r>
      <w:r w:rsidRPr="00BC521A">
        <w:rPr>
          <w:rFonts w:cs="Arial"/>
        </w:rPr>
        <w:t>Visitas de seguimiento en terreno a las unidades de servicio privativas de libertad de las ciudades de Bucaramanga, Arauca, Pereira, Cali, Cartagena, Cúcuta, Pasto, y Medellín. Se consolidaron los informes respectivos para que cada Regional elabore el plan de acción de acuerdo a las situaciones evidenciadas y que requieren de intervención.</w:t>
      </w:r>
    </w:p>
    <w:p w:rsidR="00BC521A" w:rsidRPr="00BC521A" w:rsidRDefault="00BC521A" w:rsidP="00BC521A">
      <w:pPr>
        <w:spacing w:after="0" w:line="240" w:lineRule="auto"/>
        <w:ind w:left="284" w:hanging="284"/>
        <w:contextualSpacing/>
        <w:jc w:val="both"/>
        <w:rPr>
          <w:rFonts w:cs="Arial"/>
          <w:lang w:val="es-CO"/>
        </w:rPr>
      </w:pPr>
    </w:p>
    <w:p w:rsidR="00BC521A" w:rsidRPr="00BC521A" w:rsidRDefault="00BC521A" w:rsidP="00D712DC">
      <w:pPr>
        <w:numPr>
          <w:ilvl w:val="0"/>
          <w:numId w:val="193"/>
        </w:numPr>
        <w:spacing w:after="0" w:line="240" w:lineRule="auto"/>
        <w:ind w:left="284" w:hanging="284"/>
        <w:jc w:val="both"/>
        <w:rPr>
          <w:rFonts w:cs="Arial"/>
        </w:rPr>
      </w:pPr>
      <w:r w:rsidRPr="00BC521A">
        <w:rPr>
          <w:rFonts w:cs="Arial"/>
          <w:b/>
        </w:rPr>
        <w:t xml:space="preserve">Revisión de los resultados de la prueba Merani y aplicación de los mismos: </w:t>
      </w:r>
      <w:r w:rsidRPr="00BC521A">
        <w:rPr>
          <w:rFonts w:cs="Arial"/>
        </w:rPr>
        <w:t>7.580 pruebas registradas en 30 Regionales.</w:t>
      </w:r>
    </w:p>
    <w:p w:rsidR="00BC521A" w:rsidRPr="00BC521A" w:rsidRDefault="00BC521A" w:rsidP="00BC521A">
      <w:pPr>
        <w:spacing w:after="0" w:line="240" w:lineRule="auto"/>
        <w:ind w:left="284" w:hanging="284"/>
        <w:jc w:val="both"/>
        <w:rPr>
          <w:rFonts w:cs="Arial"/>
        </w:rPr>
      </w:pPr>
    </w:p>
    <w:p w:rsidR="00BC521A" w:rsidRPr="00BC521A" w:rsidRDefault="00BC521A" w:rsidP="00D712DC">
      <w:pPr>
        <w:numPr>
          <w:ilvl w:val="0"/>
          <w:numId w:val="193"/>
        </w:numPr>
        <w:spacing w:after="0" w:line="240" w:lineRule="auto"/>
        <w:ind w:left="284" w:hanging="284"/>
        <w:jc w:val="both"/>
        <w:rPr>
          <w:rFonts w:cs="Arial"/>
        </w:rPr>
      </w:pPr>
      <w:r w:rsidRPr="00BC521A">
        <w:rPr>
          <w:rFonts w:cs="Arial"/>
          <w:b/>
        </w:rPr>
        <w:t xml:space="preserve">Acciones realizadas en el marco del Plan de Infraestructura 2016: </w:t>
      </w:r>
      <w:r w:rsidRPr="00BC521A">
        <w:rPr>
          <w:rFonts w:cs="Arial"/>
        </w:rPr>
        <w:t>Se firmó el Contrato Interadministrativo No. 1564 de 2016 con FINDETER, con el fin de realizar las adecuaciones, mantenimientos y obras priorizadas por el ICBF en el Plan de Infraestructura 2016 (6 adecuaciones, 1 terminación de CAE y 2 estudios y diseños).</w:t>
      </w:r>
    </w:p>
    <w:p w:rsidR="00BC521A" w:rsidRPr="00BC521A" w:rsidRDefault="00BC521A" w:rsidP="00BC521A">
      <w:pPr>
        <w:spacing w:after="0" w:line="240" w:lineRule="auto"/>
        <w:ind w:left="284" w:hanging="284"/>
        <w:jc w:val="both"/>
        <w:rPr>
          <w:rFonts w:cs="Arial"/>
        </w:rPr>
      </w:pPr>
    </w:p>
    <w:p w:rsidR="00BC521A" w:rsidRDefault="00BC521A" w:rsidP="00D712DC">
      <w:pPr>
        <w:numPr>
          <w:ilvl w:val="0"/>
          <w:numId w:val="193"/>
        </w:numPr>
        <w:spacing w:after="0" w:line="240" w:lineRule="auto"/>
        <w:ind w:left="284" w:hanging="284"/>
        <w:jc w:val="both"/>
        <w:rPr>
          <w:rFonts w:cs="Arial"/>
        </w:rPr>
      </w:pPr>
      <w:r w:rsidRPr="00BC521A">
        <w:rPr>
          <w:rFonts w:cs="Arial"/>
          <w:b/>
        </w:rPr>
        <w:t xml:space="preserve">Construcción del Conpes: </w:t>
      </w:r>
      <w:r w:rsidRPr="00BC521A">
        <w:rPr>
          <w:rFonts w:cs="Arial"/>
        </w:rPr>
        <w:t>El Ministerio de Justicia y del Derecho con el apoyo metodológico de la Dirección de Justicia, Seguridad y Gobierno del DNP, adelanta el proceso de construcción del Conpes de Política de Prevención de la Delincuencia en Adolescentes y Jóvenes con la participación del ICBF y 25 instituciones más. Actualmente, el documento se encuentra en estudio por el DNP para su posterior aprobación por el gobierno nacional.</w:t>
      </w:r>
    </w:p>
    <w:p w:rsidR="00985DD9" w:rsidRPr="00BC521A" w:rsidRDefault="00985DD9" w:rsidP="00985DD9">
      <w:pPr>
        <w:spacing w:after="0" w:line="240" w:lineRule="auto"/>
        <w:jc w:val="both"/>
        <w:rPr>
          <w:rFonts w:cs="Arial"/>
        </w:rPr>
      </w:pPr>
    </w:p>
    <w:p w:rsidR="00817E2C" w:rsidRDefault="00817E2C" w:rsidP="00817E2C">
      <w:pPr>
        <w:spacing w:after="0" w:line="240" w:lineRule="auto"/>
        <w:rPr>
          <w:rFonts w:cs="Arial"/>
        </w:rPr>
      </w:pPr>
    </w:p>
    <w:p w:rsidR="00817E2C" w:rsidRPr="00D20970" w:rsidRDefault="00817E2C" w:rsidP="007342CF">
      <w:pPr>
        <w:pStyle w:val="Prrafodelista"/>
        <w:keepNext/>
        <w:keepLines/>
        <w:numPr>
          <w:ilvl w:val="2"/>
          <w:numId w:val="242"/>
        </w:numPr>
        <w:spacing w:after="0" w:line="240" w:lineRule="auto"/>
        <w:outlineLvl w:val="1"/>
        <w:rPr>
          <w:rFonts w:eastAsiaTheme="majorEastAsia" w:cs="Arial"/>
          <w:b/>
        </w:rPr>
      </w:pPr>
      <w:bookmarkStart w:id="127" w:name="_Toc473581430"/>
      <w:r w:rsidRPr="00D20970">
        <w:rPr>
          <w:rFonts w:eastAsia="Times New Roman" w:cs="Arial"/>
          <w:b/>
          <w:bCs/>
          <w:kern w:val="32"/>
        </w:rPr>
        <w:t>Adopciones</w:t>
      </w:r>
      <w:bookmarkEnd w:id="127"/>
      <w:r w:rsidRPr="00D20970">
        <w:rPr>
          <w:rFonts w:eastAsia="Times New Roman" w:cs="Arial"/>
          <w:b/>
          <w:bCs/>
          <w:kern w:val="32"/>
        </w:rPr>
        <w:t xml:space="preserve"> </w:t>
      </w:r>
    </w:p>
    <w:p w:rsidR="00817E2C" w:rsidRDefault="00817E2C" w:rsidP="00817E2C">
      <w:pPr>
        <w:spacing w:after="0" w:line="240" w:lineRule="auto"/>
        <w:jc w:val="both"/>
        <w:rPr>
          <w:rFonts w:cs="Arial"/>
        </w:rPr>
      </w:pPr>
    </w:p>
    <w:p w:rsidR="00BC521A" w:rsidRPr="00BC521A" w:rsidRDefault="00BC521A" w:rsidP="00BC521A">
      <w:pPr>
        <w:spacing w:after="0" w:line="240" w:lineRule="auto"/>
        <w:jc w:val="both"/>
        <w:rPr>
          <w:rFonts w:cs="Arial"/>
          <w:lang w:val="es-CO"/>
        </w:rPr>
      </w:pPr>
      <w:r w:rsidRPr="00BC521A">
        <w:rPr>
          <w:rFonts w:cs="Arial"/>
          <w:lang w:val="es-CO"/>
        </w:rPr>
        <w:t xml:space="preserve">Se expidió el </w:t>
      </w:r>
      <w:r w:rsidRPr="00BC521A">
        <w:rPr>
          <w:rFonts w:cs="Arial"/>
        </w:rPr>
        <w:t>Lineamiento Técnico Administrativo del Programa de Adopción acorde a la normatividad vigente y finalidades de la adopción. Con la aprobación de este lineamiento,</w:t>
      </w:r>
      <w:r w:rsidRPr="00BC521A">
        <w:rPr>
          <w:rFonts w:cs="Arial"/>
          <w:lang w:val="es-CO"/>
        </w:rPr>
        <w:t xml:space="preserve"> se dio inició al ciclo de capacitaciones a los Servidores Públicos y colaboradores del ICBF entre los meses de mayo y agosto. </w:t>
      </w:r>
    </w:p>
    <w:p w:rsidR="00BC521A" w:rsidRPr="00BC521A" w:rsidRDefault="00BC521A" w:rsidP="00BC521A">
      <w:pPr>
        <w:spacing w:after="0" w:line="240" w:lineRule="auto"/>
        <w:jc w:val="both"/>
        <w:rPr>
          <w:rFonts w:cs="Arial"/>
          <w:lang w:val="es-CO"/>
        </w:rPr>
      </w:pPr>
    </w:p>
    <w:p w:rsidR="00BC521A" w:rsidRPr="00BC521A" w:rsidRDefault="00BC521A" w:rsidP="00BC521A">
      <w:pPr>
        <w:spacing w:after="0" w:line="240" w:lineRule="auto"/>
        <w:jc w:val="both"/>
        <w:rPr>
          <w:rFonts w:cs="Arial"/>
          <w:lang w:val="es-CO"/>
        </w:rPr>
      </w:pPr>
      <w:r w:rsidRPr="00BC521A">
        <w:rPr>
          <w:rFonts w:cs="Arial"/>
          <w:lang w:val="es-CO"/>
        </w:rPr>
        <w:t>Se adelantaron en total once (11) sesiones con la participación de setecientos veinte (720) servidores y colaboradores del ICBF así: cinco (5) socializaciones con un total de quinientos cincuenta y cinco (555) asistentes pertenecientes a los miembros que integran las Defensorías de Familia del ICBF (Defensor de Familia, psicólogos y trabajadores sociales) de las treinta y tres (33) regionales ICBF del país; una (1) socialización dirigida a los treinta y tres (33) Secretarios Comités de Adopciones Regionales</w:t>
      </w:r>
      <w:r w:rsidRPr="00BC521A">
        <w:rPr>
          <w:rFonts w:cs="Arial"/>
          <w:vertAlign w:val="superscript"/>
          <w:lang w:val="es-CO"/>
        </w:rPr>
        <w:footnoteReference w:id="34"/>
      </w:r>
      <w:r w:rsidRPr="00BC521A">
        <w:rPr>
          <w:rFonts w:cs="Arial"/>
          <w:lang w:val="es-CO"/>
        </w:rPr>
        <w:t xml:space="preserve"> ICBF; cinco (5) eventos de capacitación dirigida a ciento treinta y dos (132) profesionales integrantes de los Comités de Adopciones Regionales (Director Regional, Secretario Comité de Adopciones, trabajadores sociales y psicólogos, quienes por ley integran la instancia). </w:t>
      </w:r>
    </w:p>
    <w:p w:rsidR="00BC521A" w:rsidRPr="00BC521A" w:rsidRDefault="00BC521A" w:rsidP="00BC521A">
      <w:pPr>
        <w:spacing w:after="0" w:line="240" w:lineRule="auto"/>
        <w:jc w:val="both"/>
        <w:rPr>
          <w:rFonts w:cs="Arial"/>
          <w:lang w:val="es-CO"/>
        </w:rPr>
      </w:pPr>
    </w:p>
    <w:p w:rsidR="00BC521A" w:rsidRPr="00BC521A" w:rsidRDefault="00BC521A" w:rsidP="00BC521A">
      <w:pPr>
        <w:spacing w:after="0" w:line="240" w:lineRule="auto"/>
        <w:contextualSpacing/>
        <w:jc w:val="both"/>
        <w:rPr>
          <w:rFonts w:cs="Arial"/>
          <w:spacing w:val="-4"/>
        </w:rPr>
      </w:pPr>
      <w:r w:rsidRPr="00BC521A">
        <w:rPr>
          <w:rFonts w:cs="Arial"/>
          <w:spacing w:val="-4"/>
        </w:rPr>
        <w:lastRenderedPageBreak/>
        <w:t xml:space="preserve">A través de las iniciativas: Vacaciones en el Extranjero, Súper Amigos, Valoración de niños, niñas y adolescentes, y Restaurando Vidas, Construimos Futuro, como alternativas de búsqueda activa, se posibilita la adopción de niños, niñas y adolescentes con características y necesidades especiales. </w:t>
      </w:r>
    </w:p>
    <w:p w:rsidR="00BC521A" w:rsidRPr="00BC521A" w:rsidRDefault="00BC521A" w:rsidP="00BC521A">
      <w:pPr>
        <w:spacing w:after="0" w:line="240" w:lineRule="auto"/>
        <w:contextualSpacing/>
        <w:jc w:val="both"/>
        <w:rPr>
          <w:rFonts w:cs="Arial"/>
          <w:spacing w:val="-4"/>
        </w:rPr>
      </w:pPr>
    </w:p>
    <w:p w:rsidR="00BC521A" w:rsidRPr="00BC521A" w:rsidRDefault="00BC521A" w:rsidP="00BC521A">
      <w:pPr>
        <w:spacing w:after="0" w:line="240" w:lineRule="auto"/>
        <w:jc w:val="both"/>
        <w:rPr>
          <w:rFonts w:cs="Arial"/>
        </w:rPr>
      </w:pPr>
      <w:r w:rsidRPr="00BC521A">
        <w:rPr>
          <w:rFonts w:cs="Arial"/>
        </w:rPr>
        <w:t>Así, a diciembre 9 de 2016 se ha restablecido el derecho a tener una familia a 1.098 niños, niñas y adolescentes, 49% de ellos con características y necesidades especiales, un 9% más que el año anterior.</w:t>
      </w:r>
    </w:p>
    <w:p w:rsidR="00BC521A" w:rsidRPr="00BC521A" w:rsidRDefault="00BC521A" w:rsidP="00BC521A">
      <w:pPr>
        <w:spacing w:after="0" w:line="240" w:lineRule="auto"/>
        <w:contextualSpacing/>
        <w:jc w:val="both"/>
        <w:rPr>
          <w:rFonts w:cs="Arial"/>
        </w:rPr>
      </w:pPr>
    </w:p>
    <w:tbl>
      <w:tblPr>
        <w:tblW w:w="7485"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681"/>
        <w:gridCol w:w="1853"/>
        <w:gridCol w:w="1951"/>
      </w:tblGrid>
      <w:tr w:rsidR="00BC521A" w:rsidRPr="00BC521A" w:rsidTr="00582042">
        <w:trPr>
          <w:trHeight w:val="529"/>
          <w:jc w:val="center"/>
        </w:trPr>
        <w:tc>
          <w:tcPr>
            <w:tcW w:w="3681" w:type="dxa"/>
            <w:shd w:val="clear" w:color="auto" w:fill="76923C" w:themeFill="accent3" w:themeFillShade="BF"/>
            <w:vAlign w:val="center"/>
            <w:hideMark/>
          </w:tcPr>
          <w:p w:rsidR="00BC521A" w:rsidRPr="00B164A9" w:rsidRDefault="00BC521A" w:rsidP="00BC521A">
            <w:pPr>
              <w:spacing w:after="0" w:line="240" w:lineRule="auto"/>
              <w:jc w:val="center"/>
              <w:rPr>
                <w:rFonts w:ascii="Calibri" w:eastAsia="Times New Roman" w:hAnsi="Calibri"/>
                <w:b/>
                <w:bCs/>
                <w:color w:val="FFFFFF" w:themeColor="background1"/>
                <w:sz w:val="18"/>
                <w:szCs w:val="20"/>
                <w:lang w:val="es-CO" w:eastAsia="es-CO"/>
              </w:rPr>
            </w:pPr>
            <w:r w:rsidRPr="00B164A9">
              <w:rPr>
                <w:rFonts w:ascii="Calibri" w:eastAsia="Times New Roman" w:hAnsi="Calibri" w:cs="Arial"/>
                <w:b/>
                <w:bCs/>
                <w:color w:val="FFFFFF" w:themeColor="background1"/>
                <w:sz w:val="18"/>
                <w:szCs w:val="20"/>
                <w:lang w:val="es-CO" w:eastAsia="es-CO"/>
              </w:rPr>
              <w:t>Nombre</w:t>
            </w:r>
          </w:p>
        </w:tc>
        <w:tc>
          <w:tcPr>
            <w:tcW w:w="1853" w:type="dxa"/>
            <w:shd w:val="clear" w:color="auto" w:fill="76923C" w:themeFill="accent3" w:themeFillShade="BF"/>
            <w:vAlign w:val="center"/>
            <w:hideMark/>
          </w:tcPr>
          <w:p w:rsidR="00BC521A" w:rsidRPr="00B164A9" w:rsidRDefault="00BC521A" w:rsidP="00BC521A">
            <w:pPr>
              <w:spacing w:after="0" w:line="240" w:lineRule="auto"/>
              <w:jc w:val="center"/>
              <w:rPr>
                <w:rFonts w:ascii="Calibri" w:eastAsia="Times New Roman" w:hAnsi="Calibri"/>
                <w:b/>
                <w:bCs/>
                <w:color w:val="FFFFFF" w:themeColor="background1"/>
                <w:sz w:val="18"/>
                <w:szCs w:val="20"/>
                <w:lang w:val="es-CO" w:eastAsia="es-CO"/>
              </w:rPr>
            </w:pPr>
            <w:r w:rsidRPr="00B164A9">
              <w:rPr>
                <w:rFonts w:ascii="Calibri" w:eastAsia="Times New Roman" w:hAnsi="Calibri" w:cs="Arial"/>
                <w:b/>
                <w:bCs/>
                <w:color w:val="FFFFFF" w:themeColor="background1"/>
                <w:sz w:val="18"/>
                <w:szCs w:val="20"/>
                <w:lang w:val="es-CO" w:eastAsia="es-CO"/>
              </w:rPr>
              <w:t>Programación vigente</w:t>
            </w:r>
          </w:p>
        </w:tc>
        <w:tc>
          <w:tcPr>
            <w:tcW w:w="1951" w:type="dxa"/>
            <w:shd w:val="clear" w:color="auto" w:fill="76923C" w:themeFill="accent3" w:themeFillShade="BF"/>
            <w:vAlign w:val="center"/>
            <w:hideMark/>
          </w:tcPr>
          <w:p w:rsidR="00BC521A" w:rsidRPr="00B164A9" w:rsidRDefault="00BC521A" w:rsidP="00BC521A">
            <w:pPr>
              <w:spacing w:after="0" w:line="240" w:lineRule="auto"/>
              <w:jc w:val="center"/>
              <w:rPr>
                <w:rFonts w:ascii="Calibri" w:eastAsia="Times New Roman" w:hAnsi="Calibri"/>
                <w:b/>
                <w:bCs/>
                <w:color w:val="FFFFFF" w:themeColor="background1"/>
                <w:sz w:val="18"/>
                <w:szCs w:val="20"/>
                <w:lang w:val="es-CO" w:eastAsia="es-CO"/>
              </w:rPr>
            </w:pPr>
            <w:r w:rsidRPr="00B164A9">
              <w:rPr>
                <w:rFonts w:ascii="Calibri" w:eastAsia="Times New Roman" w:hAnsi="Calibri" w:cs="Arial"/>
                <w:b/>
                <w:bCs/>
                <w:color w:val="FFFFFF" w:themeColor="background1"/>
                <w:sz w:val="18"/>
                <w:szCs w:val="20"/>
                <w:lang w:val="es-CO" w:eastAsia="es-CO"/>
              </w:rPr>
              <w:t>Reporte ejecución</w:t>
            </w:r>
          </w:p>
        </w:tc>
      </w:tr>
      <w:tr w:rsidR="00BC521A" w:rsidRPr="00BC521A" w:rsidTr="00582042">
        <w:trPr>
          <w:trHeight w:val="576"/>
          <w:jc w:val="center"/>
        </w:trPr>
        <w:tc>
          <w:tcPr>
            <w:tcW w:w="3681" w:type="dxa"/>
            <w:shd w:val="clear" w:color="auto" w:fill="auto"/>
            <w:noWrap/>
            <w:vAlign w:val="center"/>
            <w:hideMark/>
          </w:tcPr>
          <w:p w:rsidR="00BC521A" w:rsidRPr="00BC521A" w:rsidRDefault="00BC521A" w:rsidP="00BC521A">
            <w:pPr>
              <w:spacing w:after="0" w:line="240" w:lineRule="auto"/>
              <w:rPr>
                <w:rFonts w:eastAsia="Times New Roman" w:cs="Arial"/>
                <w:color w:val="000000"/>
                <w:sz w:val="18"/>
                <w:lang w:val="es-CO" w:eastAsia="es-CO"/>
              </w:rPr>
            </w:pPr>
            <w:r w:rsidRPr="00BC521A">
              <w:rPr>
                <w:rFonts w:eastAsia="Times New Roman" w:cs="Arial"/>
                <w:color w:val="000000"/>
                <w:sz w:val="18"/>
                <w:lang w:eastAsia="es-CO"/>
              </w:rPr>
              <w:t>Acciones para referentes afectivos</w:t>
            </w:r>
          </w:p>
        </w:tc>
        <w:tc>
          <w:tcPr>
            <w:tcW w:w="1853" w:type="dxa"/>
            <w:shd w:val="clear" w:color="auto" w:fill="auto"/>
            <w:vAlign w:val="center"/>
            <w:hideMark/>
          </w:tcPr>
          <w:p w:rsidR="00BC521A" w:rsidRPr="00BC521A" w:rsidRDefault="00BC521A" w:rsidP="00BC521A">
            <w:pPr>
              <w:spacing w:after="0" w:line="240" w:lineRule="auto"/>
              <w:jc w:val="center"/>
              <w:rPr>
                <w:rFonts w:ascii="Calibri" w:eastAsia="Times New Roman" w:hAnsi="Calibri"/>
                <w:color w:val="000000"/>
                <w:sz w:val="18"/>
                <w:szCs w:val="20"/>
                <w:lang w:val="es-CO" w:eastAsia="es-CO"/>
              </w:rPr>
            </w:pPr>
            <w:r w:rsidRPr="00BC521A">
              <w:rPr>
                <w:rFonts w:ascii="Calibri" w:eastAsia="Times New Roman" w:hAnsi="Calibri" w:cs="Arial"/>
                <w:color w:val="000000"/>
                <w:sz w:val="18"/>
                <w:szCs w:val="20"/>
                <w:lang w:eastAsia="es-CO"/>
              </w:rPr>
              <w:t xml:space="preserve">  1.528.114.847 </w:t>
            </w:r>
          </w:p>
        </w:tc>
        <w:tc>
          <w:tcPr>
            <w:tcW w:w="1951" w:type="dxa"/>
            <w:shd w:val="clear" w:color="auto" w:fill="auto"/>
            <w:vAlign w:val="center"/>
            <w:hideMark/>
          </w:tcPr>
          <w:p w:rsidR="00BC521A" w:rsidRPr="00BC521A" w:rsidRDefault="00BC521A" w:rsidP="00582042">
            <w:pPr>
              <w:spacing w:after="0" w:line="240" w:lineRule="auto"/>
              <w:rPr>
                <w:rFonts w:ascii="Calibri" w:eastAsia="Times New Roman" w:hAnsi="Calibri"/>
                <w:color w:val="000000"/>
                <w:sz w:val="18"/>
                <w:szCs w:val="20"/>
                <w:lang w:val="es-CO" w:eastAsia="es-CO"/>
              </w:rPr>
            </w:pPr>
            <w:r w:rsidRPr="00BC521A">
              <w:rPr>
                <w:rFonts w:ascii="Calibri" w:eastAsia="Times New Roman" w:hAnsi="Calibri"/>
                <w:color w:val="000000"/>
                <w:sz w:val="18"/>
                <w:szCs w:val="20"/>
                <w:lang w:val="es-CO" w:eastAsia="es-CO"/>
              </w:rPr>
              <w:t xml:space="preserve">     1.403.743.883 </w:t>
            </w:r>
          </w:p>
        </w:tc>
      </w:tr>
    </w:tbl>
    <w:p w:rsidR="00582042" w:rsidRDefault="00582042" w:rsidP="00BC521A">
      <w:pPr>
        <w:spacing w:after="0" w:line="240" w:lineRule="auto"/>
        <w:contextualSpacing/>
        <w:jc w:val="both"/>
        <w:rPr>
          <w:rFonts w:eastAsia="Times New Roman" w:cs="Arial"/>
          <w:color w:val="000000"/>
          <w:sz w:val="16"/>
          <w:szCs w:val="16"/>
          <w:lang w:val="es-CO" w:eastAsia="es-CO"/>
        </w:rPr>
      </w:pPr>
      <w:r>
        <w:rPr>
          <w:rFonts w:cs="Arial"/>
        </w:rPr>
        <w:t xml:space="preserve">                </w:t>
      </w:r>
      <w:r w:rsidR="00006807">
        <w:rPr>
          <w:rFonts w:eastAsia="Times New Roman" w:cs="Arial"/>
          <w:b/>
          <w:color w:val="000000"/>
          <w:sz w:val="16"/>
          <w:szCs w:val="16"/>
          <w:lang w:val="es-CO" w:eastAsia="es-CO"/>
        </w:rPr>
        <w:t>Fuente</w:t>
      </w:r>
      <w:r w:rsidRPr="00582042">
        <w:rPr>
          <w:rFonts w:eastAsia="Times New Roman" w:cs="Arial"/>
          <w:b/>
          <w:color w:val="000000"/>
          <w:sz w:val="16"/>
          <w:szCs w:val="16"/>
          <w:lang w:val="es-CO" w:eastAsia="es-CO"/>
        </w:rPr>
        <w:t>:</w:t>
      </w:r>
      <w:r w:rsidRPr="00582042">
        <w:rPr>
          <w:rFonts w:eastAsia="Times New Roman" w:cs="Arial"/>
          <w:color w:val="000000"/>
          <w:sz w:val="16"/>
          <w:szCs w:val="16"/>
          <w:lang w:val="es-CO" w:eastAsia="es-CO"/>
        </w:rPr>
        <w:t xml:space="preserve"> SIIF NACIÓN 2</w:t>
      </w:r>
    </w:p>
    <w:p w:rsidR="00217275" w:rsidRPr="00D21160" w:rsidRDefault="00217275" w:rsidP="00217275">
      <w:pPr>
        <w:rPr>
          <w:rFonts w:ascii="Calibri" w:hAnsi="Calibri"/>
          <w:i/>
          <w:iCs/>
          <w:sz w:val="16"/>
          <w:lang w:val="es-CO"/>
        </w:rPr>
      </w:pPr>
      <w:r>
        <w:rPr>
          <w:rFonts w:eastAsia="Times New Roman" w:cs="Arial"/>
          <w:color w:val="000000"/>
          <w:sz w:val="16"/>
          <w:szCs w:val="16"/>
          <w:lang w:val="es-CO" w:eastAsia="es-CO"/>
        </w:rPr>
        <w:tab/>
        <w:t xml:space="preserve">      </w:t>
      </w:r>
      <w:r w:rsidRPr="00D21160">
        <w:rPr>
          <w:i/>
          <w:iCs/>
          <w:sz w:val="16"/>
        </w:rPr>
        <w:t>Nota: Información preliminar, sujeta a actualización del cierre oficial de metas sociales y financieras.</w:t>
      </w:r>
    </w:p>
    <w:p w:rsidR="00BC521A" w:rsidRPr="00C43651" w:rsidRDefault="00BC521A" w:rsidP="00EE3297">
      <w:pPr>
        <w:ind w:firstLine="708"/>
        <w:rPr>
          <w:rFonts w:eastAsiaTheme="majorEastAsia"/>
          <w:b/>
        </w:rPr>
      </w:pPr>
      <w:bookmarkStart w:id="128" w:name="_Toc472519300"/>
      <w:r w:rsidRPr="00C43651">
        <w:rPr>
          <w:rFonts w:eastAsiaTheme="majorEastAsia"/>
          <w:b/>
        </w:rPr>
        <w:t>Vacaciones en el extranjero</w:t>
      </w:r>
      <w:bookmarkEnd w:id="128"/>
    </w:p>
    <w:p w:rsidR="00BC521A" w:rsidRPr="00BC521A" w:rsidRDefault="00BC521A" w:rsidP="00BC521A">
      <w:pPr>
        <w:spacing w:after="0" w:line="240" w:lineRule="auto"/>
        <w:contextualSpacing/>
        <w:jc w:val="both"/>
        <w:rPr>
          <w:rFonts w:cs="Arial"/>
          <w:spacing w:val="-4"/>
        </w:rPr>
      </w:pPr>
      <w:r w:rsidRPr="00BC521A">
        <w:rPr>
          <w:rFonts w:cs="Arial"/>
          <w:spacing w:val="-4"/>
        </w:rPr>
        <w:t>Adicional el Lineamiento Técnico Administrativo del Programa de Adopciones de marzo de 2016, se  establecen dos nuevas estrategias que inicialmente fueron programas piloto, como son las estrategias «vacaciones en Colombia» que inició en el año 2014, en donde las familias extranjeras viajan a Colombia a pasar un periodo de vacaciones con los niños, niñas y adolescentes y la estrategia de «Acogimiento Sociofamiliar» que inició en el año 2013, en la cual los niños, niñas y adolescentes viajan al exterior a participar en un campamento.</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rPr>
      </w:pPr>
      <w:r w:rsidRPr="00BC521A">
        <w:rPr>
          <w:rFonts w:cs="Arial"/>
        </w:rPr>
        <w:t>En el año 2016 han viajado 74 niños, niñas y adolescentes, en este mismo año 41 niños han sido adoptados en el marco de esta iniciativa.</w:t>
      </w:r>
    </w:p>
    <w:p w:rsidR="00BC521A" w:rsidRPr="00BC521A" w:rsidRDefault="00BC521A" w:rsidP="00BC521A">
      <w:pPr>
        <w:spacing w:after="0" w:line="240" w:lineRule="auto"/>
        <w:jc w:val="both"/>
        <w:rPr>
          <w:rFonts w:cs="Arial"/>
        </w:rPr>
      </w:pPr>
    </w:p>
    <w:tbl>
      <w:tblPr>
        <w:tblW w:w="706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92"/>
        <w:gridCol w:w="1828"/>
        <w:gridCol w:w="1840"/>
      </w:tblGrid>
      <w:tr w:rsidR="00BC521A" w:rsidRPr="00BC521A" w:rsidTr="00582042">
        <w:trPr>
          <w:trHeight w:val="525"/>
          <w:jc w:val="center"/>
        </w:trPr>
        <w:tc>
          <w:tcPr>
            <w:tcW w:w="3392" w:type="dxa"/>
            <w:shd w:val="clear" w:color="auto" w:fill="76923C" w:themeFill="accent3" w:themeFillShade="BF"/>
            <w:vAlign w:val="center"/>
            <w:hideMark/>
          </w:tcPr>
          <w:p w:rsidR="00BC521A" w:rsidRPr="00582042" w:rsidRDefault="00BC521A" w:rsidP="00BC521A">
            <w:pPr>
              <w:spacing w:after="0" w:line="240" w:lineRule="auto"/>
              <w:jc w:val="center"/>
              <w:rPr>
                <w:rFonts w:eastAsia="Times New Roman" w:cs="Arial"/>
                <w:b/>
                <w:bCs/>
                <w:color w:val="FFFFFF" w:themeColor="background1"/>
                <w:sz w:val="18"/>
                <w:szCs w:val="20"/>
                <w:lang w:val="es-CO" w:eastAsia="es-CO"/>
              </w:rPr>
            </w:pPr>
            <w:r w:rsidRPr="00582042">
              <w:rPr>
                <w:rFonts w:eastAsia="Times New Roman" w:cs="Arial"/>
                <w:b/>
                <w:bCs/>
                <w:color w:val="FFFFFF" w:themeColor="background1"/>
                <w:sz w:val="18"/>
                <w:szCs w:val="20"/>
                <w:lang w:val="es-CO" w:eastAsia="es-CO"/>
              </w:rPr>
              <w:t>Nombre</w:t>
            </w:r>
          </w:p>
        </w:tc>
        <w:tc>
          <w:tcPr>
            <w:tcW w:w="1828" w:type="dxa"/>
            <w:shd w:val="clear" w:color="auto" w:fill="76923C" w:themeFill="accent3" w:themeFillShade="BF"/>
            <w:vAlign w:val="center"/>
            <w:hideMark/>
          </w:tcPr>
          <w:p w:rsidR="00BC521A" w:rsidRPr="00582042" w:rsidRDefault="00BC521A" w:rsidP="00BC521A">
            <w:pPr>
              <w:spacing w:after="0" w:line="240" w:lineRule="auto"/>
              <w:jc w:val="center"/>
              <w:rPr>
                <w:rFonts w:eastAsia="Times New Roman" w:cs="Arial"/>
                <w:b/>
                <w:bCs/>
                <w:color w:val="FFFFFF" w:themeColor="background1"/>
                <w:sz w:val="18"/>
                <w:szCs w:val="20"/>
                <w:lang w:val="es-CO" w:eastAsia="es-CO"/>
              </w:rPr>
            </w:pPr>
            <w:r w:rsidRPr="00582042">
              <w:rPr>
                <w:rFonts w:eastAsia="Times New Roman" w:cs="Arial"/>
                <w:b/>
                <w:bCs/>
                <w:color w:val="FFFFFF" w:themeColor="background1"/>
                <w:sz w:val="18"/>
                <w:szCs w:val="20"/>
                <w:lang w:val="es-CO" w:eastAsia="es-CO"/>
              </w:rPr>
              <w:t>Programación vigente</w:t>
            </w:r>
          </w:p>
        </w:tc>
        <w:tc>
          <w:tcPr>
            <w:tcW w:w="1840" w:type="dxa"/>
            <w:shd w:val="clear" w:color="auto" w:fill="76923C" w:themeFill="accent3" w:themeFillShade="BF"/>
            <w:vAlign w:val="center"/>
            <w:hideMark/>
          </w:tcPr>
          <w:p w:rsidR="00BC521A" w:rsidRPr="00582042" w:rsidRDefault="003A5EB9" w:rsidP="00BC521A">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Reporte E</w:t>
            </w:r>
            <w:r w:rsidR="00BC521A" w:rsidRPr="00582042">
              <w:rPr>
                <w:rFonts w:eastAsia="Times New Roman" w:cs="Arial"/>
                <w:b/>
                <w:bCs/>
                <w:color w:val="FFFFFF" w:themeColor="background1"/>
                <w:sz w:val="18"/>
                <w:szCs w:val="20"/>
                <w:lang w:val="es-CO" w:eastAsia="es-CO"/>
              </w:rPr>
              <w:t>jecución</w:t>
            </w:r>
          </w:p>
        </w:tc>
      </w:tr>
      <w:tr w:rsidR="00BC521A" w:rsidRPr="00BC521A" w:rsidTr="00582042">
        <w:trPr>
          <w:trHeight w:val="625"/>
          <w:jc w:val="center"/>
        </w:trPr>
        <w:tc>
          <w:tcPr>
            <w:tcW w:w="3392" w:type="dxa"/>
            <w:shd w:val="clear" w:color="auto" w:fill="auto"/>
            <w:noWrap/>
            <w:vAlign w:val="center"/>
            <w:hideMark/>
          </w:tcPr>
          <w:p w:rsidR="00BC521A" w:rsidRPr="00582042" w:rsidRDefault="00BC521A" w:rsidP="00BC521A">
            <w:pPr>
              <w:spacing w:after="0" w:line="240" w:lineRule="auto"/>
              <w:rPr>
                <w:rFonts w:eastAsia="Times New Roman" w:cs="Arial"/>
                <w:color w:val="000000"/>
                <w:sz w:val="18"/>
                <w:lang w:val="es-CO" w:eastAsia="es-CO"/>
              </w:rPr>
            </w:pPr>
            <w:r w:rsidRPr="00582042">
              <w:rPr>
                <w:rFonts w:eastAsia="Arial" w:cs="Arial"/>
                <w:color w:val="000000"/>
                <w:sz w:val="18"/>
                <w:lang w:eastAsia="es-CO"/>
              </w:rPr>
              <w:t>Vacaciones en el extranjero</w:t>
            </w:r>
          </w:p>
        </w:tc>
        <w:tc>
          <w:tcPr>
            <w:tcW w:w="1828" w:type="dxa"/>
            <w:shd w:val="clear" w:color="auto" w:fill="auto"/>
            <w:vAlign w:val="center"/>
            <w:hideMark/>
          </w:tcPr>
          <w:p w:rsidR="00BC521A" w:rsidRPr="00582042" w:rsidRDefault="00BC521A" w:rsidP="00BC521A">
            <w:pPr>
              <w:spacing w:after="0" w:line="240" w:lineRule="auto"/>
              <w:jc w:val="center"/>
              <w:rPr>
                <w:rFonts w:eastAsia="Times New Roman" w:cs="Arial"/>
                <w:color w:val="000000"/>
                <w:sz w:val="18"/>
                <w:szCs w:val="20"/>
                <w:lang w:val="es-CO" w:eastAsia="es-CO"/>
              </w:rPr>
            </w:pPr>
            <w:r w:rsidRPr="00582042">
              <w:rPr>
                <w:rFonts w:eastAsia="Times New Roman" w:cs="Arial"/>
                <w:color w:val="000000"/>
                <w:sz w:val="18"/>
                <w:szCs w:val="20"/>
                <w:lang w:eastAsia="es-CO"/>
              </w:rPr>
              <w:t xml:space="preserve">     635.673.816 </w:t>
            </w:r>
          </w:p>
        </w:tc>
        <w:tc>
          <w:tcPr>
            <w:tcW w:w="1840" w:type="dxa"/>
            <w:shd w:val="clear" w:color="auto" w:fill="auto"/>
            <w:vAlign w:val="center"/>
            <w:hideMark/>
          </w:tcPr>
          <w:p w:rsidR="00BC521A" w:rsidRPr="00582042" w:rsidRDefault="00BC521A" w:rsidP="00582042">
            <w:pPr>
              <w:spacing w:after="0" w:line="240" w:lineRule="auto"/>
              <w:jc w:val="center"/>
              <w:rPr>
                <w:rFonts w:eastAsia="Times New Roman" w:cs="Arial"/>
                <w:color w:val="000000"/>
                <w:sz w:val="18"/>
                <w:szCs w:val="20"/>
                <w:lang w:val="es-CO" w:eastAsia="es-CO"/>
              </w:rPr>
            </w:pPr>
            <w:r w:rsidRPr="00582042">
              <w:rPr>
                <w:rFonts w:eastAsia="Times New Roman" w:cs="Arial"/>
                <w:color w:val="000000"/>
                <w:sz w:val="18"/>
                <w:szCs w:val="20"/>
                <w:lang w:eastAsia="es-CO"/>
              </w:rPr>
              <w:t>511.302.852</w:t>
            </w:r>
          </w:p>
        </w:tc>
      </w:tr>
    </w:tbl>
    <w:p w:rsidR="00BC521A" w:rsidRDefault="00582042" w:rsidP="00BC521A">
      <w:pPr>
        <w:spacing w:after="0" w:line="240" w:lineRule="auto"/>
        <w:jc w:val="both"/>
        <w:rPr>
          <w:rFonts w:eastAsia="Times New Roman" w:cs="Arial"/>
          <w:color w:val="000000"/>
          <w:sz w:val="16"/>
          <w:szCs w:val="16"/>
          <w:lang w:val="es-CO" w:eastAsia="es-CO"/>
        </w:rPr>
      </w:pPr>
      <w:r>
        <w:rPr>
          <w:rFonts w:eastAsia="Times New Roman" w:cs="Arial"/>
          <w:color w:val="000000"/>
          <w:sz w:val="16"/>
          <w:szCs w:val="16"/>
          <w:lang w:val="es-CO" w:eastAsia="es-CO"/>
        </w:rPr>
        <w:t xml:space="preserve">                          </w:t>
      </w:r>
      <w:r w:rsidR="00006807">
        <w:rPr>
          <w:rFonts w:eastAsia="Times New Roman" w:cs="Arial"/>
          <w:b/>
          <w:color w:val="000000"/>
          <w:sz w:val="16"/>
          <w:szCs w:val="16"/>
          <w:lang w:val="es-CO" w:eastAsia="es-CO"/>
        </w:rPr>
        <w:t>Fuente</w:t>
      </w:r>
      <w:r w:rsidRPr="00582042">
        <w:rPr>
          <w:rFonts w:eastAsia="Times New Roman" w:cs="Arial"/>
          <w:b/>
          <w:color w:val="000000"/>
          <w:sz w:val="16"/>
          <w:szCs w:val="16"/>
          <w:lang w:val="es-CO" w:eastAsia="es-CO"/>
        </w:rPr>
        <w:t>:</w:t>
      </w:r>
      <w:r w:rsidRPr="00BC521A">
        <w:rPr>
          <w:rFonts w:eastAsia="Times New Roman" w:cs="Arial"/>
          <w:color w:val="000000"/>
          <w:sz w:val="16"/>
          <w:szCs w:val="16"/>
          <w:lang w:val="es-CO" w:eastAsia="es-CO"/>
        </w:rPr>
        <w:t xml:space="preserve"> SIIF NACIÓN 2</w:t>
      </w:r>
    </w:p>
    <w:p w:rsidR="00217275" w:rsidRPr="00D21160" w:rsidRDefault="00217275" w:rsidP="00217275">
      <w:pPr>
        <w:rPr>
          <w:rFonts w:ascii="Calibri" w:hAnsi="Calibri"/>
          <w:i/>
          <w:iCs/>
          <w:sz w:val="16"/>
          <w:lang w:val="es-CO"/>
        </w:rPr>
      </w:pPr>
      <w:r>
        <w:rPr>
          <w:rFonts w:eastAsia="Times New Roman" w:cs="Arial"/>
          <w:color w:val="000000"/>
          <w:sz w:val="16"/>
          <w:szCs w:val="16"/>
          <w:lang w:val="es-CO" w:eastAsia="es-CO"/>
        </w:rPr>
        <w:tab/>
        <w:t xml:space="preserve">        </w:t>
      </w:r>
      <w:r w:rsidR="00006807">
        <w:rPr>
          <w:rFonts w:eastAsia="Times New Roman" w:cs="Arial"/>
          <w:color w:val="000000"/>
          <w:sz w:val="16"/>
          <w:szCs w:val="16"/>
          <w:lang w:val="es-CO" w:eastAsia="es-CO"/>
        </w:rPr>
        <w:t xml:space="preserve">  </w:t>
      </w:r>
      <w:r w:rsidRPr="00D21160">
        <w:rPr>
          <w:i/>
          <w:iCs/>
          <w:sz w:val="16"/>
        </w:rPr>
        <w:t>Nota: Información preliminar, sujeta a actualización del cierre oficial de metas sociales y financieras.</w:t>
      </w:r>
    </w:p>
    <w:p w:rsidR="00006807" w:rsidRDefault="00006807" w:rsidP="00EE3297">
      <w:pPr>
        <w:ind w:firstLine="708"/>
        <w:rPr>
          <w:rFonts w:eastAsiaTheme="majorEastAsia"/>
          <w:b/>
        </w:rPr>
      </w:pPr>
      <w:bookmarkStart w:id="129" w:name="_Toc472519301"/>
    </w:p>
    <w:p w:rsidR="00BC521A" w:rsidRPr="00C43651" w:rsidRDefault="00BC521A" w:rsidP="00EE3297">
      <w:pPr>
        <w:ind w:firstLine="708"/>
        <w:rPr>
          <w:rFonts w:eastAsiaTheme="majorEastAsia"/>
          <w:b/>
        </w:rPr>
      </w:pPr>
      <w:r w:rsidRPr="00C43651">
        <w:rPr>
          <w:rFonts w:eastAsiaTheme="majorEastAsia"/>
          <w:b/>
        </w:rPr>
        <w:t>La Estrategia de «Súper Amigos»</w:t>
      </w:r>
      <w:bookmarkEnd w:id="129"/>
    </w:p>
    <w:p w:rsidR="00BC521A" w:rsidRPr="00BC521A" w:rsidRDefault="00BC521A" w:rsidP="00BC521A">
      <w:pPr>
        <w:spacing w:after="0" w:line="240" w:lineRule="auto"/>
        <w:contextualSpacing/>
        <w:jc w:val="both"/>
        <w:rPr>
          <w:rFonts w:cs="Arial"/>
          <w:spacing w:val="-4"/>
        </w:rPr>
      </w:pPr>
      <w:r w:rsidRPr="00BC521A">
        <w:rPr>
          <w:rFonts w:cs="Arial"/>
          <w:spacing w:val="-4"/>
        </w:rPr>
        <w:t>La Estrategia nació en 2013 como parte de los esfuerzos del ICBF para brindar alternativas para aquellos niños declarados en adoptabilidad con características y necesidades especiales que requerían de un referente afectivo por la dificultad de encontrar una familia. La estrategia únicamente se ejecutó en el 2013, sin embargo al iniciar la actual administración se crearon los protocolos y se reactivó el esfuerzo de búsqueda activa de familias incorporando el Plan «Súper Amigos» en el Lineamiento Técnico como una estrategia que posibilita la adopción</w:t>
      </w:r>
    </w:p>
    <w:p w:rsidR="00BC521A" w:rsidRPr="00BC521A" w:rsidRDefault="00BC521A" w:rsidP="00BC521A">
      <w:pPr>
        <w:spacing w:after="0" w:line="240" w:lineRule="auto"/>
        <w:jc w:val="both"/>
        <w:rPr>
          <w:rFonts w:cs="Arial"/>
          <w:spacing w:val="-4"/>
        </w:rPr>
      </w:pPr>
      <w:r w:rsidRPr="00BC521A">
        <w:rPr>
          <w:rFonts w:cs="Arial"/>
          <w:spacing w:val="-4"/>
        </w:rPr>
        <w:t xml:space="preserve">Como resultado de la estrategia, </w:t>
      </w:r>
      <w:r w:rsidRPr="00006807">
        <w:rPr>
          <w:rFonts w:cs="Arial"/>
          <w:spacing w:val="-4"/>
        </w:rPr>
        <w:t>a  28 noviembre de 2016</w:t>
      </w:r>
      <w:r w:rsidRPr="00BC521A">
        <w:rPr>
          <w:rFonts w:cs="Arial"/>
          <w:spacing w:val="-4"/>
        </w:rPr>
        <w:t>,</w:t>
      </w:r>
      <w:r w:rsidRPr="00BC521A">
        <w:rPr>
          <w:rFonts w:cs="Arial"/>
          <w:b/>
          <w:spacing w:val="-4"/>
        </w:rPr>
        <w:t xml:space="preserve"> 312 niños, niñas y adolescentes</w:t>
      </w:r>
      <w:r w:rsidRPr="00BC521A">
        <w:rPr>
          <w:rFonts w:cs="Arial"/>
          <w:spacing w:val="-4"/>
        </w:rPr>
        <w:t xml:space="preserve"> cuentan con referente afectivo en el marco de la estrategia «Súper Amigos», en las direcciones regionales Antioquia, Caldas, Risaralda, Tolima, Bogotá, Huila, Caquetá, Quindío y Santander.</w:t>
      </w:r>
    </w:p>
    <w:p w:rsidR="00BC521A" w:rsidRPr="00BC521A" w:rsidRDefault="00BC521A" w:rsidP="00BC521A">
      <w:pPr>
        <w:spacing w:after="0" w:line="240" w:lineRule="auto"/>
        <w:jc w:val="both"/>
        <w:rPr>
          <w:rFonts w:cs="Arial"/>
          <w:spacing w:val="-4"/>
        </w:rPr>
      </w:pPr>
    </w:p>
    <w:tbl>
      <w:tblPr>
        <w:tblW w:w="706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820"/>
        <w:gridCol w:w="1400"/>
        <w:gridCol w:w="1840"/>
      </w:tblGrid>
      <w:tr w:rsidR="00BC521A" w:rsidRPr="00582042" w:rsidTr="00582042">
        <w:trPr>
          <w:trHeight w:val="525"/>
          <w:jc w:val="center"/>
        </w:trPr>
        <w:tc>
          <w:tcPr>
            <w:tcW w:w="3820" w:type="dxa"/>
            <w:shd w:val="clear" w:color="auto" w:fill="76923C" w:themeFill="accent3" w:themeFillShade="BF"/>
            <w:vAlign w:val="center"/>
            <w:hideMark/>
          </w:tcPr>
          <w:p w:rsidR="00BC521A" w:rsidRPr="00582042" w:rsidRDefault="00BC521A" w:rsidP="00BC521A">
            <w:pPr>
              <w:spacing w:after="0" w:line="240" w:lineRule="auto"/>
              <w:jc w:val="center"/>
              <w:rPr>
                <w:rFonts w:eastAsia="Times New Roman" w:cs="Arial"/>
                <w:b/>
                <w:bCs/>
                <w:color w:val="FFFFFF" w:themeColor="background1"/>
                <w:sz w:val="18"/>
                <w:szCs w:val="18"/>
                <w:lang w:val="es-CO" w:eastAsia="es-CO"/>
              </w:rPr>
            </w:pPr>
            <w:r w:rsidRPr="00582042">
              <w:rPr>
                <w:rFonts w:eastAsia="Times New Roman" w:cs="Arial"/>
                <w:b/>
                <w:bCs/>
                <w:color w:val="FFFFFF" w:themeColor="background1"/>
                <w:sz w:val="18"/>
                <w:szCs w:val="18"/>
                <w:lang w:val="es-CO" w:eastAsia="es-CO"/>
              </w:rPr>
              <w:t>Nombre</w:t>
            </w:r>
          </w:p>
        </w:tc>
        <w:tc>
          <w:tcPr>
            <w:tcW w:w="1400" w:type="dxa"/>
            <w:shd w:val="clear" w:color="auto" w:fill="76923C" w:themeFill="accent3" w:themeFillShade="BF"/>
            <w:vAlign w:val="center"/>
            <w:hideMark/>
          </w:tcPr>
          <w:p w:rsidR="00BC521A" w:rsidRPr="00582042" w:rsidRDefault="00582042" w:rsidP="00BC521A">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Programación V</w:t>
            </w:r>
            <w:r w:rsidR="00BC521A" w:rsidRPr="00582042">
              <w:rPr>
                <w:rFonts w:eastAsia="Times New Roman" w:cs="Arial"/>
                <w:b/>
                <w:bCs/>
                <w:color w:val="FFFFFF" w:themeColor="background1"/>
                <w:sz w:val="18"/>
                <w:szCs w:val="18"/>
                <w:lang w:val="es-CO" w:eastAsia="es-CO"/>
              </w:rPr>
              <w:t>igente</w:t>
            </w:r>
          </w:p>
        </w:tc>
        <w:tc>
          <w:tcPr>
            <w:tcW w:w="1840" w:type="dxa"/>
            <w:shd w:val="clear" w:color="auto" w:fill="76923C" w:themeFill="accent3" w:themeFillShade="BF"/>
            <w:vAlign w:val="center"/>
            <w:hideMark/>
          </w:tcPr>
          <w:p w:rsidR="00BC521A" w:rsidRPr="00582042" w:rsidRDefault="00582042" w:rsidP="00BC521A">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Reporte E</w:t>
            </w:r>
            <w:r w:rsidR="00BC521A" w:rsidRPr="00582042">
              <w:rPr>
                <w:rFonts w:eastAsia="Times New Roman" w:cs="Arial"/>
                <w:b/>
                <w:bCs/>
                <w:color w:val="FFFFFF" w:themeColor="background1"/>
                <w:sz w:val="18"/>
                <w:szCs w:val="18"/>
                <w:lang w:val="es-CO" w:eastAsia="es-CO"/>
              </w:rPr>
              <w:t>jecución</w:t>
            </w:r>
          </w:p>
        </w:tc>
      </w:tr>
      <w:tr w:rsidR="00BC521A" w:rsidRPr="00582042" w:rsidTr="003A5EB9">
        <w:trPr>
          <w:trHeight w:val="606"/>
          <w:jc w:val="center"/>
        </w:trPr>
        <w:tc>
          <w:tcPr>
            <w:tcW w:w="3820" w:type="dxa"/>
            <w:shd w:val="clear" w:color="auto" w:fill="auto"/>
            <w:noWrap/>
            <w:vAlign w:val="center"/>
            <w:hideMark/>
          </w:tcPr>
          <w:p w:rsidR="00BC521A" w:rsidRPr="00582042" w:rsidRDefault="00BC521A" w:rsidP="00BC521A">
            <w:pPr>
              <w:spacing w:after="0" w:line="240" w:lineRule="auto"/>
              <w:rPr>
                <w:rFonts w:eastAsia="Times New Roman" w:cs="Arial"/>
                <w:color w:val="000000"/>
                <w:sz w:val="18"/>
                <w:szCs w:val="18"/>
                <w:lang w:val="es-CO" w:eastAsia="es-CO"/>
              </w:rPr>
            </w:pPr>
            <w:r w:rsidRPr="00582042">
              <w:rPr>
                <w:rFonts w:eastAsia="Arial" w:cs="Arial"/>
                <w:color w:val="000000"/>
                <w:sz w:val="18"/>
                <w:szCs w:val="18"/>
                <w:lang w:eastAsia="es-CO"/>
              </w:rPr>
              <w:t>La Estrategia de «Súper Amigos»</w:t>
            </w:r>
          </w:p>
        </w:tc>
        <w:tc>
          <w:tcPr>
            <w:tcW w:w="1400" w:type="dxa"/>
            <w:shd w:val="clear" w:color="auto" w:fill="auto"/>
            <w:vAlign w:val="center"/>
            <w:hideMark/>
          </w:tcPr>
          <w:p w:rsidR="00BC521A" w:rsidRPr="00582042" w:rsidRDefault="00BC521A" w:rsidP="00BC521A">
            <w:pPr>
              <w:spacing w:after="0" w:line="240" w:lineRule="auto"/>
              <w:jc w:val="center"/>
              <w:rPr>
                <w:rFonts w:eastAsia="Times New Roman" w:cs="Arial"/>
                <w:color w:val="000000"/>
                <w:sz w:val="18"/>
                <w:szCs w:val="18"/>
                <w:lang w:val="es-CO" w:eastAsia="es-CO"/>
              </w:rPr>
            </w:pPr>
            <w:r w:rsidRPr="00582042">
              <w:rPr>
                <w:rFonts w:eastAsia="Times New Roman" w:cs="Arial"/>
                <w:color w:val="000000"/>
                <w:sz w:val="18"/>
                <w:szCs w:val="18"/>
                <w:lang w:eastAsia="es-CO"/>
              </w:rPr>
              <w:t xml:space="preserve">     892.441.031 </w:t>
            </w:r>
          </w:p>
        </w:tc>
        <w:tc>
          <w:tcPr>
            <w:tcW w:w="1840" w:type="dxa"/>
            <w:shd w:val="clear" w:color="auto" w:fill="auto"/>
            <w:vAlign w:val="center"/>
            <w:hideMark/>
          </w:tcPr>
          <w:p w:rsidR="00BC521A" w:rsidRPr="00582042" w:rsidRDefault="00BC521A" w:rsidP="00BC521A">
            <w:pPr>
              <w:spacing w:after="0" w:line="240" w:lineRule="auto"/>
              <w:jc w:val="center"/>
              <w:rPr>
                <w:rFonts w:eastAsia="Times New Roman" w:cs="Arial"/>
                <w:color w:val="000000"/>
                <w:sz w:val="18"/>
                <w:szCs w:val="18"/>
                <w:lang w:val="es-CO" w:eastAsia="es-CO"/>
              </w:rPr>
            </w:pPr>
            <w:r w:rsidRPr="00582042">
              <w:rPr>
                <w:rFonts w:eastAsia="Times New Roman" w:cs="Arial"/>
                <w:color w:val="000000"/>
                <w:sz w:val="18"/>
                <w:szCs w:val="18"/>
                <w:lang w:eastAsia="es-CO"/>
              </w:rPr>
              <w:t xml:space="preserve">892.441.031 </w:t>
            </w:r>
          </w:p>
        </w:tc>
      </w:tr>
    </w:tbl>
    <w:p w:rsidR="00BC521A" w:rsidRDefault="00582042" w:rsidP="00BC521A">
      <w:pPr>
        <w:spacing w:after="0" w:line="240" w:lineRule="auto"/>
        <w:jc w:val="both"/>
        <w:rPr>
          <w:rFonts w:eastAsia="Times New Roman" w:cs="Arial"/>
          <w:color w:val="000000"/>
          <w:sz w:val="16"/>
          <w:szCs w:val="16"/>
          <w:lang w:val="es-CO" w:eastAsia="es-CO"/>
        </w:rPr>
      </w:pPr>
      <w:r>
        <w:rPr>
          <w:rFonts w:eastAsia="Times New Roman" w:cs="Arial"/>
          <w:color w:val="000000"/>
          <w:sz w:val="18"/>
          <w:szCs w:val="18"/>
          <w:lang w:val="es-CO" w:eastAsia="es-CO"/>
        </w:rPr>
        <w:t xml:space="preserve">                       </w:t>
      </w:r>
      <w:r w:rsidR="00006807">
        <w:rPr>
          <w:rFonts w:eastAsia="Times New Roman" w:cs="Arial"/>
          <w:b/>
          <w:color w:val="000000"/>
          <w:sz w:val="16"/>
          <w:szCs w:val="16"/>
          <w:lang w:val="es-CO" w:eastAsia="es-CO"/>
        </w:rPr>
        <w:t>Fuente</w:t>
      </w:r>
      <w:r w:rsidRPr="00582042">
        <w:rPr>
          <w:rFonts w:eastAsia="Times New Roman" w:cs="Arial"/>
          <w:b/>
          <w:color w:val="000000"/>
          <w:sz w:val="16"/>
          <w:szCs w:val="16"/>
          <w:lang w:val="es-CO" w:eastAsia="es-CO"/>
        </w:rPr>
        <w:t>:</w:t>
      </w:r>
      <w:r w:rsidRPr="00582042">
        <w:rPr>
          <w:rFonts w:eastAsia="Times New Roman" w:cs="Arial"/>
          <w:color w:val="000000"/>
          <w:sz w:val="16"/>
          <w:szCs w:val="16"/>
          <w:lang w:val="es-CO" w:eastAsia="es-CO"/>
        </w:rPr>
        <w:t xml:space="preserve"> SIIF NACIÓN 2</w:t>
      </w:r>
    </w:p>
    <w:p w:rsidR="00217275" w:rsidRPr="00217275" w:rsidRDefault="00217275" w:rsidP="00217275">
      <w:pPr>
        <w:spacing w:after="0" w:line="240" w:lineRule="auto"/>
        <w:jc w:val="both"/>
        <w:rPr>
          <w:rFonts w:eastAsia="Times New Roman" w:cs="Arial"/>
          <w:color w:val="000000"/>
          <w:sz w:val="16"/>
          <w:szCs w:val="16"/>
          <w:lang w:val="es-CO" w:eastAsia="es-CO"/>
        </w:rPr>
      </w:pPr>
      <w:r>
        <w:rPr>
          <w:rFonts w:eastAsia="Times New Roman" w:cs="Arial"/>
          <w:color w:val="000000"/>
          <w:sz w:val="16"/>
          <w:szCs w:val="16"/>
          <w:lang w:val="es-CO" w:eastAsia="es-CO"/>
        </w:rPr>
        <w:tab/>
        <w:t xml:space="preserve">          </w:t>
      </w:r>
      <w:r w:rsidRPr="00D21160">
        <w:rPr>
          <w:i/>
          <w:iCs/>
          <w:sz w:val="16"/>
        </w:rPr>
        <w:t>Nota: Información preliminar, sujeta a actualización del cierre oficial de metas sociales y financieras.</w:t>
      </w:r>
    </w:p>
    <w:p w:rsidR="00217275" w:rsidRPr="00D21160" w:rsidRDefault="00217275" w:rsidP="00217275">
      <w:pPr>
        <w:spacing w:after="0" w:line="240" w:lineRule="auto"/>
        <w:jc w:val="both"/>
        <w:rPr>
          <w:rFonts w:cs="Arial"/>
          <w:sz w:val="16"/>
          <w:lang w:val="es-CO" w:eastAsia="es-ES"/>
        </w:rPr>
      </w:pPr>
    </w:p>
    <w:p w:rsidR="00BC521A" w:rsidRPr="00C43651" w:rsidRDefault="00BC521A" w:rsidP="00345299">
      <w:pPr>
        <w:ind w:left="708" w:firstLine="708"/>
        <w:rPr>
          <w:rFonts w:eastAsiaTheme="majorEastAsia"/>
          <w:b/>
        </w:rPr>
      </w:pPr>
      <w:bookmarkStart w:id="130" w:name="_Toc472519302"/>
      <w:r w:rsidRPr="00C43651">
        <w:rPr>
          <w:rFonts w:eastAsiaTheme="majorEastAsia"/>
          <w:b/>
        </w:rPr>
        <w:t>Restaurando Vidas, Construimos futuro</w:t>
      </w:r>
      <w:bookmarkEnd w:id="130"/>
    </w:p>
    <w:p w:rsidR="00BC521A" w:rsidRPr="00BC521A" w:rsidRDefault="00BC521A" w:rsidP="00BC521A">
      <w:pPr>
        <w:spacing w:after="0" w:line="240" w:lineRule="auto"/>
        <w:jc w:val="both"/>
        <w:rPr>
          <w:rFonts w:cs="Arial"/>
          <w:spacing w:val="-4"/>
        </w:rPr>
      </w:pPr>
      <w:r w:rsidRPr="00BC521A">
        <w:rPr>
          <w:rFonts w:cs="Arial"/>
          <w:spacing w:val="-4"/>
        </w:rPr>
        <w:t>Es una iniciativa impulsada en la nueva administración, que se suma al Programa de Adopción para incentivar la búsqueda de familias solicitantes abiertas a adoptar niños, niñas o adolescentes con características y necesidades especiales. La iniciativa genera una aproximación de una manera más humana para entender cuáles son los sueños y expectativas de esta población, que son fundamentales en el momento de buscar una familia.</w:t>
      </w:r>
    </w:p>
    <w:p w:rsidR="00BC521A" w:rsidRPr="00BC521A" w:rsidRDefault="00BC521A" w:rsidP="00BC521A">
      <w:pPr>
        <w:spacing w:after="0" w:line="240" w:lineRule="auto"/>
        <w:jc w:val="both"/>
        <w:rPr>
          <w:rFonts w:cs="Arial"/>
          <w:spacing w:val="-4"/>
        </w:rPr>
      </w:pPr>
    </w:p>
    <w:p w:rsidR="00BC521A" w:rsidRPr="00BC521A" w:rsidRDefault="00BC521A" w:rsidP="00BC521A">
      <w:pPr>
        <w:spacing w:after="0" w:line="240" w:lineRule="auto"/>
        <w:jc w:val="both"/>
        <w:rPr>
          <w:rFonts w:cs="Arial"/>
          <w:spacing w:val="-4"/>
        </w:rPr>
      </w:pPr>
      <w:r w:rsidRPr="00006807">
        <w:rPr>
          <w:rFonts w:cs="Arial"/>
          <w:spacing w:val="-4"/>
        </w:rPr>
        <w:t>A noviembre 30 de 2016:</w:t>
      </w:r>
      <w:r w:rsidRPr="00BC521A">
        <w:rPr>
          <w:rFonts w:cs="Arial"/>
          <w:spacing w:val="-4"/>
        </w:rPr>
        <w:t xml:space="preserve"> </w:t>
      </w:r>
      <w:r w:rsidRPr="00BC521A">
        <w:rPr>
          <w:rFonts w:cs="Arial"/>
          <w:b/>
          <w:spacing w:val="-4"/>
        </w:rPr>
        <w:t>616 niños, niñas y adolescentes con características y necesidades especiales</w:t>
      </w:r>
      <w:r w:rsidRPr="00BC521A">
        <w:rPr>
          <w:rFonts w:cs="Arial"/>
          <w:spacing w:val="-4"/>
        </w:rPr>
        <w:t xml:space="preserve"> vinculados a la iniciativa de las Regionales ICBF Antioquia, Atlántico, Bogotá, Boyacá, Caldas, Cundinamarca, Quindío, Risaralda, Valle del Cauca y Huila.</w:t>
      </w:r>
    </w:p>
    <w:p w:rsidR="00BC521A" w:rsidRPr="00BC521A" w:rsidRDefault="00BC521A" w:rsidP="00BC521A">
      <w:pPr>
        <w:spacing w:after="0" w:line="240" w:lineRule="auto"/>
        <w:jc w:val="both"/>
        <w:rPr>
          <w:rFonts w:cs="Arial"/>
          <w:spacing w:val="-4"/>
        </w:rPr>
      </w:pPr>
    </w:p>
    <w:p w:rsidR="00BC521A" w:rsidRPr="00BC521A" w:rsidRDefault="00BC521A" w:rsidP="00D712DC">
      <w:pPr>
        <w:numPr>
          <w:ilvl w:val="0"/>
          <w:numId w:val="72"/>
        </w:numPr>
        <w:spacing w:after="0" w:line="240" w:lineRule="auto"/>
        <w:ind w:left="709" w:hanging="425"/>
        <w:jc w:val="both"/>
        <w:rPr>
          <w:rFonts w:cs="Arial"/>
          <w:spacing w:val="-4"/>
        </w:rPr>
      </w:pPr>
      <w:r w:rsidRPr="00BC521A">
        <w:rPr>
          <w:rFonts w:cs="Arial"/>
          <w:spacing w:val="-4"/>
        </w:rPr>
        <w:t>Niños, niñas y adolescentes adoptados con sentencia: 52</w:t>
      </w:r>
    </w:p>
    <w:p w:rsidR="00BC521A" w:rsidRPr="00BC521A" w:rsidRDefault="00BC521A" w:rsidP="00D712DC">
      <w:pPr>
        <w:numPr>
          <w:ilvl w:val="0"/>
          <w:numId w:val="72"/>
        </w:numPr>
        <w:spacing w:after="0" w:line="240" w:lineRule="auto"/>
        <w:ind w:left="709" w:hanging="425"/>
        <w:jc w:val="both"/>
        <w:rPr>
          <w:rFonts w:cs="Arial"/>
          <w:spacing w:val="-4"/>
        </w:rPr>
      </w:pPr>
      <w:r w:rsidRPr="00BC521A">
        <w:rPr>
          <w:rFonts w:cs="Arial"/>
          <w:spacing w:val="-4"/>
        </w:rPr>
        <w:t>Niños, niñas y adolescentes en trámite judicial: 24</w:t>
      </w:r>
    </w:p>
    <w:p w:rsidR="00BC521A" w:rsidRPr="00BC521A" w:rsidRDefault="00BC521A" w:rsidP="00D712DC">
      <w:pPr>
        <w:numPr>
          <w:ilvl w:val="0"/>
          <w:numId w:val="72"/>
        </w:numPr>
        <w:spacing w:after="0" w:line="240" w:lineRule="auto"/>
        <w:ind w:left="709" w:hanging="425"/>
        <w:jc w:val="both"/>
        <w:rPr>
          <w:rFonts w:cs="Arial"/>
          <w:spacing w:val="-4"/>
        </w:rPr>
      </w:pPr>
      <w:r w:rsidRPr="00BC521A">
        <w:rPr>
          <w:rFonts w:cs="Arial"/>
          <w:spacing w:val="-4"/>
        </w:rPr>
        <w:t>Niños, niñas y adolescentes con carta de intención: 75</w:t>
      </w:r>
    </w:p>
    <w:p w:rsidR="00BC521A" w:rsidRPr="00BC521A" w:rsidRDefault="00BC521A" w:rsidP="00D712DC">
      <w:pPr>
        <w:numPr>
          <w:ilvl w:val="0"/>
          <w:numId w:val="72"/>
        </w:numPr>
        <w:spacing w:after="0" w:line="240" w:lineRule="auto"/>
        <w:ind w:left="709" w:hanging="425"/>
        <w:jc w:val="both"/>
        <w:rPr>
          <w:rFonts w:cs="Arial"/>
          <w:spacing w:val="-4"/>
        </w:rPr>
      </w:pPr>
      <w:r w:rsidRPr="00BC521A">
        <w:rPr>
          <w:rFonts w:cs="Arial"/>
          <w:spacing w:val="-4"/>
        </w:rPr>
        <w:t xml:space="preserve">Niños, niñas y adolescentes con familia asignada: 39 </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b/>
        </w:rPr>
      </w:pPr>
      <w:r w:rsidRPr="00BC521A">
        <w:rPr>
          <w:rFonts w:cs="Arial"/>
          <w:b/>
        </w:rPr>
        <w:t>Niños, niñas y adolescentes con derechos restablecidos en el marco de Restitución Internacional</w:t>
      </w:r>
    </w:p>
    <w:p w:rsidR="00BC521A" w:rsidRPr="00BC521A" w:rsidRDefault="00BC521A" w:rsidP="00BC521A">
      <w:pPr>
        <w:spacing w:after="0" w:line="240" w:lineRule="auto"/>
        <w:ind w:left="720"/>
        <w:jc w:val="both"/>
        <w:rPr>
          <w:rFonts w:cs="Arial"/>
        </w:rPr>
      </w:pPr>
    </w:p>
    <w:p w:rsidR="00BC521A" w:rsidRPr="00BC521A" w:rsidRDefault="00BC521A" w:rsidP="00D712DC">
      <w:pPr>
        <w:numPr>
          <w:ilvl w:val="0"/>
          <w:numId w:val="73"/>
        </w:numPr>
        <w:spacing w:after="0" w:line="240" w:lineRule="auto"/>
        <w:jc w:val="both"/>
        <w:rPr>
          <w:rFonts w:cs="Arial"/>
        </w:rPr>
      </w:pPr>
      <w:r w:rsidRPr="00BC521A">
        <w:rPr>
          <w:rFonts w:cs="Arial"/>
        </w:rPr>
        <w:t>36 niños, niñas y adolescentes repatriados con corte a 30 de noviembre de 2016.</w:t>
      </w:r>
    </w:p>
    <w:p w:rsidR="00BC521A" w:rsidRPr="00BC521A" w:rsidRDefault="00BC521A" w:rsidP="00D712DC">
      <w:pPr>
        <w:numPr>
          <w:ilvl w:val="0"/>
          <w:numId w:val="73"/>
        </w:numPr>
        <w:spacing w:after="0" w:line="240" w:lineRule="auto"/>
        <w:jc w:val="both"/>
        <w:rPr>
          <w:rFonts w:cs="Arial"/>
        </w:rPr>
      </w:pPr>
      <w:r w:rsidRPr="00BC521A">
        <w:rPr>
          <w:rFonts w:cs="Arial"/>
        </w:rPr>
        <w:t>36 niños, niñas y adolescentes retornados al país de residencia habitual con corte a 30 de noviembre de 2016.</w:t>
      </w:r>
    </w:p>
    <w:p w:rsidR="0051070D" w:rsidRPr="00D23FA4" w:rsidRDefault="0051070D" w:rsidP="0051070D">
      <w:pPr>
        <w:spacing w:after="0" w:line="240" w:lineRule="auto"/>
        <w:rPr>
          <w:rFonts w:cs="Arial"/>
        </w:rPr>
      </w:pPr>
    </w:p>
    <w:p w:rsidR="0051070D" w:rsidRPr="00D20970" w:rsidRDefault="0051070D" w:rsidP="007342CF">
      <w:pPr>
        <w:pStyle w:val="Prrafodelista"/>
        <w:keepNext/>
        <w:keepLines/>
        <w:numPr>
          <w:ilvl w:val="2"/>
          <w:numId w:val="242"/>
        </w:numPr>
        <w:spacing w:after="0" w:line="240" w:lineRule="auto"/>
        <w:outlineLvl w:val="1"/>
        <w:rPr>
          <w:rFonts w:eastAsiaTheme="majorEastAsia" w:cs="Arial"/>
          <w:b/>
        </w:rPr>
      </w:pPr>
      <w:bookmarkStart w:id="131" w:name="_Toc473581431"/>
      <w:r w:rsidRPr="00D20970">
        <w:rPr>
          <w:rFonts w:eastAsia="Times New Roman" w:cs="Arial"/>
          <w:b/>
          <w:bCs/>
          <w:kern w:val="32"/>
        </w:rPr>
        <w:t>Acciones transversales para el restablecimiento de derechos y proyectos de vida</w:t>
      </w:r>
      <w:bookmarkEnd w:id="131"/>
      <w:r w:rsidRPr="00D20970">
        <w:rPr>
          <w:rFonts w:eastAsia="Times New Roman" w:cs="Arial"/>
          <w:b/>
          <w:bCs/>
          <w:kern w:val="32"/>
        </w:rPr>
        <w:t xml:space="preserve"> </w:t>
      </w:r>
    </w:p>
    <w:p w:rsidR="00BC521A" w:rsidRPr="00C43651" w:rsidRDefault="00BC521A" w:rsidP="00345299">
      <w:pPr>
        <w:ind w:firstLine="708"/>
        <w:rPr>
          <w:rFonts w:eastAsiaTheme="majorEastAsia"/>
          <w:b/>
          <w:szCs w:val="26"/>
        </w:rPr>
      </w:pPr>
    </w:p>
    <w:p w:rsidR="00BC521A" w:rsidRPr="00C43651" w:rsidRDefault="00BC521A" w:rsidP="00345299">
      <w:pPr>
        <w:ind w:left="708" w:firstLine="708"/>
        <w:rPr>
          <w:rFonts w:eastAsiaTheme="majorEastAsia"/>
          <w:b/>
        </w:rPr>
      </w:pPr>
      <w:bookmarkStart w:id="132" w:name="_Toc472519304"/>
      <w:r w:rsidRPr="00C43651">
        <w:rPr>
          <w:rFonts w:eastAsiaTheme="majorEastAsia"/>
          <w:b/>
        </w:rPr>
        <w:t>Fortalecimiento a la familia</w:t>
      </w:r>
      <w:bookmarkEnd w:id="132"/>
    </w:p>
    <w:p w:rsidR="00BC521A" w:rsidRPr="00BC521A" w:rsidRDefault="00BC521A" w:rsidP="00BC521A">
      <w:pPr>
        <w:spacing w:after="0" w:line="240" w:lineRule="auto"/>
        <w:jc w:val="both"/>
        <w:rPr>
          <w:rFonts w:cs="Arial"/>
        </w:rPr>
      </w:pPr>
      <w:r w:rsidRPr="00BC521A">
        <w:rPr>
          <w:rFonts w:cs="Arial"/>
        </w:rPr>
        <w:t xml:space="preserve">El ICBF, apuntando a mejorar la protección integral de los niños, niñas, adolescentes y jóvenes  en </w:t>
      </w:r>
      <w:r w:rsidRPr="00BC521A">
        <w:rPr>
          <w:rFonts w:eastAsia="Times New Roman" w:cs="Arial"/>
          <w:lang w:eastAsia="es-CO"/>
        </w:rPr>
        <w:t>procesos de restablecimiento de derechos y/o de responsabilidad penal,</w:t>
      </w:r>
      <w:r w:rsidRPr="00BC521A">
        <w:rPr>
          <w:rFonts w:cs="Arial"/>
        </w:rPr>
        <w:t xml:space="preserve"> decidió consolidar la articulación de los servicios de la Dirección de Protección y de la Dirección de Familias y Comunidades, para fortalecer a las familias y redes apoyo como entornos protectores efectivos, con el fin de continuar previniendo la separación en los Procesos de Restablecimiento de Derechos y, si esto ocurre, logrando que se</w:t>
      </w:r>
      <w:r w:rsidRPr="00BC521A">
        <w:rPr>
          <w:rFonts w:cs="Arial"/>
          <w:lang w:val="es-CO"/>
        </w:rPr>
        <w:t xml:space="preserve"> desarrollen acciones de fortalecimiento familiar en el marco de la Ley 1361/2009 desde lo territorial y a nivel institucional retomar buenas prácticas que permitan cualificar las modalidades de atención para los niños, niñas, adolescentes y sus familias, así como lograr que se</w:t>
      </w:r>
      <w:r w:rsidRPr="00BC521A">
        <w:rPr>
          <w:rFonts w:cs="Arial"/>
        </w:rPr>
        <w:t xml:space="preserve"> produzcan reintegros exitosos y que los mismos garanticen que el niño/niña, o adolescente no retornará al sistema de protección.</w:t>
      </w:r>
    </w:p>
    <w:p w:rsidR="00BC521A" w:rsidRPr="00BC521A" w:rsidRDefault="00BC521A" w:rsidP="00BC521A">
      <w:pPr>
        <w:spacing w:after="0" w:line="240" w:lineRule="auto"/>
        <w:jc w:val="both"/>
        <w:rPr>
          <w:rFonts w:cs="Arial"/>
        </w:rPr>
      </w:pPr>
      <w:r w:rsidRPr="00BC521A">
        <w:rPr>
          <w:rFonts w:cs="Arial"/>
        </w:rPr>
        <w:lastRenderedPageBreak/>
        <w:t>Para el caso de Responsabilidad Penal enfatizar en los vínculos afectivos, comunicacionales y definición de roles en el entorno familiar y social apuntando al fortalecimiento de procesos efectivos de inclusión social.</w:t>
      </w:r>
    </w:p>
    <w:p w:rsidR="00BC521A" w:rsidRPr="00BC521A" w:rsidRDefault="00BC521A" w:rsidP="00BC521A">
      <w:pPr>
        <w:spacing w:after="0" w:line="240" w:lineRule="auto"/>
        <w:jc w:val="both"/>
        <w:rPr>
          <w:rFonts w:cs="Arial"/>
        </w:rPr>
      </w:pPr>
    </w:p>
    <w:p w:rsidR="00BC521A" w:rsidRPr="00BC521A" w:rsidRDefault="00BC521A" w:rsidP="00BC521A">
      <w:pPr>
        <w:spacing w:after="0" w:line="240" w:lineRule="auto"/>
        <w:jc w:val="both"/>
        <w:rPr>
          <w:rFonts w:cs="Arial"/>
          <w:i/>
        </w:rPr>
      </w:pPr>
      <w:r w:rsidRPr="00BC521A">
        <w:rPr>
          <w:rFonts w:cs="Arial"/>
        </w:rPr>
        <w:t xml:space="preserve">Por lo anterior, se expidió la Resolución 2400 de 2016 </w:t>
      </w:r>
      <w:r w:rsidRPr="00BC521A">
        <w:rPr>
          <w:rFonts w:cs="Arial"/>
          <w:i/>
        </w:rPr>
        <w:t>“por la cual se imparten directrices para la focalización de familias de niños, niñas y adolescentes vinculados a los servicios de protección para ser atendidas en la modalidad de Familias con Bienestar de la Dirección de Familia y Comunidades, y se crean comités de articulación en los niveles nacional, regional y zonal”,</w:t>
      </w:r>
      <w:r w:rsidRPr="00BC521A">
        <w:rPr>
          <w:rFonts w:eastAsia="Times New Roman" w:cs="Arial"/>
          <w:lang w:eastAsia="es-CO"/>
        </w:rPr>
        <w:t xml:space="preserve"> cuyo objetivo es potenciar capacidades individuales y colectivas con familias en situación de vulnerabilidad para fortalecer sus vínculos de cuidado mutuo y su integración social, a través de una intervención psicosocial que involucre acciones de aprendizaje – educación, facilitación, apoyo terapéutico y consolidación de redes.</w:t>
      </w:r>
    </w:p>
    <w:p w:rsidR="00BC521A" w:rsidRPr="00BC521A" w:rsidRDefault="00BC521A" w:rsidP="00BC521A">
      <w:pPr>
        <w:spacing w:after="0" w:line="240" w:lineRule="auto"/>
        <w:jc w:val="both"/>
        <w:rPr>
          <w:rFonts w:cs="Arial"/>
          <w:i/>
        </w:rPr>
      </w:pPr>
    </w:p>
    <w:p w:rsidR="00BC521A" w:rsidRDefault="00BC521A" w:rsidP="00BC521A">
      <w:pPr>
        <w:widowControl w:val="0"/>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Para adelantar el proceso de articulación entre la Dirección de Protección y Dirección de Familia y Comunidades se desarrollaron l</w:t>
      </w:r>
      <w:r w:rsidR="003A5EB9">
        <w:rPr>
          <w:rFonts w:eastAsia="Times New Roman" w:cs="Arial"/>
          <w:lang w:eastAsia="es-ES"/>
        </w:rPr>
        <w:t>as siguientes acciones en 2016:</w:t>
      </w:r>
    </w:p>
    <w:p w:rsidR="003A5EB9" w:rsidRPr="00BC521A" w:rsidRDefault="003A5EB9" w:rsidP="00BC521A">
      <w:pPr>
        <w:widowControl w:val="0"/>
        <w:autoSpaceDE w:val="0"/>
        <w:autoSpaceDN w:val="0"/>
        <w:adjustRightInd w:val="0"/>
        <w:spacing w:after="0" w:line="240" w:lineRule="auto"/>
        <w:jc w:val="both"/>
        <w:rPr>
          <w:rFonts w:eastAsia="Times New Roman" w:cs="Arial"/>
          <w:lang w:eastAsia="es-ES"/>
        </w:rPr>
      </w:pPr>
    </w:p>
    <w:p w:rsidR="00BC521A" w:rsidRDefault="00BC521A" w:rsidP="00D712DC">
      <w:pPr>
        <w:widowControl w:val="0"/>
        <w:numPr>
          <w:ilvl w:val="0"/>
          <w:numId w:val="77"/>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Videoconferencia de presentación del proceso de articulación y Plan de Trabajo con Directores Regionales, Coordinadores de Asistencia Técnica y Líderes del Sistema de Responsabilidad Penal.</w:t>
      </w:r>
    </w:p>
    <w:p w:rsidR="003A5EB9" w:rsidRPr="00BC521A" w:rsidRDefault="003A5EB9" w:rsidP="003A5EB9">
      <w:pPr>
        <w:widowControl w:val="0"/>
        <w:autoSpaceDE w:val="0"/>
        <w:autoSpaceDN w:val="0"/>
        <w:adjustRightInd w:val="0"/>
        <w:spacing w:after="0" w:line="240" w:lineRule="auto"/>
        <w:ind w:left="720"/>
        <w:jc w:val="both"/>
        <w:rPr>
          <w:rFonts w:eastAsia="Times New Roman" w:cs="Arial"/>
          <w:lang w:eastAsia="es-ES"/>
        </w:rPr>
      </w:pPr>
    </w:p>
    <w:p w:rsidR="00BC521A" w:rsidRDefault="00BC521A" w:rsidP="00D712DC">
      <w:pPr>
        <w:widowControl w:val="0"/>
        <w:numPr>
          <w:ilvl w:val="0"/>
          <w:numId w:val="77"/>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Video conferencia para la socialización de las rutas de articulación y Resolución 2400/2016 con enlaces regionales de familias y comunidades.</w:t>
      </w:r>
    </w:p>
    <w:p w:rsidR="003A5EB9" w:rsidRPr="00BC521A" w:rsidRDefault="003A5EB9" w:rsidP="003A5EB9">
      <w:pPr>
        <w:widowControl w:val="0"/>
        <w:autoSpaceDE w:val="0"/>
        <w:autoSpaceDN w:val="0"/>
        <w:adjustRightInd w:val="0"/>
        <w:spacing w:after="0" w:line="240" w:lineRule="auto"/>
        <w:jc w:val="both"/>
        <w:rPr>
          <w:rFonts w:eastAsia="Times New Roman" w:cs="Arial"/>
          <w:lang w:eastAsia="es-ES"/>
        </w:rPr>
      </w:pPr>
    </w:p>
    <w:p w:rsidR="00BC521A" w:rsidRDefault="00BC521A" w:rsidP="00D712DC">
      <w:pPr>
        <w:widowControl w:val="0"/>
        <w:numPr>
          <w:ilvl w:val="0"/>
          <w:numId w:val="77"/>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Socialización del proceso de articulación en el Encuentro Nacional de Coordinadores de Centros Zonales y Coord</w:t>
      </w:r>
      <w:r w:rsidR="003A5EB9">
        <w:rPr>
          <w:rFonts w:eastAsia="Times New Roman" w:cs="Arial"/>
          <w:lang w:eastAsia="es-ES"/>
        </w:rPr>
        <w:t>inadores de asistencia técnica.</w:t>
      </w:r>
    </w:p>
    <w:p w:rsidR="003A5EB9" w:rsidRPr="00BC521A" w:rsidRDefault="003A5EB9" w:rsidP="003A5EB9">
      <w:pPr>
        <w:widowControl w:val="0"/>
        <w:autoSpaceDE w:val="0"/>
        <w:autoSpaceDN w:val="0"/>
        <w:adjustRightInd w:val="0"/>
        <w:spacing w:after="0" w:line="240" w:lineRule="auto"/>
        <w:jc w:val="both"/>
        <w:rPr>
          <w:rFonts w:eastAsia="Times New Roman" w:cs="Arial"/>
          <w:lang w:eastAsia="es-ES"/>
        </w:rPr>
      </w:pPr>
    </w:p>
    <w:p w:rsidR="00BC521A" w:rsidRDefault="00BC521A" w:rsidP="00D712DC">
      <w:pPr>
        <w:widowControl w:val="0"/>
        <w:numPr>
          <w:ilvl w:val="0"/>
          <w:numId w:val="77"/>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Jornada de presentación y sensibilización a operadores de la modalidad “Familias con Bienestar”.</w:t>
      </w:r>
    </w:p>
    <w:p w:rsidR="003A5EB9" w:rsidRPr="00BC521A" w:rsidRDefault="003A5EB9" w:rsidP="003A5EB9">
      <w:pPr>
        <w:widowControl w:val="0"/>
        <w:autoSpaceDE w:val="0"/>
        <w:autoSpaceDN w:val="0"/>
        <w:adjustRightInd w:val="0"/>
        <w:spacing w:after="0" w:line="240" w:lineRule="auto"/>
        <w:jc w:val="both"/>
        <w:rPr>
          <w:rFonts w:eastAsia="Times New Roman" w:cs="Arial"/>
          <w:lang w:eastAsia="es-ES"/>
        </w:rPr>
      </w:pPr>
    </w:p>
    <w:p w:rsidR="00BC521A" w:rsidRPr="003A5EB9" w:rsidRDefault="00BC521A" w:rsidP="00D712DC">
      <w:pPr>
        <w:widowControl w:val="0"/>
        <w:numPr>
          <w:ilvl w:val="0"/>
          <w:numId w:val="78"/>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Acompañamiento presencial a 16 comités de articulación de las Regionales de: Antioquia, Quindío, Córdoba, Magdalena, Norte de Santander, Huila, Meta, San Andrés, Caquetá, Arauca, Casanare, Boyacá, Chocó, La Guajira, Bogotá y Cundinamarca como plan choque para fortalecer la focalización y vinculación de familias</w:t>
      </w:r>
      <w:r w:rsidRPr="00BC521A">
        <w:rPr>
          <w:rFonts w:eastAsia="Times New Roman" w:cs="Arial"/>
          <w:b/>
          <w:lang w:eastAsia="es-ES"/>
        </w:rPr>
        <w:t>.</w:t>
      </w:r>
    </w:p>
    <w:p w:rsidR="003A5EB9" w:rsidRPr="00BC521A" w:rsidRDefault="003A5EB9" w:rsidP="003A5EB9">
      <w:pPr>
        <w:widowControl w:val="0"/>
        <w:autoSpaceDE w:val="0"/>
        <w:autoSpaceDN w:val="0"/>
        <w:adjustRightInd w:val="0"/>
        <w:spacing w:after="0" w:line="240" w:lineRule="auto"/>
        <w:ind w:left="720"/>
        <w:jc w:val="both"/>
        <w:rPr>
          <w:rFonts w:eastAsia="Times New Roman" w:cs="Arial"/>
          <w:lang w:eastAsia="es-ES"/>
        </w:rPr>
      </w:pPr>
    </w:p>
    <w:p w:rsidR="00BC521A" w:rsidRDefault="00BC521A" w:rsidP="00D712DC">
      <w:pPr>
        <w:widowControl w:val="0"/>
        <w:numPr>
          <w:ilvl w:val="0"/>
          <w:numId w:val="78"/>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 xml:space="preserve">Desarrollo de </w:t>
      </w:r>
      <w:r w:rsidRPr="00BC521A">
        <w:rPr>
          <w:rFonts w:eastAsia="Times New Roman" w:cs="Arial"/>
          <w:b/>
          <w:lang w:eastAsia="es-ES"/>
        </w:rPr>
        <w:t>(5) cinco</w:t>
      </w:r>
      <w:r w:rsidRPr="00BC521A">
        <w:rPr>
          <w:rFonts w:eastAsia="Times New Roman" w:cs="Arial"/>
          <w:lang w:eastAsia="es-ES"/>
        </w:rPr>
        <w:t xml:space="preserve"> macro-encuentros de capacitación a </w:t>
      </w:r>
      <w:r w:rsidRPr="00BC521A">
        <w:rPr>
          <w:rFonts w:eastAsia="Times New Roman" w:cs="Arial"/>
          <w:b/>
          <w:lang w:eastAsia="es-ES"/>
        </w:rPr>
        <w:t>277</w:t>
      </w:r>
      <w:r w:rsidRPr="00BC521A">
        <w:rPr>
          <w:rFonts w:eastAsia="Times New Roman" w:cs="Arial"/>
          <w:lang w:eastAsia="es-ES"/>
        </w:rPr>
        <w:t xml:space="preserve"> profesionales psicosociales de operadores de la Dirección de Protección y Dirección de Familias y Comunidades, y enlaces regionales en las temáticas de: modelo solidario, intervención psicosocial enfoque apreciativo y acción sin daño con la participación de las siguientes </w:t>
      </w:r>
      <w:r w:rsidRPr="00BC521A">
        <w:rPr>
          <w:rFonts w:eastAsia="Times New Roman" w:cs="Arial"/>
          <w:b/>
          <w:lang w:eastAsia="es-ES"/>
        </w:rPr>
        <w:t>19</w:t>
      </w:r>
      <w:r w:rsidRPr="00BC521A">
        <w:rPr>
          <w:rFonts w:eastAsia="Times New Roman" w:cs="Arial"/>
          <w:lang w:eastAsia="es-ES"/>
        </w:rPr>
        <w:t xml:space="preserve"> regionales: Bogotá, Cundinamarca, Meta, Tolima, Boyacá, Antioquia, Caldas, Risaralda, Quindío, Magdalena , Atlántico, Bolívar, Córdoba, Sucre, Cauca, Valle, Huila, </w:t>
      </w:r>
      <w:r w:rsidR="003A5EB9">
        <w:rPr>
          <w:rFonts w:eastAsia="Times New Roman" w:cs="Arial"/>
          <w:lang w:eastAsia="es-ES"/>
        </w:rPr>
        <w:t>Norte de Santander y Santander.</w:t>
      </w:r>
    </w:p>
    <w:p w:rsidR="003A5EB9" w:rsidRPr="00BC521A" w:rsidRDefault="003A5EB9" w:rsidP="003A5EB9">
      <w:pPr>
        <w:widowControl w:val="0"/>
        <w:autoSpaceDE w:val="0"/>
        <w:autoSpaceDN w:val="0"/>
        <w:adjustRightInd w:val="0"/>
        <w:spacing w:after="0" w:line="240" w:lineRule="auto"/>
        <w:jc w:val="both"/>
        <w:rPr>
          <w:rFonts w:eastAsia="Times New Roman" w:cs="Arial"/>
          <w:lang w:eastAsia="es-ES"/>
        </w:rPr>
      </w:pPr>
    </w:p>
    <w:p w:rsidR="00BC521A" w:rsidRDefault="00BC521A" w:rsidP="00D712DC">
      <w:pPr>
        <w:widowControl w:val="0"/>
        <w:numPr>
          <w:ilvl w:val="0"/>
          <w:numId w:val="78"/>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t xml:space="preserve">Desarrollo de </w:t>
      </w:r>
      <w:r w:rsidRPr="00BC521A">
        <w:rPr>
          <w:rFonts w:eastAsia="Times New Roman" w:cs="Arial"/>
          <w:b/>
          <w:lang w:eastAsia="es-ES"/>
        </w:rPr>
        <w:t>7</w:t>
      </w:r>
      <w:r w:rsidRPr="00BC521A">
        <w:rPr>
          <w:rFonts w:eastAsia="Times New Roman" w:cs="Arial"/>
          <w:lang w:eastAsia="es-ES"/>
        </w:rPr>
        <w:t xml:space="preserve"> “</w:t>
      </w:r>
      <w:r w:rsidRPr="00BC521A">
        <w:rPr>
          <w:rFonts w:eastAsia="Times New Roman" w:cs="Arial"/>
          <w:b/>
          <w:i/>
          <w:lang w:eastAsia="es-ES"/>
        </w:rPr>
        <w:t>Talleres de fortalecimiento de vínculos</w:t>
      </w:r>
      <w:r w:rsidRPr="00BC521A">
        <w:rPr>
          <w:rFonts w:eastAsia="Times New Roman" w:cs="Arial"/>
          <w:lang w:eastAsia="es-ES"/>
        </w:rPr>
        <w:t xml:space="preserve">” con la participación de entre </w:t>
      </w:r>
      <w:r w:rsidRPr="00BC521A">
        <w:rPr>
          <w:rFonts w:eastAsia="Times New Roman" w:cs="Arial"/>
          <w:b/>
          <w:lang w:eastAsia="es-ES"/>
        </w:rPr>
        <w:t>259</w:t>
      </w:r>
      <w:r w:rsidRPr="00BC521A">
        <w:rPr>
          <w:rFonts w:eastAsia="Times New Roman" w:cs="Arial"/>
          <w:lang w:eastAsia="es-ES"/>
        </w:rPr>
        <w:t xml:space="preserve"> padres, hijos e hijas, de las Regionales de Bolívar, Valle d</w:t>
      </w:r>
      <w:r w:rsidR="00195537">
        <w:rPr>
          <w:rFonts w:eastAsia="Times New Roman" w:cs="Arial"/>
          <w:lang w:eastAsia="es-ES"/>
        </w:rPr>
        <w:t>el Cauca, Santander, Antioquia.</w:t>
      </w:r>
    </w:p>
    <w:p w:rsidR="00195537" w:rsidRPr="00BC521A" w:rsidRDefault="00195537" w:rsidP="00195537">
      <w:pPr>
        <w:widowControl w:val="0"/>
        <w:autoSpaceDE w:val="0"/>
        <w:autoSpaceDN w:val="0"/>
        <w:adjustRightInd w:val="0"/>
        <w:spacing w:after="0" w:line="240" w:lineRule="auto"/>
        <w:jc w:val="both"/>
        <w:rPr>
          <w:rFonts w:eastAsia="Times New Roman" w:cs="Arial"/>
          <w:lang w:eastAsia="es-ES"/>
        </w:rPr>
      </w:pPr>
    </w:p>
    <w:p w:rsidR="00BC521A" w:rsidRDefault="00BC521A" w:rsidP="00D712DC">
      <w:pPr>
        <w:widowControl w:val="0"/>
        <w:numPr>
          <w:ilvl w:val="0"/>
          <w:numId w:val="78"/>
        </w:numPr>
        <w:autoSpaceDE w:val="0"/>
        <w:autoSpaceDN w:val="0"/>
        <w:adjustRightInd w:val="0"/>
        <w:spacing w:after="0" w:line="240" w:lineRule="auto"/>
        <w:jc w:val="both"/>
        <w:rPr>
          <w:rFonts w:eastAsia="Times New Roman" w:cs="Arial"/>
          <w:lang w:eastAsia="es-ES"/>
        </w:rPr>
      </w:pPr>
      <w:r w:rsidRPr="00BC521A">
        <w:rPr>
          <w:rFonts w:eastAsia="Times New Roman" w:cs="Arial"/>
          <w:lang w:eastAsia="es-ES"/>
        </w:rPr>
        <w:lastRenderedPageBreak/>
        <w:t xml:space="preserve">Vinculación de </w:t>
      </w:r>
      <w:r w:rsidRPr="00BC521A">
        <w:rPr>
          <w:rFonts w:eastAsia="Times New Roman" w:cs="Arial"/>
          <w:b/>
          <w:lang w:eastAsia="es-ES"/>
        </w:rPr>
        <w:t>2.612</w:t>
      </w:r>
      <w:r w:rsidRPr="00BC521A">
        <w:rPr>
          <w:rFonts w:eastAsia="Times New Roman" w:cs="Arial"/>
          <w:b/>
          <w:vertAlign w:val="superscript"/>
          <w:lang w:eastAsia="es-ES"/>
        </w:rPr>
        <w:footnoteReference w:id="35"/>
      </w:r>
      <w:r w:rsidRPr="00BC521A">
        <w:rPr>
          <w:rFonts w:eastAsia="Times New Roman" w:cs="Arial"/>
          <w:b/>
          <w:lang w:eastAsia="es-ES"/>
        </w:rPr>
        <w:t xml:space="preserve"> </w:t>
      </w:r>
      <w:r w:rsidRPr="00BC521A">
        <w:rPr>
          <w:rFonts w:eastAsia="Times New Roman" w:cs="Arial"/>
          <w:lang w:eastAsia="es-ES"/>
        </w:rPr>
        <w:t>familias de Protección a la modalidad Familias con Bi</w:t>
      </w:r>
      <w:r w:rsidR="00006807">
        <w:rPr>
          <w:rFonts w:eastAsia="Times New Roman" w:cs="Arial"/>
          <w:lang w:eastAsia="es-ES"/>
        </w:rPr>
        <w:t>enestar de la siguiente manera:</w:t>
      </w:r>
    </w:p>
    <w:p w:rsidR="00006807" w:rsidRPr="00BC521A" w:rsidRDefault="00006807" w:rsidP="00006807">
      <w:pPr>
        <w:widowControl w:val="0"/>
        <w:autoSpaceDE w:val="0"/>
        <w:autoSpaceDN w:val="0"/>
        <w:adjustRightInd w:val="0"/>
        <w:spacing w:after="0" w:line="240" w:lineRule="auto"/>
        <w:ind w:left="720"/>
        <w:jc w:val="both"/>
        <w:rPr>
          <w:rFonts w:eastAsia="Times New Roman" w:cs="Arial"/>
          <w:lang w:eastAsia="es-ES"/>
        </w:rPr>
      </w:pP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47</w:t>
      </w:r>
      <w:r w:rsidRPr="00BC521A">
        <w:rPr>
          <w:rFonts w:eastAsia="Times New Roman" w:cs="Arial"/>
          <w:lang w:eastAsia="es-ES"/>
        </w:rPr>
        <w:t xml:space="preserve"> Asistencia y Asesoría a la Familia.</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 xml:space="preserve">12 </w:t>
      </w:r>
      <w:r w:rsidRPr="00BC521A">
        <w:rPr>
          <w:rFonts w:eastAsia="Times New Roman" w:cs="Arial"/>
          <w:lang w:eastAsia="es-ES"/>
        </w:rPr>
        <w:t>Desvinculados</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118</w:t>
      </w:r>
      <w:r w:rsidRPr="00BC521A">
        <w:rPr>
          <w:rFonts w:eastAsia="Times New Roman" w:cs="Arial"/>
          <w:lang w:eastAsia="es-ES"/>
        </w:rPr>
        <w:t xml:space="preserve"> Hogares Sustitutos.</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755</w:t>
      </w:r>
      <w:r w:rsidRPr="00BC521A">
        <w:rPr>
          <w:rFonts w:eastAsia="Times New Roman" w:cs="Arial"/>
          <w:lang w:eastAsia="es-ES"/>
        </w:rPr>
        <w:t xml:space="preserve"> Sistema de Responsabilidad Penal para Adolescentes </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671</w:t>
      </w:r>
      <w:r w:rsidRPr="00BC521A">
        <w:rPr>
          <w:rFonts w:eastAsia="Times New Roman" w:cs="Arial"/>
          <w:lang w:eastAsia="es-ES"/>
        </w:rPr>
        <w:t xml:space="preserve"> Otras formas de vulneración.</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217</w:t>
      </w:r>
      <w:r w:rsidRPr="00BC521A">
        <w:rPr>
          <w:rFonts w:eastAsia="Times New Roman" w:cs="Arial"/>
          <w:lang w:eastAsia="es-ES"/>
        </w:rPr>
        <w:t xml:space="preserve"> Trabajo Infantil.</w:t>
      </w:r>
    </w:p>
    <w:p w:rsidR="00BC521A" w:rsidRPr="00BC521A" w:rsidRDefault="00BC521A" w:rsidP="00D712DC">
      <w:pPr>
        <w:widowControl w:val="0"/>
        <w:numPr>
          <w:ilvl w:val="0"/>
          <w:numId w:val="79"/>
        </w:numPr>
        <w:autoSpaceDE w:val="0"/>
        <w:autoSpaceDN w:val="0"/>
        <w:adjustRightInd w:val="0"/>
        <w:spacing w:after="0" w:line="240" w:lineRule="auto"/>
        <w:jc w:val="both"/>
        <w:rPr>
          <w:rFonts w:eastAsia="Times New Roman" w:cs="Arial"/>
          <w:lang w:eastAsia="es-ES"/>
        </w:rPr>
      </w:pPr>
      <w:r w:rsidRPr="00BC521A">
        <w:rPr>
          <w:rFonts w:eastAsia="Times New Roman" w:cs="Arial"/>
          <w:b/>
          <w:lang w:eastAsia="es-ES"/>
        </w:rPr>
        <w:t>792</w:t>
      </w:r>
      <w:r w:rsidRPr="00BC521A">
        <w:rPr>
          <w:rFonts w:eastAsia="Times New Roman" w:cs="Arial"/>
          <w:lang w:eastAsia="es-ES"/>
        </w:rPr>
        <w:t xml:space="preserve"> Familias de protección ubicadas directamente por las regionales.</w:t>
      </w:r>
    </w:p>
    <w:p w:rsidR="00217275" w:rsidRDefault="00217275" w:rsidP="002E6615">
      <w:pPr>
        <w:ind w:left="360" w:firstLine="708"/>
        <w:rPr>
          <w:rFonts w:eastAsiaTheme="majorEastAsia"/>
          <w:b/>
        </w:rPr>
      </w:pPr>
      <w:bookmarkStart w:id="133" w:name="_Toc472519305"/>
    </w:p>
    <w:p w:rsidR="00BC521A" w:rsidRPr="002E6615" w:rsidRDefault="00BC521A" w:rsidP="002E6615">
      <w:pPr>
        <w:ind w:left="360" w:firstLine="708"/>
        <w:rPr>
          <w:rFonts w:eastAsiaTheme="majorEastAsia"/>
          <w:b/>
        </w:rPr>
      </w:pPr>
      <w:r w:rsidRPr="002E6615">
        <w:rPr>
          <w:rFonts w:eastAsiaTheme="majorEastAsia"/>
          <w:b/>
        </w:rPr>
        <w:t>Proyecto sueños</w:t>
      </w:r>
      <w:bookmarkEnd w:id="133"/>
    </w:p>
    <w:p w:rsidR="00BC521A" w:rsidRPr="00BC521A" w:rsidRDefault="00BC521A" w:rsidP="00BC521A">
      <w:pPr>
        <w:spacing w:after="0" w:line="240" w:lineRule="auto"/>
        <w:jc w:val="both"/>
        <w:rPr>
          <w:rFonts w:cs="Arial"/>
          <w:b/>
        </w:rPr>
      </w:pPr>
      <w:r w:rsidRPr="00BC521A">
        <w:rPr>
          <w:rFonts w:cs="Arial"/>
          <w:spacing w:val="-4"/>
        </w:rPr>
        <w:t>La iniciativa “Proyecto sueños, Oportunidades para volar” de la Dirección de Protección busca favorecer la construcción del proyecto de vida de los adolescentes y jóvenes, así como ofrecerles herramientas para asumir posteriormente una vida autónoma e independiente. Dentro de las estrategias planteadas para dicho fin, en el año 2016 se lograron los siguientes resultados:</w:t>
      </w:r>
    </w:p>
    <w:p w:rsidR="00BC521A" w:rsidRPr="00BC521A" w:rsidRDefault="00BC521A" w:rsidP="00BC521A">
      <w:pPr>
        <w:spacing w:after="0" w:line="240" w:lineRule="auto"/>
        <w:ind w:left="360"/>
        <w:contextualSpacing/>
        <w:jc w:val="both"/>
        <w:rPr>
          <w:rFonts w:cs="Arial"/>
          <w:spacing w:val="-4"/>
        </w:rPr>
      </w:pPr>
    </w:p>
    <w:p w:rsidR="00BC521A" w:rsidRPr="00872A46" w:rsidRDefault="00BC521A" w:rsidP="00D712DC">
      <w:pPr>
        <w:numPr>
          <w:ilvl w:val="0"/>
          <w:numId w:val="86"/>
        </w:numPr>
        <w:spacing w:after="0" w:line="240" w:lineRule="auto"/>
        <w:ind w:left="360"/>
        <w:contextualSpacing/>
        <w:jc w:val="both"/>
        <w:rPr>
          <w:rFonts w:cs="Arial"/>
          <w:b/>
          <w:spacing w:val="-4"/>
        </w:rPr>
      </w:pPr>
      <w:r w:rsidRPr="00872A46">
        <w:rPr>
          <w:rFonts w:cs="Arial"/>
          <w:b/>
          <w:spacing w:val="-4"/>
        </w:rPr>
        <w:t xml:space="preserve">En el componente de Educación </w:t>
      </w:r>
    </w:p>
    <w:p w:rsidR="00BC521A" w:rsidRPr="00872A46" w:rsidRDefault="00BC521A" w:rsidP="00BC521A">
      <w:pPr>
        <w:spacing w:after="0" w:line="240" w:lineRule="auto"/>
        <w:contextualSpacing/>
        <w:jc w:val="both"/>
        <w:rPr>
          <w:rFonts w:cs="Arial"/>
          <w:spacing w:val="-4"/>
        </w:rPr>
      </w:pPr>
    </w:p>
    <w:tbl>
      <w:tblPr>
        <w:tblStyle w:val="Tabladecuadrcula6concolores-nfasis31"/>
        <w:tblW w:w="938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7359"/>
        <w:gridCol w:w="2021"/>
      </w:tblGrid>
      <w:tr w:rsidR="00BC521A" w:rsidRPr="009B308B" w:rsidTr="003A5EB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359" w:type="dxa"/>
            <w:tcBorders>
              <w:bottom w:val="none" w:sz="0" w:space="0" w:color="auto"/>
            </w:tcBorders>
            <w:shd w:val="clear" w:color="auto" w:fill="76923C" w:themeFill="accent3" w:themeFillShade="BF"/>
            <w:vAlign w:val="center"/>
            <w:hideMark/>
          </w:tcPr>
          <w:p w:rsidR="00BC521A" w:rsidRPr="009B308B" w:rsidRDefault="00BC521A" w:rsidP="00BC521A">
            <w:pPr>
              <w:spacing w:after="0" w:line="240" w:lineRule="auto"/>
              <w:contextualSpacing/>
              <w:jc w:val="center"/>
              <w:rPr>
                <w:rFonts w:cs="Arial"/>
                <w:color w:val="FFFFFF" w:themeColor="background1"/>
                <w:spacing w:val="-4"/>
                <w:sz w:val="18"/>
                <w:szCs w:val="18"/>
              </w:rPr>
            </w:pPr>
            <w:r w:rsidRPr="009B308B">
              <w:rPr>
                <w:rFonts w:cs="Arial"/>
                <w:color w:val="FFFFFF" w:themeColor="background1"/>
                <w:spacing w:val="-4"/>
                <w:sz w:val="18"/>
                <w:szCs w:val="18"/>
              </w:rPr>
              <w:t>Asunto</w:t>
            </w:r>
          </w:p>
        </w:tc>
        <w:tc>
          <w:tcPr>
            <w:tcW w:w="2021" w:type="dxa"/>
            <w:tcBorders>
              <w:bottom w:val="none" w:sz="0" w:space="0" w:color="auto"/>
            </w:tcBorders>
            <w:shd w:val="clear" w:color="auto" w:fill="76923C" w:themeFill="accent3" w:themeFillShade="BF"/>
            <w:vAlign w:val="center"/>
          </w:tcPr>
          <w:p w:rsidR="00BC521A" w:rsidRPr="009B308B" w:rsidRDefault="00BC521A" w:rsidP="00BC521A">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pacing w:val="-4"/>
                <w:sz w:val="18"/>
                <w:szCs w:val="18"/>
              </w:rPr>
            </w:pPr>
            <w:r w:rsidRPr="009B308B">
              <w:rPr>
                <w:rFonts w:cs="Arial"/>
                <w:color w:val="FFFFFF" w:themeColor="background1"/>
                <w:spacing w:val="-4"/>
                <w:sz w:val="18"/>
                <w:szCs w:val="18"/>
              </w:rPr>
              <w:t>2016</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color w:val="auto"/>
                <w:spacing w:val="-4"/>
                <w:sz w:val="18"/>
                <w:szCs w:val="18"/>
              </w:rPr>
            </w:pPr>
            <w:r w:rsidRPr="009B308B">
              <w:rPr>
                <w:rFonts w:cs="Arial"/>
                <w:color w:val="auto"/>
                <w:spacing w:val="-4"/>
                <w:sz w:val="18"/>
                <w:szCs w:val="18"/>
              </w:rPr>
              <w:t>Total de adolescentes y jóvenes vinculados a estudios de educación superior 2016 A</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b/>
                <w:color w:val="auto"/>
                <w:spacing w:val="-4"/>
                <w:sz w:val="18"/>
                <w:szCs w:val="18"/>
              </w:rPr>
            </w:pPr>
            <w:r w:rsidRPr="009B308B">
              <w:rPr>
                <w:rFonts w:cs="Arial"/>
                <w:b/>
                <w:color w:val="auto"/>
                <w:spacing w:val="-4"/>
                <w:sz w:val="18"/>
                <w:szCs w:val="18"/>
              </w:rPr>
              <w:t>673</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b w:val="0"/>
                <w:i/>
                <w:color w:val="auto"/>
                <w:spacing w:val="-4"/>
                <w:sz w:val="18"/>
                <w:szCs w:val="18"/>
              </w:rPr>
            </w:pPr>
            <w:r w:rsidRPr="009B308B">
              <w:rPr>
                <w:rFonts w:cs="Arial"/>
                <w:i/>
                <w:color w:val="auto"/>
                <w:spacing w:val="-4"/>
                <w:sz w:val="18"/>
                <w:szCs w:val="18"/>
              </w:rPr>
              <w:t>Programas universitarios</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512</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tabs>
                <w:tab w:val="left" w:pos="2850"/>
              </w:tabs>
              <w:spacing w:after="0" w:line="240" w:lineRule="auto"/>
              <w:ind w:left="306"/>
              <w:contextualSpacing/>
              <w:jc w:val="both"/>
              <w:rPr>
                <w:rFonts w:cs="Arial"/>
                <w:i/>
                <w:color w:val="auto"/>
                <w:spacing w:val="-4"/>
                <w:sz w:val="18"/>
                <w:szCs w:val="18"/>
              </w:rPr>
            </w:pPr>
            <w:r w:rsidRPr="009B308B">
              <w:rPr>
                <w:rFonts w:cs="Arial"/>
                <w:i/>
                <w:color w:val="auto"/>
                <w:spacing w:val="-4"/>
                <w:sz w:val="18"/>
                <w:szCs w:val="18"/>
              </w:rPr>
              <w:t>Programas tecnológicos</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37</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i/>
                <w:color w:val="auto"/>
                <w:spacing w:val="-4"/>
                <w:sz w:val="18"/>
                <w:szCs w:val="18"/>
              </w:rPr>
            </w:pPr>
            <w:r w:rsidRPr="009B308B">
              <w:rPr>
                <w:rFonts w:cs="Arial"/>
                <w:i/>
                <w:color w:val="auto"/>
                <w:spacing w:val="-4"/>
                <w:sz w:val="18"/>
                <w:szCs w:val="18"/>
              </w:rPr>
              <w:t>Técnicos profesionales</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42</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b w:val="0"/>
                <w:color w:val="auto"/>
                <w:spacing w:val="-4"/>
                <w:sz w:val="18"/>
                <w:szCs w:val="18"/>
              </w:rPr>
            </w:pPr>
            <w:r w:rsidRPr="009B308B">
              <w:rPr>
                <w:rFonts w:cs="Arial"/>
                <w:i/>
                <w:color w:val="auto"/>
                <w:spacing w:val="-4"/>
                <w:sz w:val="18"/>
                <w:szCs w:val="18"/>
              </w:rPr>
              <w:t>Programas de Formación para el Trabajo y el Desarrollo Humano</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82</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color w:val="auto"/>
                <w:spacing w:val="-4"/>
                <w:sz w:val="18"/>
                <w:szCs w:val="18"/>
              </w:rPr>
            </w:pPr>
            <w:r w:rsidRPr="009B308B">
              <w:rPr>
                <w:rFonts w:cs="Arial"/>
                <w:color w:val="auto"/>
                <w:spacing w:val="-4"/>
                <w:sz w:val="18"/>
                <w:szCs w:val="18"/>
              </w:rPr>
              <w:t>Total de adolescentes y jóvenes vinculados a estudios de educación superior 2016 B</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b/>
                <w:color w:val="auto"/>
                <w:spacing w:val="-4"/>
                <w:sz w:val="18"/>
                <w:szCs w:val="18"/>
                <w:lang w:val="es-CO"/>
              </w:rPr>
            </w:pPr>
            <w:r w:rsidRPr="009B308B">
              <w:rPr>
                <w:rFonts w:cs="Arial"/>
                <w:b/>
                <w:color w:val="auto"/>
                <w:spacing w:val="-4"/>
                <w:sz w:val="18"/>
                <w:szCs w:val="18"/>
                <w:lang w:val="es-CO"/>
              </w:rPr>
              <w:t>620</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b w:val="0"/>
                <w:i/>
                <w:color w:val="auto"/>
                <w:spacing w:val="-4"/>
                <w:sz w:val="18"/>
                <w:szCs w:val="18"/>
              </w:rPr>
            </w:pPr>
            <w:r w:rsidRPr="009B308B">
              <w:rPr>
                <w:rFonts w:cs="Arial"/>
                <w:i/>
                <w:color w:val="auto"/>
                <w:spacing w:val="-4"/>
                <w:sz w:val="18"/>
                <w:szCs w:val="18"/>
              </w:rPr>
              <w:t>Programas universitarios</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502</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tabs>
                <w:tab w:val="left" w:pos="2850"/>
              </w:tabs>
              <w:spacing w:after="0" w:line="240" w:lineRule="auto"/>
              <w:ind w:left="306"/>
              <w:contextualSpacing/>
              <w:jc w:val="both"/>
              <w:rPr>
                <w:rFonts w:cs="Arial"/>
                <w:i/>
                <w:color w:val="auto"/>
                <w:spacing w:val="-4"/>
                <w:sz w:val="18"/>
                <w:szCs w:val="18"/>
              </w:rPr>
            </w:pPr>
            <w:r w:rsidRPr="009B308B">
              <w:rPr>
                <w:rFonts w:cs="Arial"/>
                <w:i/>
                <w:color w:val="auto"/>
                <w:spacing w:val="-4"/>
                <w:sz w:val="18"/>
                <w:szCs w:val="18"/>
              </w:rPr>
              <w:t>Programas tecnológicos</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18</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i/>
                <w:color w:val="auto"/>
                <w:spacing w:val="-4"/>
                <w:sz w:val="18"/>
                <w:szCs w:val="18"/>
              </w:rPr>
            </w:pPr>
            <w:r w:rsidRPr="009B308B">
              <w:rPr>
                <w:rFonts w:cs="Arial"/>
                <w:i/>
                <w:color w:val="auto"/>
                <w:spacing w:val="-4"/>
                <w:sz w:val="18"/>
                <w:szCs w:val="18"/>
              </w:rPr>
              <w:t>Técnicos profesionales</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15</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b w:val="0"/>
                <w:i/>
                <w:color w:val="auto"/>
                <w:spacing w:val="-4"/>
                <w:sz w:val="18"/>
                <w:szCs w:val="18"/>
              </w:rPr>
            </w:pPr>
            <w:r w:rsidRPr="009B308B">
              <w:rPr>
                <w:rFonts w:cs="Arial"/>
                <w:i/>
                <w:color w:val="auto"/>
                <w:spacing w:val="-4"/>
                <w:sz w:val="18"/>
                <w:szCs w:val="18"/>
              </w:rPr>
              <w:t>Programas de Formación para el Trabajo y el Desarrollo Humano</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i/>
                <w:color w:val="auto"/>
                <w:spacing w:val="-4"/>
                <w:sz w:val="18"/>
                <w:szCs w:val="18"/>
                <w:lang w:val="es-CO"/>
              </w:rPr>
            </w:pPr>
            <w:r w:rsidRPr="009B308B">
              <w:rPr>
                <w:rFonts w:cs="Arial"/>
                <w:i/>
                <w:color w:val="auto"/>
                <w:spacing w:val="-4"/>
                <w:sz w:val="18"/>
                <w:szCs w:val="18"/>
                <w:lang w:val="es-CO"/>
              </w:rPr>
              <w:t>85</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hideMark/>
          </w:tcPr>
          <w:p w:rsidR="00BC521A" w:rsidRPr="009B308B" w:rsidRDefault="00BC521A" w:rsidP="00BC521A">
            <w:pPr>
              <w:spacing w:after="0" w:line="240" w:lineRule="auto"/>
              <w:contextualSpacing/>
              <w:jc w:val="both"/>
              <w:rPr>
                <w:rFonts w:cs="Arial"/>
                <w:color w:val="auto"/>
                <w:spacing w:val="-4"/>
                <w:sz w:val="18"/>
                <w:szCs w:val="18"/>
              </w:rPr>
            </w:pPr>
            <w:r w:rsidRPr="009B308B">
              <w:rPr>
                <w:rFonts w:cs="Arial"/>
                <w:color w:val="auto"/>
                <w:spacing w:val="-4"/>
                <w:sz w:val="18"/>
                <w:szCs w:val="18"/>
              </w:rPr>
              <w:t>Valor Total de las 1.293 Matriculas pagadas ICETEX</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b/>
                <w:color w:val="auto"/>
                <w:spacing w:val="-4"/>
                <w:sz w:val="18"/>
                <w:szCs w:val="18"/>
              </w:rPr>
            </w:pPr>
            <w:r w:rsidRPr="009B308B">
              <w:rPr>
                <w:rFonts w:cs="Arial"/>
                <w:b/>
                <w:color w:val="auto"/>
                <w:spacing w:val="-4"/>
                <w:sz w:val="18"/>
                <w:szCs w:val="18"/>
              </w:rPr>
              <w:t>$ 3.373.226.534</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i/>
                <w:color w:val="auto"/>
                <w:spacing w:val="-4"/>
                <w:sz w:val="18"/>
                <w:szCs w:val="18"/>
              </w:rPr>
            </w:pPr>
            <w:r w:rsidRPr="009B308B">
              <w:rPr>
                <w:rFonts w:cs="Arial"/>
                <w:i/>
                <w:color w:val="auto"/>
                <w:spacing w:val="-4"/>
                <w:sz w:val="18"/>
                <w:szCs w:val="18"/>
              </w:rPr>
              <w:t>Presupuesto para pago de matrículas 2016A</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i/>
                <w:color w:val="auto"/>
                <w:spacing w:val="-4"/>
                <w:sz w:val="18"/>
                <w:szCs w:val="18"/>
              </w:rPr>
            </w:pPr>
            <w:r w:rsidRPr="009B308B">
              <w:rPr>
                <w:rFonts w:cs="Arial"/>
                <w:i/>
                <w:color w:val="auto"/>
                <w:spacing w:val="-4"/>
                <w:sz w:val="18"/>
                <w:szCs w:val="18"/>
              </w:rPr>
              <w:t>$ 1.688.798.611</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ind w:left="306"/>
              <w:contextualSpacing/>
              <w:jc w:val="both"/>
              <w:rPr>
                <w:rFonts w:cs="Arial"/>
                <w:b w:val="0"/>
                <w:i/>
                <w:color w:val="auto"/>
                <w:spacing w:val="-4"/>
                <w:sz w:val="18"/>
                <w:szCs w:val="18"/>
              </w:rPr>
            </w:pPr>
            <w:r w:rsidRPr="009B308B">
              <w:rPr>
                <w:rFonts w:cs="Arial"/>
                <w:i/>
                <w:color w:val="auto"/>
                <w:spacing w:val="-4"/>
                <w:sz w:val="18"/>
                <w:szCs w:val="18"/>
              </w:rPr>
              <w:t>Presupuesto para pago de matrículas 2016B</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i/>
                <w:color w:val="auto"/>
                <w:spacing w:val="-4"/>
                <w:sz w:val="18"/>
                <w:szCs w:val="18"/>
              </w:rPr>
            </w:pPr>
            <w:r w:rsidRPr="009B308B">
              <w:rPr>
                <w:rFonts w:cs="Arial"/>
                <w:i/>
                <w:color w:val="auto"/>
                <w:spacing w:val="-4"/>
                <w:sz w:val="18"/>
                <w:szCs w:val="18"/>
              </w:rPr>
              <w:t>$ 1.684.427.923</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color w:val="auto"/>
                <w:spacing w:val="-4"/>
                <w:sz w:val="18"/>
                <w:szCs w:val="18"/>
                <w:lang w:val="es-CO"/>
              </w:rPr>
            </w:pPr>
            <w:r w:rsidRPr="009B308B">
              <w:rPr>
                <w:rFonts w:cs="Arial"/>
                <w:color w:val="auto"/>
                <w:spacing w:val="-4"/>
                <w:sz w:val="18"/>
                <w:szCs w:val="18"/>
                <w:lang w:val="es-CO"/>
              </w:rPr>
              <w:t xml:space="preserve">Instituciones de Educación Vinculadas a la Iniciativa del Proyecto Sueños </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b/>
                <w:color w:val="auto"/>
                <w:spacing w:val="-4"/>
                <w:sz w:val="18"/>
                <w:szCs w:val="18"/>
                <w:lang w:val="es-CO"/>
              </w:rPr>
            </w:pPr>
            <w:r w:rsidRPr="009B308B">
              <w:rPr>
                <w:rFonts w:cs="Arial"/>
                <w:b/>
                <w:color w:val="auto"/>
                <w:spacing w:val="-4"/>
                <w:sz w:val="18"/>
                <w:szCs w:val="18"/>
                <w:lang w:val="es-CO"/>
              </w:rPr>
              <w:t>202</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hideMark/>
          </w:tcPr>
          <w:p w:rsidR="00BC521A" w:rsidRPr="009B308B" w:rsidRDefault="00BC521A" w:rsidP="00BC521A">
            <w:pPr>
              <w:spacing w:after="0" w:line="240" w:lineRule="auto"/>
              <w:contextualSpacing/>
              <w:jc w:val="both"/>
              <w:rPr>
                <w:rFonts w:cs="Arial"/>
                <w:b w:val="0"/>
                <w:color w:val="auto"/>
                <w:spacing w:val="-4"/>
                <w:sz w:val="18"/>
                <w:szCs w:val="18"/>
              </w:rPr>
            </w:pPr>
            <w:r w:rsidRPr="009B308B">
              <w:rPr>
                <w:rFonts w:cs="Arial"/>
                <w:color w:val="auto"/>
                <w:spacing w:val="-4"/>
                <w:sz w:val="18"/>
                <w:szCs w:val="18"/>
              </w:rPr>
              <w:t>Deserciones/Retiros/Egresos</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18"/>
              </w:rPr>
            </w:pPr>
            <w:r w:rsidRPr="009B308B">
              <w:rPr>
                <w:rFonts w:cs="Arial"/>
                <w:color w:val="auto"/>
                <w:spacing w:val="-4"/>
                <w:sz w:val="18"/>
                <w:szCs w:val="18"/>
              </w:rPr>
              <w:t>12</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rPr>
            </w:pPr>
            <w:r w:rsidRPr="009B308B">
              <w:rPr>
                <w:rFonts w:cs="Arial"/>
                <w:color w:val="auto"/>
                <w:sz w:val="18"/>
                <w:szCs w:val="18"/>
              </w:rPr>
              <w:t>Estudiantes</w:t>
            </w:r>
            <w:r w:rsidRPr="009B308B">
              <w:rPr>
                <w:rFonts w:cs="Arial"/>
                <w:color w:val="auto"/>
                <w:spacing w:val="-4"/>
                <w:sz w:val="18"/>
                <w:szCs w:val="18"/>
              </w:rPr>
              <w:t xml:space="preserve"> vinculados a bienestar universitario</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pacing w:val="-4"/>
                <w:sz w:val="18"/>
                <w:szCs w:val="18"/>
              </w:rPr>
            </w:pPr>
            <w:r w:rsidRPr="009B308B">
              <w:rPr>
                <w:rFonts w:cs="Arial"/>
                <w:color w:val="auto"/>
                <w:sz w:val="18"/>
                <w:szCs w:val="18"/>
              </w:rPr>
              <w:t>67.7% de 1.293 estudiantes</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rPr>
            </w:pPr>
            <w:r w:rsidRPr="009B308B">
              <w:rPr>
                <w:rFonts w:cs="Arial"/>
                <w:color w:val="auto"/>
                <w:spacing w:val="-4"/>
                <w:sz w:val="18"/>
                <w:szCs w:val="18"/>
              </w:rPr>
              <w:t>Estudiantes vinculados a Programas de permanencia universitaria</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18"/>
              </w:rPr>
            </w:pPr>
            <w:r w:rsidRPr="009B308B">
              <w:rPr>
                <w:rFonts w:cs="Arial"/>
                <w:color w:val="auto"/>
                <w:sz w:val="18"/>
                <w:szCs w:val="18"/>
              </w:rPr>
              <w:t>69.2% de 1.293 estudiantes</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Jóvenes graduados</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130 jóvenes</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Jóvenes vinculados a programas de preparación para las Pruebas Saber 11</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346</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Jóvenes participando del Programa de Refuerzo Estudiantil</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40</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color w:val="auto"/>
                <w:spacing w:val="-4"/>
                <w:sz w:val="18"/>
                <w:szCs w:val="18"/>
                <w:lang w:val="es-CO"/>
              </w:rPr>
            </w:pPr>
            <w:r w:rsidRPr="009B308B">
              <w:rPr>
                <w:rFonts w:cs="Arial"/>
                <w:color w:val="auto"/>
                <w:spacing w:val="-4"/>
                <w:sz w:val="18"/>
                <w:szCs w:val="18"/>
                <w:lang w:val="es-CO"/>
              </w:rPr>
              <w:t>Jóvenes beneficiarios del Programa Jóvenes en Acción</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83</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Beneficiarios de Cursos de Inglés</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4 jóvenes</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Jornadas Orientación Socio- Ocupacional.</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lang w:val="es-CO"/>
              </w:rPr>
            </w:pPr>
            <w:r w:rsidRPr="009B308B">
              <w:rPr>
                <w:rFonts w:cs="Arial"/>
                <w:color w:val="auto"/>
                <w:spacing w:val="-4"/>
                <w:sz w:val="18"/>
                <w:szCs w:val="18"/>
                <w:lang w:val="es-CO"/>
              </w:rPr>
              <w:t>28 Regionales, 30 tutores formados, 292 Beneficiarios</w:t>
            </w:r>
          </w:p>
        </w:tc>
      </w:tr>
      <w:tr w:rsidR="00BC521A" w:rsidRPr="009B308B" w:rsidTr="003A5EB9">
        <w:trPr>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lastRenderedPageBreak/>
              <w:t xml:space="preserve">Encuentro Nacional Enlaces Regionales y Mesa Nacional de Jóvenes </w:t>
            </w:r>
          </w:p>
        </w:tc>
        <w:tc>
          <w:tcPr>
            <w:tcW w:w="2021" w:type="dxa"/>
            <w:vAlign w:val="center"/>
          </w:tcPr>
          <w:p w:rsidR="00BC521A" w:rsidRPr="009B308B"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9B308B">
              <w:rPr>
                <w:rFonts w:cs="Arial"/>
                <w:color w:val="auto"/>
                <w:sz w:val="18"/>
                <w:szCs w:val="18"/>
              </w:rPr>
              <w:t>31 enlaces regionales y 33 jóvenes</w:t>
            </w:r>
          </w:p>
        </w:tc>
      </w:tr>
      <w:tr w:rsidR="00BC521A" w:rsidRPr="009B308B" w:rsidTr="003A5E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59" w:type="dxa"/>
            <w:vAlign w:val="center"/>
          </w:tcPr>
          <w:p w:rsidR="00BC521A" w:rsidRPr="009B308B" w:rsidRDefault="00BC521A" w:rsidP="00BC521A">
            <w:pPr>
              <w:spacing w:after="0" w:line="240" w:lineRule="auto"/>
              <w:contextualSpacing/>
              <w:jc w:val="both"/>
              <w:rPr>
                <w:rFonts w:cs="Arial"/>
                <w:b w:val="0"/>
                <w:color w:val="auto"/>
                <w:spacing w:val="-4"/>
                <w:sz w:val="18"/>
                <w:szCs w:val="18"/>
                <w:lang w:val="es-CO"/>
              </w:rPr>
            </w:pPr>
            <w:r w:rsidRPr="009B308B">
              <w:rPr>
                <w:rFonts w:cs="Arial"/>
                <w:color w:val="auto"/>
                <w:spacing w:val="-4"/>
                <w:sz w:val="18"/>
                <w:szCs w:val="18"/>
                <w:lang w:val="es-CO"/>
              </w:rPr>
              <w:t xml:space="preserve">Encuentro Nacional de Jóvenes </w:t>
            </w:r>
          </w:p>
        </w:tc>
        <w:tc>
          <w:tcPr>
            <w:tcW w:w="2021" w:type="dxa"/>
            <w:vAlign w:val="center"/>
          </w:tcPr>
          <w:p w:rsidR="00BC521A" w:rsidRPr="009B308B"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18"/>
                <w:lang w:val="es-CO"/>
              </w:rPr>
            </w:pPr>
            <w:r w:rsidRPr="009B308B">
              <w:rPr>
                <w:rFonts w:cs="Arial"/>
                <w:color w:val="auto"/>
                <w:spacing w:val="-4"/>
                <w:sz w:val="18"/>
                <w:szCs w:val="18"/>
                <w:lang w:val="es-CO"/>
              </w:rPr>
              <w:t>108 jóvenes</w:t>
            </w:r>
          </w:p>
        </w:tc>
      </w:tr>
    </w:tbl>
    <w:p w:rsidR="00F7316B" w:rsidRDefault="00F7316B" w:rsidP="00006807">
      <w:pPr>
        <w:spacing w:after="0"/>
        <w:rPr>
          <w:iCs/>
          <w:sz w:val="16"/>
        </w:rPr>
      </w:pPr>
      <w:r w:rsidRPr="00006807">
        <w:rPr>
          <w:b/>
          <w:iCs/>
          <w:sz w:val="16"/>
        </w:rPr>
        <w:t>Fuente:</w:t>
      </w:r>
      <w:r>
        <w:rPr>
          <w:iCs/>
          <w:sz w:val="16"/>
        </w:rPr>
        <w:t xml:space="preserve"> Dirección de Protección.</w:t>
      </w:r>
    </w:p>
    <w:p w:rsidR="00F7316B" w:rsidRPr="00F7316B" w:rsidRDefault="00F7316B" w:rsidP="00006807">
      <w:pPr>
        <w:spacing w:after="0"/>
        <w:rPr>
          <w:iCs/>
          <w:sz w:val="16"/>
        </w:rPr>
      </w:pPr>
      <w:r w:rsidRPr="00D21160">
        <w:rPr>
          <w:i/>
          <w:iCs/>
          <w:sz w:val="16"/>
        </w:rPr>
        <w:t>Nota: Información preliminar, sujeta a actualización del cierre oficial de metas sociales y financieras.</w:t>
      </w:r>
    </w:p>
    <w:p w:rsidR="00F7316B" w:rsidRPr="00D21160" w:rsidRDefault="00F7316B" w:rsidP="00F7316B">
      <w:pPr>
        <w:spacing w:after="0" w:line="240" w:lineRule="auto"/>
        <w:jc w:val="both"/>
        <w:rPr>
          <w:rFonts w:cs="Arial"/>
          <w:sz w:val="16"/>
          <w:lang w:val="es-CO" w:eastAsia="es-ES"/>
        </w:rPr>
      </w:pPr>
    </w:p>
    <w:p w:rsidR="00BC521A" w:rsidRPr="007E1A7A" w:rsidRDefault="00BC521A" w:rsidP="00D712DC">
      <w:pPr>
        <w:numPr>
          <w:ilvl w:val="0"/>
          <w:numId w:val="85"/>
        </w:numPr>
        <w:spacing w:after="0" w:line="240" w:lineRule="auto"/>
        <w:contextualSpacing/>
        <w:jc w:val="both"/>
        <w:rPr>
          <w:rFonts w:cs="Arial"/>
          <w:b/>
          <w:spacing w:val="-4"/>
        </w:rPr>
      </w:pPr>
      <w:r w:rsidRPr="007E1A7A">
        <w:rPr>
          <w:rFonts w:cs="Arial"/>
          <w:b/>
          <w:spacing w:val="-4"/>
        </w:rPr>
        <w:t>En el componente Empleabilidad:</w:t>
      </w:r>
    </w:p>
    <w:p w:rsidR="00BC521A" w:rsidRPr="007E1A7A" w:rsidRDefault="00BC521A" w:rsidP="00BC521A">
      <w:pPr>
        <w:spacing w:after="0" w:line="240" w:lineRule="auto"/>
        <w:contextualSpacing/>
        <w:jc w:val="both"/>
        <w:rPr>
          <w:rFonts w:cs="Arial"/>
          <w:spacing w:val="-4"/>
          <w:lang w:val="es-CO"/>
        </w:rPr>
      </w:pPr>
    </w:p>
    <w:tbl>
      <w:tblPr>
        <w:tblStyle w:val="Tabladecuadrcula6concolores-nfasis31"/>
        <w:tblW w:w="9385" w:type="dxa"/>
        <w:tblInd w:w="108"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5573"/>
        <w:gridCol w:w="3812"/>
      </w:tblGrid>
      <w:tr w:rsidR="00BC521A" w:rsidRPr="002E55CD" w:rsidTr="003A5EB9">
        <w:trPr>
          <w:cnfStyle w:val="100000000000" w:firstRow="1" w:lastRow="0" w:firstColumn="0" w:lastColumn="0" w:oddVBand="0" w:evenVBand="0" w:oddHBand="0" w:evenHBand="0" w:firstRowFirstColumn="0" w:firstRowLastColumn="0" w:lastRowFirstColumn="0" w:lastRowLastColumn="0"/>
          <w:trHeight w:val="304"/>
          <w:tblHeader/>
        </w:trPr>
        <w:tc>
          <w:tcPr>
            <w:cnfStyle w:val="001000000000" w:firstRow="0" w:lastRow="0" w:firstColumn="1" w:lastColumn="0" w:oddVBand="0" w:evenVBand="0" w:oddHBand="0" w:evenHBand="0" w:firstRowFirstColumn="0" w:firstRowLastColumn="0" w:lastRowFirstColumn="0" w:lastRowLastColumn="0"/>
            <w:tcW w:w="5573" w:type="dxa"/>
            <w:tcBorders>
              <w:bottom w:val="none" w:sz="0" w:space="0" w:color="auto"/>
            </w:tcBorders>
            <w:shd w:val="clear" w:color="auto" w:fill="76923C" w:themeFill="accent3" w:themeFillShade="BF"/>
            <w:vAlign w:val="center"/>
          </w:tcPr>
          <w:p w:rsidR="00BC521A" w:rsidRPr="003A5EB9" w:rsidRDefault="00BC521A" w:rsidP="00BC521A">
            <w:pPr>
              <w:spacing w:after="0" w:line="240" w:lineRule="auto"/>
              <w:contextualSpacing/>
              <w:jc w:val="center"/>
              <w:rPr>
                <w:rFonts w:cs="Arial"/>
                <w:color w:val="FFFFFF" w:themeColor="background1"/>
                <w:spacing w:val="-4"/>
                <w:sz w:val="18"/>
                <w:szCs w:val="20"/>
                <w:lang w:val="es-CO"/>
              </w:rPr>
            </w:pPr>
            <w:r w:rsidRPr="003A5EB9">
              <w:rPr>
                <w:rFonts w:cs="Arial"/>
                <w:color w:val="FFFFFF" w:themeColor="background1"/>
                <w:spacing w:val="-4"/>
                <w:sz w:val="18"/>
                <w:szCs w:val="20"/>
              </w:rPr>
              <w:t>Asunto</w:t>
            </w:r>
          </w:p>
        </w:tc>
        <w:tc>
          <w:tcPr>
            <w:tcW w:w="3812" w:type="dxa"/>
            <w:tcBorders>
              <w:bottom w:val="none" w:sz="0" w:space="0" w:color="auto"/>
            </w:tcBorders>
            <w:shd w:val="clear" w:color="auto" w:fill="76923C" w:themeFill="accent3" w:themeFillShade="BF"/>
            <w:vAlign w:val="center"/>
          </w:tcPr>
          <w:p w:rsidR="00BC521A" w:rsidRPr="003A5EB9" w:rsidRDefault="00BC521A" w:rsidP="00BC521A">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pacing w:val="-4"/>
                <w:sz w:val="18"/>
                <w:szCs w:val="20"/>
                <w:lang w:val="es-CO"/>
              </w:rPr>
            </w:pPr>
            <w:r w:rsidRPr="003A5EB9">
              <w:rPr>
                <w:rFonts w:cs="Arial"/>
                <w:color w:val="FFFFFF" w:themeColor="background1"/>
                <w:spacing w:val="-4"/>
                <w:sz w:val="18"/>
                <w:szCs w:val="20"/>
              </w:rPr>
              <w:t>2016</w:t>
            </w:r>
          </w:p>
        </w:tc>
      </w:tr>
      <w:tr w:rsidR="00BC521A" w:rsidRPr="002E55CD" w:rsidTr="003A5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3" w:type="dxa"/>
            <w:shd w:val="clear" w:color="auto" w:fill="auto"/>
          </w:tcPr>
          <w:p w:rsidR="00BC521A" w:rsidRPr="003A5EB9" w:rsidRDefault="00BC521A" w:rsidP="00BC521A">
            <w:pPr>
              <w:spacing w:after="0" w:line="240" w:lineRule="auto"/>
              <w:contextualSpacing/>
              <w:jc w:val="both"/>
              <w:rPr>
                <w:rFonts w:cs="Arial"/>
                <w:b w:val="0"/>
                <w:color w:val="auto"/>
                <w:spacing w:val="-4"/>
                <w:sz w:val="18"/>
                <w:szCs w:val="20"/>
              </w:rPr>
            </w:pPr>
            <w:r w:rsidRPr="003A5EB9">
              <w:rPr>
                <w:rFonts w:cs="Arial"/>
                <w:b w:val="0"/>
                <w:color w:val="auto"/>
                <w:spacing w:val="-4"/>
                <w:sz w:val="18"/>
                <w:szCs w:val="20"/>
              </w:rPr>
              <w:t>Jóvenes vinculados laboralmente</w:t>
            </w:r>
          </w:p>
        </w:tc>
        <w:tc>
          <w:tcPr>
            <w:tcW w:w="3812" w:type="dxa"/>
            <w:shd w:val="clear" w:color="auto" w:fill="auto"/>
          </w:tcPr>
          <w:p w:rsidR="00BC521A" w:rsidRPr="007E1A7A"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20"/>
              </w:rPr>
            </w:pPr>
            <w:r w:rsidRPr="007E1A7A">
              <w:rPr>
                <w:rFonts w:cs="Arial"/>
                <w:color w:val="auto"/>
                <w:spacing w:val="-4"/>
                <w:sz w:val="18"/>
                <w:szCs w:val="20"/>
              </w:rPr>
              <w:t>303</w:t>
            </w:r>
          </w:p>
        </w:tc>
      </w:tr>
      <w:tr w:rsidR="00BC521A" w:rsidRPr="002E55CD" w:rsidTr="003A5EB9">
        <w:tc>
          <w:tcPr>
            <w:cnfStyle w:val="001000000000" w:firstRow="0" w:lastRow="0" w:firstColumn="1" w:lastColumn="0" w:oddVBand="0" w:evenVBand="0" w:oddHBand="0" w:evenHBand="0" w:firstRowFirstColumn="0" w:firstRowLastColumn="0" w:lastRowFirstColumn="0" w:lastRowLastColumn="0"/>
            <w:tcW w:w="5573" w:type="dxa"/>
            <w:shd w:val="clear" w:color="auto" w:fill="auto"/>
          </w:tcPr>
          <w:p w:rsidR="00BC521A" w:rsidRPr="003A5EB9" w:rsidRDefault="00BC521A" w:rsidP="00BC521A">
            <w:pPr>
              <w:spacing w:after="0" w:line="240" w:lineRule="auto"/>
              <w:contextualSpacing/>
              <w:jc w:val="both"/>
              <w:rPr>
                <w:rFonts w:cs="Arial"/>
                <w:b w:val="0"/>
                <w:color w:val="auto"/>
                <w:spacing w:val="-4"/>
                <w:sz w:val="18"/>
                <w:szCs w:val="20"/>
              </w:rPr>
            </w:pPr>
            <w:r w:rsidRPr="003A5EB9">
              <w:rPr>
                <w:rFonts w:cs="Arial"/>
                <w:b w:val="0"/>
                <w:color w:val="auto"/>
                <w:spacing w:val="-4"/>
                <w:sz w:val="18"/>
                <w:szCs w:val="20"/>
              </w:rPr>
              <w:t>Red de Referidos del componente de empleabilidad</w:t>
            </w:r>
          </w:p>
        </w:tc>
        <w:tc>
          <w:tcPr>
            <w:tcW w:w="3812" w:type="dxa"/>
            <w:shd w:val="clear" w:color="auto" w:fill="auto"/>
          </w:tcPr>
          <w:p w:rsidR="00BC521A" w:rsidRPr="007E1A7A"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20"/>
              </w:rPr>
            </w:pPr>
            <w:r w:rsidRPr="007E1A7A">
              <w:rPr>
                <w:rFonts w:cs="Arial"/>
                <w:color w:val="auto"/>
                <w:sz w:val="18"/>
                <w:szCs w:val="20"/>
              </w:rPr>
              <w:t>10 Empresas Vinculadas</w:t>
            </w:r>
          </w:p>
        </w:tc>
      </w:tr>
      <w:tr w:rsidR="00BC521A" w:rsidRPr="002E55CD" w:rsidTr="003A5E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573" w:type="dxa"/>
            <w:shd w:val="clear" w:color="auto" w:fill="auto"/>
          </w:tcPr>
          <w:p w:rsidR="00BC521A" w:rsidRPr="003A5EB9" w:rsidRDefault="00BC521A" w:rsidP="00BC521A">
            <w:pPr>
              <w:spacing w:after="0" w:line="240" w:lineRule="auto"/>
              <w:contextualSpacing/>
              <w:jc w:val="both"/>
              <w:rPr>
                <w:rFonts w:cs="Arial"/>
                <w:b w:val="0"/>
                <w:color w:val="auto"/>
                <w:spacing w:val="-4"/>
                <w:sz w:val="18"/>
                <w:szCs w:val="20"/>
                <w:lang w:val="es-CO"/>
              </w:rPr>
            </w:pPr>
            <w:r w:rsidRPr="003A5EB9">
              <w:rPr>
                <w:rFonts w:cs="Arial"/>
                <w:b w:val="0"/>
                <w:color w:val="auto"/>
                <w:spacing w:val="-4"/>
                <w:sz w:val="18"/>
                <w:szCs w:val="20"/>
                <w:lang w:val="es-CO"/>
              </w:rPr>
              <w:t>Ferias de Empleo</w:t>
            </w:r>
          </w:p>
        </w:tc>
        <w:tc>
          <w:tcPr>
            <w:tcW w:w="3812" w:type="dxa"/>
            <w:shd w:val="clear" w:color="auto" w:fill="auto"/>
          </w:tcPr>
          <w:p w:rsidR="00BC521A" w:rsidRPr="007E1A7A"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20"/>
                <w:lang w:val="es-CO"/>
              </w:rPr>
            </w:pPr>
            <w:r w:rsidRPr="007E1A7A">
              <w:rPr>
                <w:rFonts w:cs="Arial"/>
                <w:color w:val="auto"/>
                <w:spacing w:val="-4"/>
                <w:sz w:val="18"/>
                <w:szCs w:val="20"/>
                <w:lang w:val="es-CO"/>
              </w:rPr>
              <w:t>6</w:t>
            </w:r>
          </w:p>
        </w:tc>
      </w:tr>
    </w:tbl>
    <w:p w:rsidR="00BC521A" w:rsidRDefault="00006807" w:rsidP="00BC521A">
      <w:pPr>
        <w:spacing w:after="0" w:line="240" w:lineRule="auto"/>
        <w:contextualSpacing/>
        <w:jc w:val="both"/>
        <w:rPr>
          <w:rFonts w:cs="Arial"/>
          <w:spacing w:val="-4"/>
          <w:sz w:val="16"/>
          <w:lang w:val="es-CO"/>
        </w:rPr>
      </w:pPr>
      <w:r>
        <w:rPr>
          <w:rFonts w:cs="Arial"/>
          <w:spacing w:val="-4"/>
          <w:sz w:val="16"/>
          <w:lang w:val="es-CO"/>
        </w:rPr>
        <w:t xml:space="preserve">   </w:t>
      </w:r>
      <w:r w:rsidR="00F7316B" w:rsidRPr="00195537">
        <w:rPr>
          <w:rFonts w:cs="Arial"/>
          <w:b/>
          <w:spacing w:val="-4"/>
          <w:sz w:val="16"/>
          <w:lang w:val="es-CO"/>
        </w:rPr>
        <w:t>Fuente:</w:t>
      </w:r>
      <w:r w:rsidR="00F7316B">
        <w:rPr>
          <w:rFonts w:cs="Arial"/>
          <w:spacing w:val="-4"/>
          <w:sz w:val="16"/>
          <w:lang w:val="es-CO"/>
        </w:rPr>
        <w:t xml:space="preserve"> Dirección de Protección</w:t>
      </w:r>
    </w:p>
    <w:p w:rsidR="009C25F2" w:rsidRPr="00D21160" w:rsidRDefault="00006807" w:rsidP="009C25F2">
      <w:pPr>
        <w:rPr>
          <w:rFonts w:ascii="Calibri" w:hAnsi="Calibri"/>
          <w:i/>
          <w:iCs/>
          <w:sz w:val="16"/>
          <w:lang w:val="es-CO"/>
        </w:rPr>
      </w:pPr>
      <w:r>
        <w:rPr>
          <w:i/>
          <w:iCs/>
          <w:sz w:val="16"/>
        </w:rPr>
        <w:t xml:space="preserve">   </w:t>
      </w:r>
      <w:r w:rsidR="009C25F2" w:rsidRPr="00D21160">
        <w:rPr>
          <w:i/>
          <w:iCs/>
          <w:sz w:val="16"/>
        </w:rPr>
        <w:t>Nota: Información preliminar, sujeta a actualización del cierre oficial de metas sociales y financieras.</w:t>
      </w:r>
    </w:p>
    <w:p w:rsidR="009C25F2" w:rsidRDefault="009C25F2" w:rsidP="00BC521A">
      <w:pPr>
        <w:spacing w:after="0" w:line="240" w:lineRule="auto"/>
        <w:contextualSpacing/>
        <w:jc w:val="both"/>
        <w:rPr>
          <w:rFonts w:cs="Arial"/>
          <w:spacing w:val="-4"/>
          <w:sz w:val="16"/>
          <w:lang w:val="es-CO"/>
        </w:rPr>
      </w:pPr>
    </w:p>
    <w:p w:rsidR="00BC521A" w:rsidRPr="007E1A7A" w:rsidRDefault="00BC521A" w:rsidP="00D712DC">
      <w:pPr>
        <w:numPr>
          <w:ilvl w:val="0"/>
          <w:numId w:val="85"/>
        </w:numPr>
        <w:spacing w:after="0" w:line="240" w:lineRule="auto"/>
        <w:contextualSpacing/>
        <w:jc w:val="both"/>
        <w:rPr>
          <w:rFonts w:cs="Arial"/>
          <w:b/>
          <w:lang w:val="es-CO"/>
        </w:rPr>
      </w:pPr>
      <w:r w:rsidRPr="007E1A7A">
        <w:rPr>
          <w:rFonts w:cs="Arial"/>
          <w:b/>
          <w:lang w:val="es-CO"/>
        </w:rPr>
        <w:t>Para los componentes de recreación, cultura y deporte los logros alcanzados incluyen:</w:t>
      </w:r>
    </w:p>
    <w:p w:rsidR="00BC521A" w:rsidRPr="007E1A7A" w:rsidRDefault="00BC521A" w:rsidP="00BC521A">
      <w:pPr>
        <w:spacing w:after="0" w:line="240" w:lineRule="auto"/>
        <w:contextualSpacing/>
        <w:jc w:val="both"/>
        <w:rPr>
          <w:rFonts w:cs="Arial"/>
          <w:lang w:val="es-CO"/>
        </w:rPr>
      </w:pPr>
    </w:p>
    <w:tbl>
      <w:tblPr>
        <w:tblStyle w:val="Tabladecuadrcula6concolores-nfasis31"/>
        <w:tblW w:w="9385" w:type="dxa"/>
        <w:tblInd w:w="108"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6691"/>
        <w:gridCol w:w="2694"/>
      </w:tblGrid>
      <w:tr w:rsidR="00BC521A" w:rsidRPr="002E55CD" w:rsidTr="003A5EB9">
        <w:trPr>
          <w:cnfStyle w:val="100000000000" w:firstRow="1" w:lastRow="0" w:firstColumn="0" w:lastColumn="0" w:oddVBand="0" w:evenVBand="0" w:oddHBand="0" w:evenHBand="0" w:firstRowFirstColumn="0" w:firstRowLastColumn="0" w:lastRowFirstColumn="0" w:lastRowLastColumn="0"/>
          <w:trHeight w:val="307"/>
          <w:tblHeader/>
        </w:trPr>
        <w:tc>
          <w:tcPr>
            <w:cnfStyle w:val="001000000000" w:firstRow="0" w:lastRow="0" w:firstColumn="1" w:lastColumn="0" w:oddVBand="0" w:evenVBand="0" w:oddHBand="0" w:evenHBand="0" w:firstRowFirstColumn="0" w:firstRowLastColumn="0" w:lastRowFirstColumn="0" w:lastRowLastColumn="0"/>
            <w:tcW w:w="6691" w:type="dxa"/>
            <w:tcBorders>
              <w:bottom w:val="none" w:sz="0" w:space="0" w:color="auto"/>
            </w:tcBorders>
            <w:shd w:val="clear" w:color="auto" w:fill="76923C" w:themeFill="accent3" w:themeFillShade="BF"/>
            <w:vAlign w:val="center"/>
          </w:tcPr>
          <w:p w:rsidR="00BC521A" w:rsidRPr="003A5EB9" w:rsidRDefault="00BC521A" w:rsidP="00BC521A">
            <w:pPr>
              <w:spacing w:after="0" w:line="240" w:lineRule="auto"/>
              <w:contextualSpacing/>
              <w:jc w:val="center"/>
              <w:rPr>
                <w:rFonts w:cs="Arial"/>
                <w:color w:val="FFFFFF" w:themeColor="background1"/>
                <w:spacing w:val="-4"/>
                <w:sz w:val="18"/>
                <w:szCs w:val="20"/>
                <w:lang w:val="es-CO"/>
              </w:rPr>
            </w:pPr>
            <w:r w:rsidRPr="003A5EB9">
              <w:rPr>
                <w:rFonts w:cs="Arial"/>
                <w:color w:val="FFFFFF" w:themeColor="background1"/>
                <w:spacing w:val="-4"/>
                <w:sz w:val="18"/>
                <w:szCs w:val="20"/>
              </w:rPr>
              <w:t>Asunto</w:t>
            </w:r>
          </w:p>
        </w:tc>
        <w:tc>
          <w:tcPr>
            <w:tcW w:w="2694" w:type="dxa"/>
            <w:tcBorders>
              <w:bottom w:val="none" w:sz="0" w:space="0" w:color="auto"/>
            </w:tcBorders>
            <w:shd w:val="clear" w:color="auto" w:fill="76923C" w:themeFill="accent3" w:themeFillShade="BF"/>
            <w:vAlign w:val="center"/>
          </w:tcPr>
          <w:p w:rsidR="00BC521A" w:rsidRPr="003A5EB9" w:rsidRDefault="00BC521A" w:rsidP="00BC521A">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pacing w:val="-4"/>
                <w:sz w:val="18"/>
                <w:szCs w:val="20"/>
                <w:lang w:val="es-CO"/>
              </w:rPr>
            </w:pPr>
            <w:r w:rsidRPr="003A5EB9">
              <w:rPr>
                <w:rFonts w:cs="Arial"/>
                <w:color w:val="FFFFFF" w:themeColor="background1"/>
                <w:spacing w:val="-4"/>
                <w:sz w:val="18"/>
                <w:szCs w:val="20"/>
              </w:rPr>
              <w:t>2016</w:t>
            </w:r>
          </w:p>
        </w:tc>
      </w:tr>
      <w:tr w:rsidR="00BC521A" w:rsidRPr="002E55CD" w:rsidTr="003A5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shd w:val="clear" w:color="auto" w:fill="auto"/>
            <w:vAlign w:val="center"/>
          </w:tcPr>
          <w:p w:rsidR="00BC521A" w:rsidRPr="003A5EB9" w:rsidRDefault="00BC521A" w:rsidP="00BC521A">
            <w:pPr>
              <w:spacing w:after="0" w:line="240" w:lineRule="auto"/>
              <w:contextualSpacing/>
              <w:jc w:val="both"/>
              <w:rPr>
                <w:rFonts w:cs="Arial"/>
                <w:b w:val="0"/>
                <w:color w:val="auto"/>
                <w:spacing w:val="-4"/>
                <w:sz w:val="18"/>
                <w:szCs w:val="20"/>
              </w:rPr>
            </w:pPr>
            <w:r w:rsidRPr="003A5EB9">
              <w:rPr>
                <w:rFonts w:cs="Arial"/>
                <w:b w:val="0"/>
                <w:color w:val="auto"/>
                <w:spacing w:val="-4"/>
                <w:sz w:val="18"/>
                <w:szCs w:val="20"/>
              </w:rPr>
              <w:t>Niños niñas adolescentes y jóvenes beneficiados de actividades culturales</w:t>
            </w:r>
          </w:p>
        </w:tc>
        <w:tc>
          <w:tcPr>
            <w:tcW w:w="2694" w:type="dxa"/>
            <w:shd w:val="clear" w:color="auto" w:fill="auto"/>
            <w:vAlign w:val="center"/>
          </w:tcPr>
          <w:p w:rsidR="00BC521A" w:rsidRPr="007E1A7A"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20"/>
              </w:rPr>
            </w:pPr>
            <w:r w:rsidRPr="007E1A7A">
              <w:rPr>
                <w:rFonts w:cs="Arial"/>
                <w:color w:val="auto"/>
                <w:spacing w:val="-4"/>
                <w:sz w:val="18"/>
                <w:szCs w:val="20"/>
              </w:rPr>
              <w:t>1.229</w:t>
            </w:r>
          </w:p>
        </w:tc>
      </w:tr>
      <w:tr w:rsidR="00BC521A" w:rsidRPr="002E55CD" w:rsidTr="003A5EB9">
        <w:tc>
          <w:tcPr>
            <w:cnfStyle w:val="001000000000" w:firstRow="0" w:lastRow="0" w:firstColumn="1" w:lastColumn="0" w:oddVBand="0" w:evenVBand="0" w:oddHBand="0" w:evenHBand="0" w:firstRowFirstColumn="0" w:firstRowLastColumn="0" w:lastRowFirstColumn="0" w:lastRowLastColumn="0"/>
            <w:tcW w:w="6691" w:type="dxa"/>
            <w:shd w:val="clear" w:color="auto" w:fill="auto"/>
            <w:vAlign w:val="center"/>
          </w:tcPr>
          <w:p w:rsidR="00BC521A" w:rsidRPr="003A5EB9" w:rsidRDefault="00BC521A" w:rsidP="00BC521A">
            <w:pPr>
              <w:spacing w:after="0" w:line="240" w:lineRule="auto"/>
              <w:contextualSpacing/>
              <w:jc w:val="both"/>
              <w:rPr>
                <w:rFonts w:cs="Arial"/>
                <w:b w:val="0"/>
                <w:color w:val="auto"/>
                <w:spacing w:val="-4"/>
                <w:sz w:val="18"/>
                <w:szCs w:val="20"/>
              </w:rPr>
            </w:pPr>
            <w:r w:rsidRPr="003A5EB9">
              <w:rPr>
                <w:rFonts w:cs="Arial"/>
                <w:b w:val="0"/>
                <w:color w:val="auto"/>
                <w:spacing w:val="-4"/>
                <w:sz w:val="18"/>
                <w:szCs w:val="20"/>
              </w:rPr>
              <w:t>Niños niñas adolescentes y jóvenes beneficiados de actividades recreativas</w:t>
            </w:r>
          </w:p>
        </w:tc>
        <w:tc>
          <w:tcPr>
            <w:tcW w:w="2694" w:type="dxa"/>
            <w:shd w:val="clear" w:color="auto" w:fill="auto"/>
            <w:vAlign w:val="center"/>
          </w:tcPr>
          <w:p w:rsidR="00BC521A" w:rsidRPr="007E1A7A" w:rsidRDefault="00BC521A" w:rsidP="00BC521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20"/>
              </w:rPr>
            </w:pPr>
            <w:r w:rsidRPr="007E1A7A">
              <w:rPr>
                <w:rFonts w:cs="Arial"/>
                <w:color w:val="auto"/>
                <w:sz w:val="18"/>
                <w:szCs w:val="20"/>
              </w:rPr>
              <w:t>723</w:t>
            </w:r>
          </w:p>
        </w:tc>
      </w:tr>
      <w:tr w:rsidR="00BC521A" w:rsidRPr="00BC521A" w:rsidTr="003A5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shd w:val="clear" w:color="auto" w:fill="auto"/>
            <w:vAlign w:val="center"/>
          </w:tcPr>
          <w:p w:rsidR="00BC521A" w:rsidRPr="003A5EB9" w:rsidRDefault="00BC521A" w:rsidP="00BC521A">
            <w:pPr>
              <w:spacing w:after="0" w:line="240" w:lineRule="auto"/>
              <w:contextualSpacing/>
              <w:jc w:val="both"/>
              <w:rPr>
                <w:rFonts w:cs="Arial"/>
                <w:b w:val="0"/>
                <w:color w:val="auto"/>
                <w:spacing w:val="-4"/>
                <w:sz w:val="18"/>
                <w:szCs w:val="20"/>
                <w:lang w:val="es-CO"/>
              </w:rPr>
            </w:pPr>
            <w:r w:rsidRPr="003A5EB9">
              <w:rPr>
                <w:rFonts w:cs="Arial"/>
                <w:b w:val="0"/>
                <w:color w:val="auto"/>
                <w:spacing w:val="-4"/>
                <w:sz w:val="18"/>
                <w:szCs w:val="20"/>
              </w:rPr>
              <w:t>Niños niñas adolescentes y jóvenes beneficiados de actividades deportivas</w:t>
            </w:r>
          </w:p>
        </w:tc>
        <w:tc>
          <w:tcPr>
            <w:tcW w:w="2694" w:type="dxa"/>
            <w:shd w:val="clear" w:color="auto" w:fill="auto"/>
            <w:vAlign w:val="center"/>
          </w:tcPr>
          <w:p w:rsidR="00BC521A" w:rsidRPr="00872A46" w:rsidRDefault="00BC521A" w:rsidP="00BC521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pacing w:val="-4"/>
                <w:sz w:val="18"/>
                <w:szCs w:val="20"/>
                <w:lang w:val="es-CO"/>
              </w:rPr>
            </w:pPr>
            <w:r w:rsidRPr="007E1A7A">
              <w:rPr>
                <w:rFonts w:cs="Arial"/>
                <w:color w:val="auto"/>
                <w:spacing w:val="-4"/>
                <w:sz w:val="18"/>
                <w:szCs w:val="20"/>
                <w:lang w:val="es-CO"/>
              </w:rPr>
              <w:t>64</w:t>
            </w:r>
          </w:p>
        </w:tc>
      </w:tr>
    </w:tbl>
    <w:p w:rsidR="00823561" w:rsidRDefault="00F7316B" w:rsidP="00823561">
      <w:pPr>
        <w:spacing w:after="0" w:line="240" w:lineRule="auto"/>
        <w:rPr>
          <w:rFonts w:cs="Arial"/>
          <w:sz w:val="16"/>
        </w:rPr>
      </w:pPr>
      <w:r w:rsidRPr="00006807">
        <w:rPr>
          <w:rFonts w:cs="Arial"/>
          <w:b/>
          <w:sz w:val="16"/>
        </w:rPr>
        <w:t>Fuente:</w:t>
      </w:r>
      <w:r>
        <w:rPr>
          <w:rFonts w:cs="Arial"/>
          <w:sz w:val="16"/>
        </w:rPr>
        <w:t xml:space="preserve"> </w:t>
      </w:r>
      <w:r w:rsidR="00006807">
        <w:rPr>
          <w:rFonts w:cs="Arial"/>
          <w:sz w:val="16"/>
        </w:rPr>
        <w:t>Dirección</w:t>
      </w:r>
      <w:r>
        <w:rPr>
          <w:rFonts w:cs="Arial"/>
          <w:sz w:val="16"/>
        </w:rPr>
        <w:t xml:space="preserve"> de Protección.</w:t>
      </w:r>
    </w:p>
    <w:p w:rsidR="009C25F2" w:rsidRPr="00D21160" w:rsidRDefault="009C25F2" w:rsidP="009C25F2">
      <w:pPr>
        <w:rPr>
          <w:rFonts w:ascii="Calibri" w:hAnsi="Calibri"/>
          <w:i/>
          <w:iCs/>
          <w:sz w:val="16"/>
          <w:lang w:val="es-CO"/>
        </w:rPr>
      </w:pPr>
      <w:r w:rsidRPr="00D21160">
        <w:rPr>
          <w:i/>
          <w:iCs/>
          <w:sz w:val="16"/>
        </w:rPr>
        <w:t>Nota: Información preliminar, sujeta a actualización del cierre oficial de metas sociales y financieras.</w:t>
      </w:r>
    </w:p>
    <w:p w:rsidR="009C25F2" w:rsidRPr="00D21160" w:rsidRDefault="009C25F2" w:rsidP="009C25F2">
      <w:pPr>
        <w:spacing w:after="0" w:line="240" w:lineRule="auto"/>
        <w:jc w:val="both"/>
        <w:rPr>
          <w:rFonts w:cs="Arial"/>
          <w:sz w:val="16"/>
          <w:lang w:val="es-CO" w:eastAsia="es-ES"/>
        </w:rPr>
      </w:pPr>
    </w:p>
    <w:p w:rsidR="00823561" w:rsidRPr="00D20970" w:rsidRDefault="00823561" w:rsidP="007342CF">
      <w:pPr>
        <w:pStyle w:val="Prrafodelista"/>
        <w:keepNext/>
        <w:keepLines/>
        <w:numPr>
          <w:ilvl w:val="2"/>
          <w:numId w:val="242"/>
        </w:numPr>
        <w:spacing w:after="0" w:line="240" w:lineRule="auto"/>
        <w:outlineLvl w:val="1"/>
        <w:rPr>
          <w:rFonts w:eastAsiaTheme="majorEastAsia" w:cs="Arial"/>
          <w:b/>
        </w:rPr>
      </w:pPr>
      <w:bookmarkStart w:id="134" w:name="_Toc473581432"/>
      <w:r w:rsidRPr="00D20970">
        <w:rPr>
          <w:rFonts w:eastAsia="Times New Roman" w:cs="Arial"/>
          <w:b/>
          <w:bCs/>
          <w:kern w:val="32"/>
        </w:rPr>
        <w:t>Ejecución de metas y recursos</w:t>
      </w:r>
      <w:bookmarkEnd w:id="134"/>
      <w:r w:rsidRPr="00D20970">
        <w:rPr>
          <w:rFonts w:eastAsia="Times New Roman" w:cs="Arial"/>
          <w:b/>
          <w:bCs/>
          <w:kern w:val="32"/>
        </w:rPr>
        <w:t xml:space="preserve"> </w:t>
      </w:r>
    </w:p>
    <w:p w:rsidR="00BC521A" w:rsidRPr="00061055" w:rsidRDefault="00BC521A" w:rsidP="00061055">
      <w:pPr>
        <w:ind w:firstLine="708"/>
        <w:rPr>
          <w:rFonts w:eastAsiaTheme="majorEastAsia"/>
          <w:b/>
        </w:rPr>
      </w:pPr>
    </w:p>
    <w:p w:rsidR="00BC521A" w:rsidRPr="00061055" w:rsidRDefault="00BC521A" w:rsidP="00061055">
      <w:pPr>
        <w:ind w:left="708" w:firstLine="708"/>
        <w:rPr>
          <w:rFonts w:eastAsiaTheme="majorEastAsia"/>
          <w:b/>
        </w:rPr>
      </w:pPr>
      <w:bookmarkStart w:id="135" w:name="_Toc472519307"/>
      <w:r w:rsidRPr="00061055">
        <w:rPr>
          <w:rFonts w:eastAsiaTheme="majorEastAsia"/>
          <w:b/>
        </w:rPr>
        <w:t>Batería de indicadores</w:t>
      </w:r>
      <w:bookmarkEnd w:id="135"/>
    </w:p>
    <w:p w:rsidR="00BC521A" w:rsidRPr="00BC521A" w:rsidRDefault="00BC521A" w:rsidP="00BC521A">
      <w:pPr>
        <w:spacing w:after="0" w:line="240" w:lineRule="auto"/>
        <w:jc w:val="both"/>
        <w:rPr>
          <w:rFonts w:cs="Arial"/>
        </w:rPr>
      </w:pPr>
      <w:r w:rsidRPr="00BC521A">
        <w:rPr>
          <w:rFonts w:cs="Arial"/>
        </w:rPr>
        <w:t>En el marco del ejercicio de planeación, sustentado principalmente en las orientaciones concedidas desde el Plan Nacional de Desarrollo, el Plan Indicativo Sectorial y el Plan Indicativo Institucional y cuyo objetivo primordial es dar cumplimiento a los compromisos de gestión establecidos para la vigencia, los cuales serán programados y ejecutados desde la Sede de la Dirección General y Regionales del ICBF.</w:t>
      </w:r>
    </w:p>
    <w:p w:rsidR="00BC521A" w:rsidRPr="00BC521A" w:rsidRDefault="00BC521A" w:rsidP="00BC521A">
      <w:pPr>
        <w:spacing w:after="0" w:line="240" w:lineRule="auto"/>
        <w:jc w:val="both"/>
        <w:rPr>
          <w:rFonts w:cs="Arial"/>
        </w:rPr>
      </w:pPr>
    </w:p>
    <w:p w:rsidR="001767CE" w:rsidRDefault="00BC521A" w:rsidP="005D2611">
      <w:pPr>
        <w:autoSpaceDE w:val="0"/>
        <w:autoSpaceDN w:val="0"/>
        <w:adjustRightInd w:val="0"/>
        <w:spacing w:after="0" w:line="240" w:lineRule="auto"/>
        <w:rPr>
          <w:noProof/>
          <w:lang w:val="es-CO" w:eastAsia="es-CO"/>
        </w:rPr>
      </w:pPr>
      <w:r w:rsidRPr="00BC521A">
        <w:rPr>
          <w:rFonts w:cs="Arial"/>
          <w:lang w:val="es-CO"/>
        </w:rPr>
        <w:t>A continuación, en la tabla 1, se describe el comportamiento cuantitativo de los indicadores, reflejando la evaluación de la Gestión de la Dirección de Protección durante la vigencia 2016 con corte al mes diciembre de 2016.</w:t>
      </w:r>
      <w:r w:rsidR="005D2611" w:rsidRPr="005D2611">
        <w:rPr>
          <w:noProof/>
          <w:lang w:val="es-CO" w:eastAsia="es-CO"/>
        </w:rPr>
        <w:t xml:space="preserve"> </w:t>
      </w:r>
    </w:p>
    <w:p w:rsidR="00BC521A" w:rsidRPr="00BC521A" w:rsidRDefault="005D2611" w:rsidP="005D2611">
      <w:pPr>
        <w:autoSpaceDE w:val="0"/>
        <w:autoSpaceDN w:val="0"/>
        <w:adjustRightInd w:val="0"/>
        <w:spacing w:after="0" w:line="240" w:lineRule="auto"/>
        <w:rPr>
          <w:rFonts w:cs="Arial"/>
          <w:lang w:val="es-CO"/>
        </w:rPr>
      </w:pPr>
      <w:r w:rsidRPr="00BC521A">
        <w:rPr>
          <w:noProof/>
          <w:lang w:val="es-CO" w:eastAsia="es-CO"/>
        </w:rPr>
        <w:lastRenderedPageBreak/>
        <w:drawing>
          <wp:inline distT="0" distB="0" distL="0" distR="0" wp14:anchorId="79520067" wp14:editId="59E65B2A">
            <wp:extent cx="5972175" cy="557013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2175" cy="5570131"/>
                    </a:xfrm>
                    <a:prstGeom prst="rect">
                      <a:avLst/>
                    </a:prstGeom>
                  </pic:spPr>
                </pic:pic>
              </a:graphicData>
            </a:graphic>
          </wp:inline>
        </w:drawing>
      </w:r>
    </w:p>
    <w:p w:rsidR="00BC521A" w:rsidRPr="00BC521A" w:rsidRDefault="00BC521A" w:rsidP="00BC521A">
      <w:pPr>
        <w:autoSpaceDE w:val="0"/>
        <w:autoSpaceDN w:val="0"/>
        <w:adjustRightInd w:val="0"/>
        <w:spacing w:after="0" w:line="240" w:lineRule="auto"/>
        <w:jc w:val="both"/>
        <w:rPr>
          <w:rFonts w:cs="Arial"/>
          <w:lang w:val="es-CO"/>
        </w:rPr>
      </w:pPr>
    </w:p>
    <w:p w:rsidR="00BC521A" w:rsidRPr="00BC521A" w:rsidRDefault="00BC521A" w:rsidP="00BC521A">
      <w:pPr>
        <w:autoSpaceDE w:val="0"/>
        <w:autoSpaceDN w:val="0"/>
        <w:adjustRightInd w:val="0"/>
        <w:spacing w:after="0" w:line="240" w:lineRule="auto"/>
        <w:jc w:val="center"/>
        <w:rPr>
          <w:rFonts w:cs="Arial"/>
          <w:lang w:val="es-CO"/>
        </w:rPr>
      </w:pPr>
    </w:p>
    <w:p w:rsidR="00BC521A" w:rsidRPr="00BC521A" w:rsidRDefault="00BC521A" w:rsidP="00BC521A">
      <w:pPr>
        <w:autoSpaceDE w:val="0"/>
        <w:autoSpaceDN w:val="0"/>
        <w:adjustRightInd w:val="0"/>
        <w:spacing w:after="0" w:line="240" w:lineRule="auto"/>
        <w:jc w:val="both"/>
        <w:rPr>
          <w:rFonts w:cs="Arial"/>
          <w:lang w:val="es-CO"/>
        </w:rPr>
      </w:pPr>
      <w:r w:rsidRPr="00BC521A">
        <w:rPr>
          <w:noProof/>
          <w:lang w:val="es-CO" w:eastAsia="es-CO"/>
        </w:rPr>
        <w:lastRenderedPageBreak/>
        <w:drawing>
          <wp:inline distT="0" distB="0" distL="0" distR="0" wp14:anchorId="75443BE3" wp14:editId="55BA674E">
            <wp:extent cx="5972175" cy="3061699"/>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75312" cy="3063307"/>
                    </a:xfrm>
                    <a:prstGeom prst="rect">
                      <a:avLst/>
                    </a:prstGeom>
                  </pic:spPr>
                </pic:pic>
              </a:graphicData>
            </a:graphic>
          </wp:inline>
        </w:drawing>
      </w:r>
    </w:p>
    <w:p w:rsidR="00BC521A" w:rsidRDefault="00BC521A" w:rsidP="00BC521A">
      <w:pPr>
        <w:autoSpaceDE w:val="0"/>
        <w:autoSpaceDN w:val="0"/>
        <w:adjustRightInd w:val="0"/>
        <w:spacing w:after="0" w:line="240" w:lineRule="auto"/>
        <w:rPr>
          <w:rFonts w:cs="Arial"/>
          <w:sz w:val="16"/>
          <w:lang w:val="es-ES_tradnl" w:eastAsia="es-ES_tradnl"/>
        </w:rPr>
      </w:pPr>
      <w:r w:rsidRPr="00A7516C">
        <w:rPr>
          <w:rFonts w:cs="Arial"/>
          <w:b/>
          <w:sz w:val="16"/>
          <w:lang w:val="es-ES_tradnl" w:eastAsia="es-ES_tradnl"/>
        </w:rPr>
        <w:t>Fuente:</w:t>
      </w:r>
      <w:r w:rsidRPr="00BC521A">
        <w:rPr>
          <w:rFonts w:cs="Arial"/>
          <w:sz w:val="16"/>
          <w:lang w:val="es-ES_tradnl" w:eastAsia="es-ES_tradnl"/>
        </w:rPr>
        <w:t xml:space="preserve"> </w:t>
      </w:r>
      <w:r w:rsidR="00F7316B">
        <w:rPr>
          <w:rFonts w:cs="Arial"/>
          <w:sz w:val="16"/>
          <w:lang w:val="es-ES_tradnl" w:eastAsia="es-ES_tradnl"/>
        </w:rPr>
        <w:t>Dirección de Protección</w:t>
      </w:r>
    </w:p>
    <w:p w:rsidR="00F7316B" w:rsidRPr="00D21160" w:rsidRDefault="00F7316B" w:rsidP="00F7316B">
      <w:pPr>
        <w:rPr>
          <w:rFonts w:ascii="Calibri" w:hAnsi="Calibri"/>
          <w:i/>
          <w:iCs/>
          <w:sz w:val="16"/>
          <w:lang w:val="es-CO"/>
        </w:rPr>
      </w:pPr>
      <w:r w:rsidRPr="00D21160">
        <w:rPr>
          <w:i/>
          <w:iCs/>
          <w:sz w:val="16"/>
        </w:rPr>
        <w:t>Nota: Información preliminar, sujeta a actualización del cierre oficial de metas sociales y financieras.</w:t>
      </w:r>
    </w:p>
    <w:p w:rsidR="00BC521A" w:rsidRPr="00BC521A" w:rsidRDefault="00BC521A" w:rsidP="00BC521A">
      <w:pPr>
        <w:autoSpaceDE w:val="0"/>
        <w:autoSpaceDN w:val="0"/>
        <w:adjustRightInd w:val="0"/>
        <w:spacing w:after="0" w:line="240" w:lineRule="auto"/>
        <w:jc w:val="both"/>
        <w:rPr>
          <w:rFonts w:cs="Arial"/>
        </w:rPr>
      </w:pPr>
      <w:r w:rsidRPr="00BC521A">
        <w:rPr>
          <w:rFonts w:cs="Arial"/>
          <w:lang w:val="es-CO"/>
        </w:rPr>
        <w:t xml:space="preserve">En general el Proceso de Gestión para la Protección alcanzó un cumplimiento global de 90,4% como indicador adecuado de la gestión. </w:t>
      </w:r>
      <w:r w:rsidRPr="00BC521A">
        <w:rPr>
          <w:rFonts w:cs="Arial"/>
        </w:rPr>
        <w:t xml:space="preserve">Sin embargo, es importante mencionar que respecto al comportamiento del indicador </w:t>
      </w:r>
      <w:r w:rsidRPr="00BC521A">
        <w:rPr>
          <w:rFonts w:cs="Arial"/>
          <w:i/>
        </w:rPr>
        <w:t xml:space="preserve">PA-37: Porcentaje de Autoridades Administrativas, Equipos Técnicos, capacitados en la Ruta de Restablecimiento de Derechos con Enfoque Diferencial Étnico </w:t>
      </w:r>
      <w:r w:rsidRPr="00BC521A">
        <w:rPr>
          <w:rFonts w:cs="Arial"/>
        </w:rPr>
        <w:t>y con el propósito de mejorar el resultado para la medición del mes de diciembre, se generó la no conformidad No. 6563 a las regionales Risaralda, Norte de Santander, Caquetá y Antioquia, con el propósito que las regionales generen procesos de acompañamiento y asesoría a las Autoridades Administrativas y las Autoridades Tradicionales Indígenas de los Centros Zonales, adscritos a su regional, respecto a  los servicios enmarcados en el contexto del Ruta de Restablecimiento de Derechos con Enfoque Diferencial Étnico y conseguir con estas retroalimentaciones incrementar el numerador para el siguiente reporte.</w:t>
      </w:r>
    </w:p>
    <w:p w:rsidR="00F7316B" w:rsidRDefault="00F7316B" w:rsidP="00D44052">
      <w:pPr>
        <w:ind w:firstLine="708"/>
        <w:rPr>
          <w:rFonts w:eastAsiaTheme="majorEastAsia"/>
          <w:b/>
        </w:rPr>
      </w:pPr>
      <w:bookmarkStart w:id="136" w:name="_Toc472519308"/>
    </w:p>
    <w:p w:rsidR="00BC521A" w:rsidRPr="00D44052" w:rsidRDefault="00BC521A" w:rsidP="00D44052">
      <w:pPr>
        <w:ind w:firstLine="708"/>
        <w:rPr>
          <w:rFonts w:eastAsiaTheme="majorEastAsia"/>
          <w:b/>
        </w:rPr>
      </w:pPr>
      <w:r w:rsidRPr="00D44052">
        <w:rPr>
          <w:rFonts w:eastAsiaTheme="majorEastAsia"/>
          <w:b/>
        </w:rPr>
        <w:t>Presupuesto</w:t>
      </w:r>
      <w:bookmarkEnd w:id="136"/>
    </w:p>
    <w:p w:rsidR="00BC521A" w:rsidRPr="00BC521A" w:rsidRDefault="00BC521A" w:rsidP="00BC521A">
      <w:pPr>
        <w:spacing w:after="0" w:line="240" w:lineRule="auto"/>
        <w:jc w:val="both"/>
        <w:rPr>
          <w:rFonts w:eastAsia="Times New Roman" w:cs="Arial"/>
          <w:lang w:val="es-CO" w:eastAsia="es-CO"/>
        </w:rPr>
      </w:pPr>
      <w:r w:rsidRPr="00BC521A">
        <w:rPr>
          <w:rFonts w:eastAsia="Times New Roman" w:cs="Arial"/>
          <w:lang w:val="es-CO" w:eastAsia="es-CO"/>
        </w:rPr>
        <w:t>Con respecto al presupuesto de la Dirección de Protección se logró un incremento significativo de la asignación para la vigencia 2016, correspondiente al 28% con respecto a la asignación del año 2015. Esto teniendo en cuenta el proceso de actualización de los lineamientos técnicos para las modalidades de protección que implicó un ajuste de las tarifas que fuera consecuente con las exigencias de estos nuevos lineamientos. En el siguiente cuadro se puede observar la evolución de la apropiación para los rubros misionales durante los últimos tres años:</w:t>
      </w:r>
    </w:p>
    <w:p w:rsidR="00BC521A" w:rsidRPr="00BC521A" w:rsidRDefault="00BC521A" w:rsidP="00BC521A">
      <w:pPr>
        <w:spacing w:after="0" w:line="240" w:lineRule="auto"/>
        <w:jc w:val="both"/>
        <w:rPr>
          <w:rFonts w:eastAsia="Times New Roman" w:cs="Arial"/>
          <w:lang w:val="es-CO" w:eastAsia="es-CO"/>
        </w:rPr>
      </w:pPr>
    </w:p>
    <w:p w:rsidR="00BC521A" w:rsidRPr="00BC521A" w:rsidRDefault="00BC521A" w:rsidP="00BC521A">
      <w:pPr>
        <w:spacing w:after="0" w:line="240" w:lineRule="auto"/>
        <w:jc w:val="both"/>
        <w:rPr>
          <w:rFonts w:eastAsia="Times New Roman" w:cs="Arial"/>
          <w:lang w:val="es-CO" w:eastAsia="es-CO"/>
        </w:rPr>
      </w:pPr>
      <w:r w:rsidRPr="00BC521A">
        <w:rPr>
          <w:rFonts w:eastAsia="Times New Roman" w:cs="Arial"/>
          <w:lang w:val="es-CO" w:eastAsia="es-CO"/>
        </w:rPr>
        <w:t xml:space="preserve">En cuanto a las Metas Sociales y Financieras, la Dirección de Protección para la vigencia 2015 tenía una meta de atención de 71.681 cupos con una asignación de $586.045 millones, la cual </w:t>
      </w:r>
      <w:r w:rsidRPr="00BC521A">
        <w:rPr>
          <w:rFonts w:eastAsia="Times New Roman" w:cs="Arial"/>
          <w:lang w:val="es-CO" w:eastAsia="es-CO"/>
        </w:rPr>
        <w:lastRenderedPageBreak/>
        <w:t>fue superada cerrando la vigencia con una atención de 74.249 cupos y una ejecución financiera de $574.249 millones, como se puede observar en el siguiente cuadro:</w:t>
      </w:r>
    </w:p>
    <w:p w:rsidR="00BC521A" w:rsidRPr="00BC521A" w:rsidRDefault="00BC521A" w:rsidP="00BC521A">
      <w:pPr>
        <w:spacing w:after="0" w:line="240" w:lineRule="auto"/>
        <w:jc w:val="both"/>
        <w:rPr>
          <w:rFonts w:eastAsia="Times New Roman" w:cs="Arial"/>
          <w:lang w:val="es-CO" w:eastAsia="es-CO"/>
        </w:rPr>
      </w:pPr>
    </w:p>
    <w:tbl>
      <w:tblPr>
        <w:tblW w:w="4550" w:type="pct"/>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3056"/>
        <w:gridCol w:w="1918"/>
        <w:gridCol w:w="1657"/>
        <w:gridCol w:w="1918"/>
      </w:tblGrid>
      <w:tr w:rsidR="00BC521A" w:rsidRPr="00BC521A" w:rsidTr="00A7516C">
        <w:trPr>
          <w:trHeight w:val="615"/>
          <w:tblHeader/>
          <w:jc w:val="center"/>
        </w:trPr>
        <w:tc>
          <w:tcPr>
            <w:tcW w:w="1787" w:type="pct"/>
            <w:shd w:val="clear" w:color="auto" w:fill="FFFFFF" w:themeFill="background1"/>
            <w:tcMar>
              <w:top w:w="0" w:type="dxa"/>
              <w:left w:w="70" w:type="dxa"/>
              <w:bottom w:w="0" w:type="dxa"/>
              <w:right w:w="70" w:type="dxa"/>
            </w:tcMar>
            <w:vAlign w:val="center"/>
            <w:hideMark/>
          </w:tcPr>
          <w:p w:rsidR="00BC521A" w:rsidRPr="00A7516C" w:rsidRDefault="00BC521A" w:rsidP="00BC521A">
            <w:pPr>
              <w:spacing w:after="0" w:line="240" w:lineRule="auto"/>
              <w:jc w:val="both"/>
              <w:rPr>
                <w:rFonts w:eastAsia="Times New Roman" w:cs="Arial"/>
                <w:color w:val="FFFFFF" w:themeColor="background1"/>
                <w:sz w:val="18"/>
                <w:szCs w:val="20"/>
                <w:lang w:val="es-CO" w:eastAsia="es-CO"/>
              </w:rPr>
            </w:pPr>
            <w:r w:rsidRPr="00A7516C">
              <w:rPr>
                <w:rFonts w:eastAsia="Times New Roman" w:cs="Arial"/>
                <w:color w:val="FFFFFF" w:themeColor="background1"/>
                <w:sz w:val="18"/>
                <w:szCs w:val="20"/>
                <w:lang w:val="es-CO" w:eastAsia="es-CO"/>
              </w:rPr>
              <w:t> </w:t>
            </w:r>
          </w:p>
        </w:tc>
        <w:tc>
          <w:tcPr>
            <w:tcW w:w="1122" w:type="pct"/>
            <w:shd w:val="clear" w:color="auto" w:fill="76923C" w:themeFill="accent3" w:themeFillShade="BF"/>
            <w:tcMar>
              <w:top w:w="0" w:type="dxa"/>
              <w:left w:w="70" w:type="dxa"/>
              <w:bottom w:w="0" w:type="dxa"/>
              <w:right w:w="70" w:type="dxa"/>
            </w:tcMar>
            <w:vAlign w:val="center"/>
            <w:hideMark/>
          </w:tcPr>
          <w:p w:rsidR="00BC521A" w:rsidRPr="00A7516C" w:rsidRDefault="00BC521A" w:rsidP="00BC521A">
            <w:pPr>
              <w:spacing w:after="0" w:line="240" w:lineRule="auto"/>
              <w:jc w:val="center"/>
              <w:rPr>
                <w:rFonts w:eastAsia="Times New Roman" w:cs="Arial"/>
                <w:color w:val="FFFFFF" w:themeColor="background1"/>
                <w:sz w:val="18"/>
                <w:szCs w:val="20"/>
                <w:lang w:val="es-CO" w:eastAsia="es-CO"/>
              </w:rPr>
            </w:pPr>
            <w:r w:rsidRPr="00A7516C">
              <w:rPr>
                <w:rFonts w:eastAsia="Times New Roman" w:cs="Arial"/>
                <w:b/>
                <w:bCs/>
                <w:color w:val="FFFFFF" w:themeColor="background1"/>
                <w:sz w:val="18"/>
                <w:szCs w:val="20"/>
                <w:lang w:val="es-CO" w:eastAsia="es-CO"/>
              </w:rPr>
              <w:t>Ejecución 2015</w:t>
            </w:r>
          </w:p>
        </w:tc>
        <w:tc>
          <w:tcPr>
            <w:tcW w:w="969" w:type="pct"/>
            <w:shd w:val="clear" w:color="auto" w:fill="76923C" w:themeFill="accent3" w:themeFillShade="BF"/>
            <w:tcMar>
              <w:top w:w="0" w:type="dxa"/>
              <w:left w:w="70" w:type="dxa"/>
              <w:bottom w:w="0" w:type="dxa"/>
              <w:right w:w="70" w:type="dxa"/>
            </w:tcMar>
            <w:vAlign w:val="center"/>
            <w:hideMark/>
          </w:tcPr>
          <w:p w:rsidR="00BC521A" w:rsidRPr="00A7516C" w:rsidRDefault="00BC521A" w:rsidP="00BC521A">
            <w:pPr>
              <w:spacing w:after="0" w:line="240" w:lineRule="auto"/>
              <w:jc w:val="center"/>
              <w:rPr>
                <w:rFonts w:eastAsia="Times New Roman" w:cs="Arial"/>
                <w:color w:val="FFFFFF" w:themeColor="background1"/>
                <w:sz w:val="18"/>
                <w:szCs w:val="20"/>
                <w:lang w:val="es-CO" w:eastAsia="es-CO"/>
              </w:rPr>
            </w:pPr>
            <w:r w:rsidRPr="00A7516C">
              <w:rPr>
                <w:rFonts w:eastAsia="Times New Roman" w:cs="Arial"/>
                <w:b/>
                <w:bCs/>
                <w:color w:val="FFFFFF" w:themeColor="background1"/>
                <w:sz w:val="18"/>
                <w:szCs w:val="20"/>
                <w:lang w:val="es-CO" w:eastAsia="es-CO"/>
              </w:rPr>
              <w:t>Meta 2015</w:t>
            </w:r>
          </w:p>
        </w:tc>
        <w:tc>
          <w:tcPr>
            <w:tcW w:w="1122" w:type="pct"/>
            <w:shd w:val="clear" w:color="auto" w:fill="76923C" w:themeFill="accent3" w:themeFillShade="BF"/>
            <w:tcMar>
              <w:top w:w="0" w:type="dxa"/>
              <w:left w:w="70" w:type="dxa"/>
              <w:bottom w:w="0" w:type="dxa"/>
              <w:right w:w="70" w:type="dxa"/>
            </w:tcMar>
            <w:vAlign w:val="center"/>
            <w:hideMark/>
          </w:tcPr>
          <w:p w:rsidR="00BC521A" w:rsidRPr="00A7516C" w:rsidRDefault="00A7516C" w:rsidP="00BC521A">
            <w:pPr>
              <w:spacing w:after="0" w:line="240" w:lineRule="auto"/>
              <w:jc w:val="center"/>
              <w:rPr>
                <w:rFonts w:eastAsia="Times New Roman" w:cs="Arial"/>
                <w:color w:val="FFFFFF" w:themeColor="background1"/>
                <w:sz w:val="18"/>
                <w:szCs w:val="20"/>
                <w:lang w:val="es-CO" w:eastAsia="es-CO"/>
              </w:rPr>
            </w:pPr>
            <w:r>
              <w:rPr>
                <w:rFonts w:eastAsia="Times New Roman" w:cs="Arial"/>
                <w:b/>
                <w:bCs/>
                <w:color w:val="FFFFFF" w:themeColor="background1"/>
                <w:sz w:val="18"/>
                <w:szCs w:val="20"/>
                <w:lang w:val="es-CO" w:eastAsia="es-CO"/>
              </w:rPr>
              <w:t>% de C</w:t>
            </w:r>
            <w:r w:rsidR="00BC521A" w:rsidRPr="00A7516C">
              <w:rPr>
                <w:rFonts w:eastAsia="Times New Roman" w:cs="Arial"/>
                <w:b/>
                <w:bCs/>
                <w:color w:val="FFFFFF" w:themeColor="background1"/>
                <w:sz w:val="18"/>
                <w:szCs w:val="20"/>
                <w:lang w:val="es-CO" w:eastAsia="es-CO"/>
              </w:rPr>
              <w:t>umplimiento</w:t>
            </w:r>
          </w:p>
        </w:tc>
      </w:tr>
      <w:tr w:rsidR="00BC521A" w:rsidRPr="00BC521A" w:rsidTr="00A7516C">
        <w:trPr>
          <w:trHeight w:val="315"/>
          <w:jc w:val="center"/>
        </w:trPr>
        <w:tc>
          <w:tcPr>
            <w:tcW w:w="1787"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both"/>
              <w:rPr>
                <w:rFonts w:eastAsia="Times New Roman" w:cs="Arial"/>
                <w:sz w:val="18"/>
                <w:szCs w:val="20"/>
                <w:lang w:val="es-CO" w:eastAsia="es-CO"/>
              </w:rPr>
            </w:pPr>
            <w:r w:rsidRPr="00BC521A">
              <w:rPr>
                <w:rFonts w:eastAsia="Times New Roman" w:cs="Arial"/>
                <w:b/>
                <w:bCs/>
                <w:sz w:val="18"/>
                <w:szCs w:val="20"/>
                <w:lang w:val="es-CO" w:eastAsia="es-CO"/>
              </w:rPr>
              <w:t>Cobertura</w:t>
            </w:r>
          </w:p>
        </w:tc>
        <w:tc>
          <w:tcPr>
            <w:tcW w:w="1122"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74.249</w:t>
            </w:r>
          </w:p>
        </w:tc>
        <w:tc>
          <w:tcPr>
            <w:tcW w:w="969"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71.681</w:t>
            </w:r>
          </w:p>
        </w:tc>
        <w:tc>
          <w:tcPr>
            <w:tcW w:w="1122"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104%</w:t>
            </w:r>
          </w:p>
        </w:tc>
      </w:tr>
      <w:tr w:rsidR="00BC521A" w:rsidRPr="00BC521A" w:rsidTr="00A7516C">
        <w:trPr>
          <w:trHeight w:val="315"/>
          <w:jc w:val="center"/>
        </w:trPr>
        <w:tc>
          <w:tcPr>
            <w:tcW w:w="1787"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both"/>
              <w:rPr>
                <w:rFonts w:eastAsia="Times New Roman" w:cs="Arial"/>
                <w:sz w:val="18"/>
                <w:szCs w:val="20"/>
                <w:lang w:val="es-CO" w:eastAsia="es-CO"/>
              </w:rPr>
            </w:pPr>
            <w:r w:rsidRPr="00BC521A">
              <w:rPr>
                <w:rFonts w:eastAsia="Times New Roman" w:cs="Arial"/>
                <w:b/>
                <w:bCs/>
                <w:sz w:val="18"/>
                <w:szCs w:val="20"/>
                <w:lang w:val="es-CO" w:eastAsia="es-CO"/>
              </w:rPr>
              <w:t>Inversión (millones de $)</w:t>
            </w:r>
          </w:p>
        </w:tc>
        <w:tc>
          <w:tcPr>
            <w:tcW w:w="1122"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$574.249</w:t>
            </w:r>
          </w:p>
        </w:tc>
        <w:tc>
          <w:tcPr>
            <w:tcW w:w="969"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$586.045</w:t>
            </w:r>
          </w:p>
        </w:tc>
        <w:tc>
          <w:tcPr>
            <w:tcW w:w="1122" w:type="pct"/>
            <w:shd w:val="clear" w:color="auto" w:fill="auto"/>
            <w:tcMar>
              <w:top w:w="0" w:type="dxa"/>
              <w:left w:w="70" w:type="dxa"/>
              <w:bottom w:w="0" w:type="dxa"/>
              <w:right w:w="70" w:type="dxa"/>
            </w:tcMar>
            <w:vAlign w:val="center"/>
            <w:hideMark/>
          </w:tcPr>
          <w:p w:rsidR="00BC521A" w:rsidRPr="00BC521A" w:rsidRDefault="00BC521A" w:rsidP="00BC521A">
            <w:pPr>
              <w:spacing w:after="0" w:line="240" w:lineRule="auto"/>
              <w:jc w:val="center"/>
              <w:rPr>
                <w:rFonts w:eastAsia="Times New Roman" w:cs="Arial"/>
                <w:sz w:val="18"/>
                <w:szCs w:val="20"/>
                <w:lang w:val="es-CO" w:eastAsia="es-CO"/>
              </w:rPr>
            </w:pPr>
            <w:r w:rsidRPr="00BC521A">
              <w:rPr>
                <w:rFonts w:eastAsia="Times New Roman" w:cs="Arial"/>
                <w:sz w:val="18"/>
                <w:szCs w:val="20"/>
                <w:lang w:val="es-CO" w:eastAsia="es-CO"/>
              </w:rPr>
              <w:t>98%</w:t>
            </w:r>
          </w:p>
        </w:tc>
      </w:tr>
    </w:tbl>
    <w:p w:rsidR="00BC521A" w:rsidRDefault="00BC521A" w:rsidP="00BC521A">
      <w:pPr>
        <w:spacing w:after="0" w:line="240" w:lineRule="auto"/>
        <w:ind w:left="426"/>
        <w:jc w:val="both"/>
        <w:rPr>
          <w:rFonts w:eastAsia="Times New Roman" w:cs="Arial"/>
          <w:sz w:val="16"/>
          <w:lang w:val="es-CO" w:eastAsia="es-CO"/>
        </w:rPr>
      </w:pPr>
      <w:r w:rsidRPr="00A7516C">
        <w:rPr>
          <w:rFonts w:eastAsia="Times New Roman" w:cs="Arial"/>
          <w:b/>
          <w:sz w:val="16"/>
          <w:lang w:val="es-CO" w:eastAsia="es-CO"/>
        </w:rPr>
        <w:t>Fuente:</w:t>
      </w:r>
      <w:r w:rsidRPr="00BC521A">
        <w:rPr>
          <w:rFonts w:eastAsia="Times New Roman" w:cs="Arial"/>
          <w:sz w:val="16"/>
          <w:lang w:val="es-CO" w:eastAsia="es-CO"/>
        </w:rPr>
        <w:t xml:space="preserve"> Metas Sociales y Financieras, Cierre 2015</w:t>
      </w:r>
    </w:p>
    <w:p w:rsidR="00F7316B" w:rsidRPr="00D21160" w:rsidRDefault="00F7316B" w:rsidP="00F7316B">
      <w:pPr>
        <w:rPr>
          <w:rFonts w:ascii="Calibri" w:hAnsi="Calibri"/>
          <w:i/>
          <w:iCs/>
          <w:sz w:val="16"/>
          <w:lang w:val="es-CO"/>
        </w:rPr>
      </w:pPr>
      <w:r>
        <w:rPr>
          <w:i/>
          <w:iCs/>
          <w:sz w:val="16"/>
        </w:rPr>
        <w:t xml:space="preserve">         </w:t>
      </w:r>
      <w:r w:rsidRPr="00D21160">
        <w:rPr>
          <w:i/>
          <w:iCs/>
          <w:sz w:val="16"/>
        </w:rPr>
        <w:t>Nota: Información preliminar, sujeta a actualización del cierre oficial de metas sociales y financieras.</w:t>
      </w:r>
    </w:p>
    <w:p w:rsidR="00BC521A" w:rsidRPr="00BC521A" w:rsidRDefault="00BC521A" w:rsidP="00BC521A">
      <w:pPr>
        <w:spacing w:after="0" w:line="240" w:lineRule="auto"/>
        <w:jc w:val="both"/>
        <w:rPr>
          <w:rFonts w:eastAsia="Times New Roman" w:cs="Arial"/>
          <w:lang w:val="es-CO" w:eastAsia="es-CO"/>
        </w:rPr>
      </w:pPr>
      <w:r w:rsidRPr="00BC521A">
        <w:rPr>
          <w:rFonts w:eastAsia="Times New Roman" w:cs="Arial"/>
          <w:lang w:val="es-CO" w:eastAsia="es-CO"/>
        </w:rPr>
        <w:t>Para la vigencia 2016 se tiene una meta de atención de 73.541 cupos con una asignación de $700.902 millones. Al corte de Diciembre de 2016, se tiene una ejecución de 71.568 cupos y una ejecución financiera de $632.501 millones.</w:t>
      </w:r>
    </w:p>
    <w:p w:rsidR="00BC521A" w:rsidRPr="00BC521A" w:rsidRDefault="00BC521A" w:rsidP="00BC521A">
      <w:pPr>
        <w:spacing w:after="0" w:line="240" w:lineRule="auto"/>
        <w:jc w:val="both"/>
        <w:rPr>
          <w:rFonts w:eastAsia="Times New Roman" w:cs="Arial"/>
          <w:highlight w:val="green"/>
          <w:lang w:val="es-CO" w:eastAsia="es-CO"/>
        </w:rPr>
      </w:pPr>
    </w:p>
    <w:tbl>
      <w:tblPr>
        <w:tblW w:w="820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840"/>
        <w:gridCol w:w="2200"/>
        <w:gridCol w:w="1500"/>
        <w:gridCol w:w="1660"/>
      </w:tblGrid>
      <w:tr w:rsidR="00BC521A" w:rsidRPr="00A7516C" w:rsidTr="00A7516C">
        <w:trPr>
          <w:trHeight w:val="525"/>
          <w:jc w:val="center"/>
        </w:trPr>
        <w:tc>
          <w:tcPr>
            <w:tcW w:w="2840" w:type="dxa"/>
            <w:shd w:val="clear" w:color="auto" w:fill="auto"/>
            <w:vAlign w:val="center"/>
            <w:hideMark/>
          </w:tcPr>
          <w:p w:rsidR="00BC521A" w:rsidRPr="00A7516C" w:rsidRDefault="00BC521A" w:rsidP="00BC521A">
            <w:pPr>
              <w:spacing w:after="0" w:line="240" w:lineRule="auto"/>
              <w:jc w:val="both"/>
              <w:rPr>
                <w:rFonts w:eastAsia="Times New Roman" w:cs="Arial"/>
                <w:color w:val="FFFFFF" w:themeColor="background1"/>
                <w:sz w:val="18"/>
                <w:szCs w:val="18"/>
                <w:lang w:val="es-CO" w:eastAsia="es-CO"/>
              </w:rPr>
            </w:pPr>
            <w:r w:rsidRPr="00A7516C">
              <w:rPr>
                <w:rFonts w:eastAsia="Times New Roman" w:cs="Arial"/>
                <w:color w:val="FFFFFF" w:themeColor="background1"/>
                <w:sz w:val="18"/>
                <w:szCs w:val="18"/>
                <w:lang w:val="es-CO" w:eastAsia="es-CO"/>
              </w:rPr>
              <w:t> </w:t>
            </w:r>
          </w:p>
        </w:tc>
        <w:tc>
          <w:tcPr>
            <w:tcW w:w="2200" w:type="dxa"/>
            <w:shd w:val="clear" w:color="auto" w:fill="76923C" w:themeFill="accent3" w:themeFillShade="BF"/>
            <w:vAlign w:val="center"/>
            <w:hideMark/>
          </w:tcPr>
          <w:p w:rsidR="00BC521A" w:rsidRPr="00A7516C" w:rsidRDefault="00BC521A" w:rsidP="00BC521A">
            <w:pPr>
              <w:spacing w:after="0" w:line="240" w:lineRule="auto"/>
              <w:jc w:val="center"/>
              <w:rPr>
                <w:rFonts w:eastAsia="Times New Roman" w:cs="Arial"/>
                <w:b/>
                <w:bCs/>
                <w:color w:val="FFFFFF" w:themeColor="background1"/>
                <w:sz w:val="18"/>
                <w:szCs w:val="18"/>
                <w:lang w:val="es-CO" w:eastAsia="es-CO"/>
              </w:rPr>
            </w:pPr>
            <w:r w:rsidRPr="00A7516C">
              <w:rPr>
                <w:rFonts w:eastAsia="Times New Roman" w:cs="Arial"/>
                <w:b/>
                <w:bCs/>
                <w:color w:val="FFFFFF" w:themeColor="background1"/>
                <w:sz w:val="18"/>
                <w:szCs w:val="18"/>
                <w:lang w:val="es-CO" w:eastAsia="es-CO"/>
              </w:rPr>
              <w:t>Ejecución 2016 (Corte a 31 de Diciembre)</w:t>
            </w:r>
          </w:p>
        </w:tc>
        <w:tc>
          <w:tcPr>
            <w:tcW w:w="1500" w:type="dxa"/>
            <w:shd w:val="clear" w:color="auto" w:fill="76923C" w:themeFill="accent3" w:themeFillShade="BF"/>
            <w:vAlign w:val="center"/>
            <w:hideMark/>
          </w:tcPr>
          <w:p w:rsidR="00BC521A" w:rsidRPr="00A7516C" w:rsidRDefault="00BC521A" w:rsidP="00BC521A">
            <w:pPr>
              <w:spacing w:after="0" w:line="240" w:lineRule="auto"/>
              <w:jc w:val="center"/>
              <w:rPr>
                <w:rFonts w:eastAsia="Times New Roman" w:cs="Arial"/>
                <w:b/>
                <w:bCs/>
                <w:color w:val="FFFFFF" w:themeColor="background1"/>
                <w:sz w:val="18"/>
                <w:szCs w:val="18"/>
                <w:lang w:val="es-CO" w:eastAsia="es-CO"/>
              </w:rPr>
            </w:pPr>
            <w:r w:rsidRPr="00A7516C">
              <w:rPr>
                <w:rFonts w:eastAsia="Times New Roman" w:cs="Arial"/>
                <w:b/>
                <w:bCs/>
                <w:color w:val="FFFFFF" w:themeColor="background1"/>
                <w:sz w:val="18"/>
                <w:szCs w:val="18"/>
                <w:lang w:val="es-CO" w:eastAsia="es-CO"/>
              </w:rPr>
              <w:t>Meta 2016</w:t>
            </w:r>
          </w:p>
        </w:tc>
        <w:tc>
          <w:tcPr>
            <w:tcW w:w="1660" w:type="dxa"/>
            <w:shd w:val="clear" w:color="auto" w:fill="76923C" w:themeFill="accent3" w:themeFillShade="BF"/>
            <w:vAlign w:val="center"/>
            <w:hideMark/>
          </w:tcPr>
          <w:p w:rsidR="00BC521A" w:rsidRPr="00A7516C" w:rsidRDefault="00BC521A" w:rsidP="00BC521A">
            <w:pPr>
              <w:spacing w:after="0" w:line="240" w:lineRule="auto"/>
              <w:jc w:val="center"/>
              <w:rPr>
                <w:rFonts w:eastAsia="Times New Roman" w:cs="Arial"/>
                <w:b/>
                <w:bCs/>
                <w:color w:val="FFFFFF" w:themeColor="background1"/>
                <w:sz w:val="18"/>
                <w:szCs w:val="18"/>
                <w:lang w:val="es-CO" w:eastAsia="es-CO"/>
              </w:rPr>
            </w:pPr>
            <w:r w:rsidRPr="00A7516C">
              <w:rPr>
                <w:rFonts w:eastAsia="Times New Roman" w:cs="Arial"/>
                <w:b/>
                <w:bCs/>
                <w:color w:val="FFFFFF" w:themeColor="background1"/>
                <w:sz w:val="18"/>
                <w:szCs w:val="18"/>
                <w:lang w:val="es-CO" w:eastAsia="es-CO"/>
              </w:rPr>
              <w:t>% de cumplimiento</w:t>
            </w:r>
          </w:p>
        </w:tc>
      </w:tr>
      <w:tr w:rsidR="00BC521A" w:rsidRPr="00A7516C" w:rsidTr="00A7516C">
        <w:trPr>
          <w:trHeight w:val="315"/>
          <w:jc w:val="center"/>
        </w:trPr>
        <w:tc>
          <w:tcPr>
            <w:tcW w:w="2840" w:type="dxa"/>
            <w:shd w:val="clear" w:color="auto" w:fill="auto"/>
            <w:vAlign w:val="center"/>
            <w:hideMark/>
          </w:tcPr>
          <w:p w:rsidR="00BC521A" w:rsidRPr="00A7516C" w:rsidRDefault="00BC521A" w:rsidP="00BC521A">
            <w:pPr>
              <w:spacing w:after="0" w:line="240" w:lineRule="auto"/>
              <w:jc w:val="both"/>
              <w:rPr>
                <w:rFonts w:eastAsia="Times New Roman" w:cs="Arial"/>
                <w:b/>
                <w:bCs/>
                <w:color w:val="000000"/>
                <w:sz w:val="18"/>
                <w:szCs w:val="18"/>
                <w:lang w:val="es-CO" w:eastAsia="es-CO"/>
              </w:rPr>
            </w:pPr>
            <w:r w:rsidRPr="00A7516C">
              <w:rPr>
                <w:rFonts w:eastAsia="Times New Roman" w:cs="Arial"/>
                <w:b/>
                <w:bCs/>
                <w:color w:val="000000"/>
                <w:sz w:val="18"/>
                <w:szCs w:val="18"/>
                <w:lang w:val="es-CO" w:eastAsia="es-CO"/>
              </w:rPr>
              <w:t>Cobertura</w:t>
            </w:r>
          </w:p>
        </w:tc>
        <w:tc>
          <w:tcPr>
            <w:tcW w:w="220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71.568</w:t>
            </w:r>
          </w:p>
        </w:tc>
        <w:tc>
          <w:tcPr>
            <w:tcW w:w="150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73.541</w:t>
            </w:r>
          </w:p>
        </w:tc>
        <w:tc>
          <w:tcPr>
            <w:tcW w:w="166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97%</w:t>
            </w:r>
          </w:p>
        </w:tc>
      </w:tr>
      <w:tr w:rsidR="00BC521A" w:rsidRPr="00A7516C" w:rsidTr="00A7516C">
        <w:trPr>
          <w:trHeight w:val="315"/>
          <w:jc w:val="center"/>
        </w:trPr>
        <w:tc>
          <w:tcPr>
            <w:tcW w:w="2840" w:type="dxa"/>
            <w:shd w:val="clear" w:color="auto" w:fill="auto"/>
            <w:vAlign w:val="center"/>
            <w:hideMark/>
          </w:tcPr>
          <w:p w:rsidR="00BC521A" w:rsidRPr="00A7516C" w:rsidRDefault="00BC521A" w:rsidP="00BC521A">
            <w:pPr>
              <w:spacing w:after="0" w:line="240" w:lineRule="auto"/>
              <w:jc w:val="both"/>
              <w:rPr>
                <w:rFonts w:eastAsia="Times New Roman" w:cs="Arial"/>
                <w:b/>
                <w:bCs/>
                <w:color w:val="000000"/>
                <w:sz w:val="18"/>
                <w:szCs w:val="18"/>
                <w:lang w:val="es-CO" w:eastAsia="es-CO"/>
              </w:rPr>
            </w:pPr>
            <w:r w:rsidRPr="00A7516C">
              <w:rPr>
                <w:rFonts w:eastAsia="Times New Roman" w:cs="Arial"/>
                <w:b/>
                <w:bCs/>
                <w:color w:val="000000"/>
                <w:sz w:val="18"/>
                <w:szCs w:val="18"/>
                <w:lang w:val="es-CO" w:eastAsia="es-CO"/>
              </w:rPr>
              <w:t>Inversión (millones de $)</w:t>
            </w:r>
          </w:p>
        </w:tc>
        <w:tc>
          <w:tcPr>
            <w:tcW w:w="220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$632.501</w:t>
            </w:r>
          </w:p>
        </w:tc>
        <w:tc>
          <w:tcPr>
            <w:tcW w:w="150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$700.902</w:t>
            </w:r>
          </w:p>
        </w:tc>
        <w:tc>
          <w:tcPr>
            <w:tcW w:w="1660" w:type="dxa"/>
            <w:shd w:val="clear" w:color="auto" w:fill="auto"/>
            <w:vAlign w:val="center"/>
            <w:hideMark/>
          </w:tcPr>
          <w:p w:rsidR="00BC521A" w:rsidRPr="00A7516C" w:rsidRDefault="00BC521A" w:rsidP="00BC521A">
            <w:pPr>
              <w:spacing w:after="0" w:line="240" w:lineRule="auto"/>
              <w:jc w:val="center"/>
              <w:rPr>
                <w:rFonts w:eastAsia="Times New Roman" w:cs="Arial"/>
                <w:color w:val="000000"/>
                <w:sz w:val="18"/>
                <w:szCs w:val="18"/>
                <w:lang w:val="es-CO" w:eastAsia="es-CO"/>
              </w:rPr>
            </w:pPr>
            <w:r w:rsidRPr="00A7516C">
              <w:rPr>
                <w:rFonts w:eastAsia="Times New Roman" w:cs="Arial"/>
                <w:color w:val="000000"/>
                <w:sz w:val="18"/>
                <w:szCs w:val="18"/>
                <w:lang w:val="es-CO" w:eastAsia="es-CO"/>
              </w:rPr>
              <w:t>90%</w:t>
            </w:r>
          </w:p>
        </w:tc>
      </w:tr>
    </w:tbl>
    <w:p w:rsidR="00BC521A" w:rsidRDefault="00A7516C" w:rsidP="00BC521A">
      <w:pPr>
        <w:spacing w:after="0" w:line="240" w:lineRule="auto"/>
        <w:jc w:val="both"/>
        <w:rPr>
          <w:rFonts w:eastAsia="Times New Roman" w:cs="Arial"/>
          <w:color w:val="000000"/>
          <w:sz w:val="16"/>
          <w:szCs w:val="16"/>
          <w:lang w:val="es-CO" w:eastAsia="es-CO"/>
        </w:rPr>
      </w:pPr>
      <w:r>
        <w:rPr>
          <w:rFonts w:eastAsia="Times New Roman" w:cs="Arial"/>
          <w:color w:val="000000"/>
          <w:sz w:val="18"/>
          <w:szCs w:val="18"/>
          <w:lang w:val="es-CO" w:eastAsia="es-CO"/>
        </w:rPr>
        <w:t xml:space="preserve">            </w:t>
      </w:r>
      <w:r w:rsidRPr="00A7516C">
        <w:rPr>
          <w:rFonts w:eastAsia="Times New Roman" w:cs="Arial"/>
          <w:b/>
          <w:color w:val="000000"/>
          <w:sz w:val="16"/>
          <w:szCs w:val="16"/>
          <w:lang w:val="es-CO" w:eastAsia="es-CO"/>
        </w:rPr>
        <w:t>Fuente:</w:t>
      </w:r>
      <w:r w:rsidRPr="00A7516C">
        <w:rPr>
          <w:rFonts w:eastAsia="Times New Roman" w:cs="Arial"/>
          <w:color w:val="000000"/>
          <w:sz w:val="16"/>
          <w:szCs w:val="16"/>
          <w:lang w:val="es-CO" w:eastAsia="es-CO"/>
        </w:rPr>
        <w:t xml:space="preserve"> Ejecución de Metas Sociales y Financieras Vigencia 2016 - Reporte Ejecución Municipal - SIM - Diciembre Preliminar</w:t>
      </w:r>
    </w:p>
    <w:p w:rsidR="00F7316B" w:rsidRPr="00D21160" w:rsidRDefault="00F7316B" w:rsidP="00F7316B">
      <w:pPr>
        <w:rPr>
          <w:rFonts w:ascii="Calibri" w:hAnsi="Calibri"/>
          <w:i/>
          <w:iCs/>
          <w:sz w:val="16"/>
          <w:lang w:val="es-CO"/>
        </w:rPr>
      </w:pPr>
      <w:r>
        <w:rPr>
          <w:rFonts w:eastAsia="Times New Roman" w:cs="Arial"/>
          <w:color w:val="000000"/>
          <w:sz w:val="16"/>
          <w:szCs w:val="16"/>
          <w:lang w:val="es-CO" w:eastAsia="es-CO"/>
        </w:rPr>
        <w:t xml:space="preserve">             </w:t>
      </w:r>
      <w:r w:rsidRPr="00D21160">
        <w:rPr>
          <w:i/>
          <w:iCs/>
          <w:sz w:val="16"/>
        </w:rPr>
        <w:t>Nota: Información preliminar, sujeta a actualización del cierre oficial de metas sociales y financieras.</w:t>
      </w:r>
    </w:p>
    <w:p w:rsidR="00F7316B" w:rsidRPr="00D21160" w:rsidRDefault="00F7316B" w:rsidP="00F7316B">
      <w:pPr>
        <w:spacing w:after="0" w:line="240" w:lineRule="auto"/>
        <w:jc w:val="both"/>
        <w:rPr>
          <w:rFonts w:cs="Arial"/>
          <w:sz w:val="16"/>
          <w:lang w:val="es-CO" w:eastAsia="es-ES"/>
        </w:rPr>
      </w:pPr>
    </w:p>
    <w:p w:rsidR="00BC521A" w:rsidRPr="00BC521A" w:rsidRDefault="00BC521A" w:rsidP="00BC521A">
      <w:pPr>
        <w:spacing w:after="0" w:line="240" w:lineRule="auto"/>
        <w:jc w:val="both"/>
        <w:rPr>
          <w:rFonts w:eastAsia="Times New Roman" w:cs="Arial"/>
          <w:lang w:val="es-CO" w:eastAsia="es-CO"/>
        </w:rPr>
      </w:pPr>
      <w:r w:rsidRPr="00BC521A">
        <w:rPr>
          <w:rFonts w:eastAsia="Times New Roman" w:cs="Arial"/>
          <w:lang w:eastAsia="es-CO"/>
        </w:rPr>
        <w:t xml:space="preserve">Con </w:t>
      </w:r>
      <w:r w:rsidRPr="00BC521A">
        <w:rPr>
          <w:rFonts w:eastAsia="Times New Roman" w:cs="Arial"/>
          <w:lang w:val="es-CO" w:eastAsia="es-CO"/>
        </w:rPr>
        <w:t>el propósito de lograr el cumplimiento de las Metas Sociales y Financieras establecidas para la presente vigencia, desde la Dirección se han adelantado diferentes estrategias de seguimiento con las regionales, así:</w:t>
      </w:r>
    </w:p>
    <w:p w:rsidR="00BC521A" w:rsidRPr="00BC521A" w:rsidRDefault="00BC521A" w:rsidP="00BC521A">
      <w:pPr>
        <w:spacing w:after="0" w:line="240" w:lineRule="auto"/>
        <w:jc w:val="both"/>
        <w:rPr>
          <w:rFonts w:eastAsiaTheme="minorHAnsi" w:cs="Arial"/>
          <w:lang w:val="es-CO" w:eastAsia="es-CO"/>
        </w:rPr>
      </w:pPr>
    </w:p>
    <w:p w:rsidR="00BC521A" w:rsidRPr="00BC521A" w:rsidRDefault="00BC521A" w:rsidP="00BC521A">
      <w:pPr>
        <w:spacing w:after="0" w:line="240" w:lineRule="auto"/>
        <w:jc w:val="both"/>
        <w:textAlignment w:val="baseline"/>
        <w:rPr>
          <w:rFonts w:eastAsia="Times New Roman" w:cs="Arial"/>
          <w:lang w:val="es-CO" w:eastAsia="es-CO"/>
        </w:rPr>
      </w:pPr>
      <w:r w:rsidRPr="00BC521A">
        <w:rPr>
          <w:rFonts w:eastAsia="Times New Roman" w:cs="Arial"/>
          <w:b/>
          <w:bCs/>
          <w:lang w:eastAsia="es-CO"/>
        </w:rPr>
        <w:t>Seguimiento mensual a inejecuciones de MSYF</w:t>
      </w:r>
      <w:r w:rsidRPr="00BC521A">
        <w:rPr>
          <w:rFonts w:eastAsia="Times New Roman" w:cs="Arial"/>
          <w:lang w:val="es-CO" w:eastAsia="es-CO"/>
        </w:rPr>
        <w:t>: Se envía mensualmente a las Direcciones Regionales el reporte de ejecución de metas sociales y financieras por modalidad para que cada una realice una justificación de las inejecuciones presentadas durante el mes y se realicen los ajustes en metas a los que haya lugar.</w:t>
      </w:r>
    </w:p>
    <w:p w:rsidR="00BC521A" w:rsidRPr="00BC521A" w:rsidRDefault="00BC521A" w:rsidP="00BC521A">
      <w:pPr>
        <w:spacing w:after="0" w:line="240" w:lineRule="auto"/>
        <w:jc w:val="both"/>
        <w:textAlignment w:val="baseline"/>
        <w:rPr>
          <w:rFonts w:eastAsia="Times New Roman" w:cs="Arial"/>
          <w:lang w:val="es-CO" w:eastAsia="es-CO"/>
        </w:rPr>
      </w:pPr>
    </w:p>
    <w:p w:rsidR="00BC521A" w:rsidRPr="00BC521A" w:rsidRDefault="00BC521A" w:rsidP="00BC521A">
      <w:pPr>
        <w:spacing w:after="0" w:line="240" w:lineRule="auto"/>
        <w:jc w:val="both"/>
        <w:textAlignment w:val="baseline"/>
        <w:rPr>
          <w:rFonts w:eastAsia="Times New Roman" w:cs="Arial"/>
          <w:lang w:val="es-CO" w:eastAsia="es-CO"/>
        </w:rPr>
      </w:pPr>
      <w:r w:rsidRPr="00BC521A">
        <w:rPr>
          <w:rFonts w:eastAsia="Times New Roman" w:cs="Arial"/>
          <w:b/>
          <w:bCs/>
          <w:lang w:eastAsia="es-CO"/>
        </w:rPr>
        <w:t xml:space="preserve">Seguimiento trimestral a ejecuciones de cupos contratados – videoconferencias regionales: </w:t>
      </w:r>
      <w:r w:rsidRPr="00BC521A">
        <w:rPr>
          <w:rFonts w:eastAsia="Times New Roman" w:cs="Arial"/>
          <w:lang w:val="es-CO" w:eastAsia="es-CO"/>
        </w:rPr>
        <w:t>Se realizan trimestralmente reuniones virtuales con las Direcciones Regionales y los Coordinadores de Protección o de Asistencia Técnica, para revisar la ejecución de cupos de cada uno de los contratos de aporte suscritos para atender las modalidades de protección, realizando compromisos para evitar las inejecuciones y realizar las modificaciones a las que haya lugar. Así mismo, se realiza seguimiento a las liquidaciones parciales de estos contratos con el fin de liberar recursos no ejecutados.</w:t>
      </w:r>
    </w:p>
    <w:p w:rsidR="00BC521A" w:rsidRPr="00BC521A" w:rsidRDefault="00BC521A" w:rsidP="00BC521A">
      <w:pPr>
        <w:spacing w:after="0" w:line="240" w:lineRule="auto"/>
        <w:jc w:val="both"/>
        <w:textAlignment w:val="baseline"/>
        <w:rPr>
          <w:rFonts w:eastAsia="Times New Roman" w:cs="Arial"/>
          <w:lang w:val="es-CO" w:eastAsia="es-CO"/>
        </w:rPr>
      </w:pPr>
    </w:p>
    <w:p w:rsidR="00BC521A" w:rsidRPr="00BC521A" w:rsidRDefault="00BC521A" w:rsidP="00BC521A">
      <w:pPr>
        <w:spacing w:after="0" w:line="240" w:lineRule="auto"/>
        <w:jc w:val="both"/>
        <w:textAlignment w:val="baseline"/>
        <w:rPr>
          <w:rFonts w:eastAsia="Times New Roman" w:cs="Arial"/>
          <w:lang w:val="es-CO" w:eastAsia="es-CO"/>
        </w:rPr>
      </w:pPr>
      <w:r w:rsidRPr="00BC521A">
        <w:rPr>
          <w:rFonts w:eastAsia="Times New Roman" w:cs="Arial"/>
          <w:b/>
          <w:bCs/>
          <w:lang w:eastAsia="es-CO"/>
        </w:rPr>
        <w:t xml:space="preserve">Contracréditos permanentes de saldos no ejecutados: </w:t>
      </w:r>
      <w:r w:rsidRPr="00BC521A">
        <w:rPr>
          <w:rFonts w:eastAsia="Times New Roman" w:cs="Arial"/>
          <w:lang w:val="es-CO" w:eastAsia="es-CO"/>
        </w:rPr>
        <w:t>Teniendo en cuenta que la meta para esta vigencia era no tener saldos de apropiación disponible y lograr la mayor ejecución posible, se realizaron de manera permanente contracréditos de los recursos no ejecutados, con esto se logró cubrir el aplazamiento de recursos realizado por el Ministerio de Hacienda y Crédito Público y adicionalmente entregar recursos para el Decreto de Reducción, lo que ascendió a una suma de $88.415 millones.</w:t>
      </w:r>
    </w:p>
    <w:p w:rsidR="00BC521A" w:rsidRPr="00BC521A" w:rsidRDefault="00BC521A" w:rsidP="00BC521A">
      <w:pPr>
        <w:spacing w:after="0" w:line="240" w:lineRule="auto"/>
        <w:jc w:val="both"/>
        <w:rPr>
          <w:rFonts w:cs="Arial"/>
        </w:rPr>
      </w:pPr>
    </w:p>
    <w:p w:rsidR="00823561" w:rsidRPr="00D20970" w:rsidRDefault="00823561" w:rsidP="007342CF">
      <w:pPr>
        <w:pStyle w:val="Prrafodelista"/>
        <w:keepNext/>
        <w:keepLines/>
        <w:numPr>
          <w:ilvl w:val="2"/>
          <w:numId w:val="242"/>
        </w:numPr>
        <w:spacing w:after="0" w:line="240" w:lineRule="auto"/>
        <w:outlineLvl w:val="1"/>
        <w:rPr>
          <w:rFonts w:eastAsiaTheme="majorEastAsia" w:cs="Arial"/>
          <w:b/>
        </w:rPr>
      </w:pPr>
      <w:bookmarkStart w:id="137" w:name="_Toc473581433"/>
      <w:bookmarkStart w:id="138" w:name="_Toc470095187"/>
      <w:bookmarkStart w:id="139" w:name="_Toc472519309"/>
      <w:r w:rsidRPr="00D20970">
        <w:rPr>
          <w:rFonts w:eastAsia="Times New Roman" w:cs="Arial"/>
          <w:b/>
          <w:bCs/>
          <w:kern w:val="32"/>
        </w:rPr>
        <w:lastRenderedPageBreak/>
        <w:t>Logros 2016</w:t>
      </w:r>
      <w:bookmarkEnd w:id="137"/>
      <w:r w:rsidRPr="00D20970">
        <w:rPr>
          <w:rFonts w:eastAsia="Times New Roman" w:cs="Arial"/>
          <w:b/>
          <w:bCs/>
          <w:kern w:val="32"/>
        </w:rPr>
        <w:t xml:space="preserve"> </w:t>
      </w:r>
    </w:p>
    <w:p w:rsidR="00F7316B" w:rsidRDefault="00F7316B" w:rsidP="00D44052">
      <w:pPr>
        <w:ind w:left="708" w:firstLine="708"/>
        <w:rPr>
          <w:rFonts w:eastAsiaTheme="majorEastAsia"/>
          <w:b/>
        </w:rPr>
      </w:pPr>
      <w:bookmarkStart w:id="140" w:name="_Toc472519310"/>
      <w:bookmarkEnd w:id="138"/>
      <w:bookmarkEnd w:id="139"/>
    </w:p>
    <w:p w:rsidR="00BC521A" w:rsidRPr="007C502E" w:rsidRDefault="00BC521A" w:rsidP="00D44052">
      <w:pPr>
        <w:ind w:left="708" w:firstLine="708"/>
        <w:rPr>
          <w:rFonts w:eastAsiaTheme="majorEastAsia"/>
          <w:b/>
        </w:rPr>
      </w:pPr>
      <w:r w:rsidRPr="007C502E">
        <w:rPr>
          <w:rFonts w:eastAsiaTheme="majorEastAsia"/>
          <w:b/>
        </w:rPr>
        <w:t>Actualización y publicación de lineamientos</w:t>
      </w:r>
      <w:bookmarkEnd w:id="140"/>
      <w:r w:rsidRPr="007C502E">
        <w:rPr>
          <w:rFonts w:eastAsiaTheme="majorEastAsia"/>
          <w:b/>
        </w:rPr>
        <w:t xml:space="preserve"> </w:t>
      </w:r>
    </w:p>
    <w:p w:rsidR="00BC521A" w:rsidRDefault="00BC521A" w:rsidP="00BC521A">
      <w:pPr>
        <w:spacing w:after="0" w:line="240" w:lineRule="auto"/>
        <w:jc w:val="both"/>
        <w:rPr>
          <w:rFonts w:cs="Arial"/>
        </w:rPr>
      </w:pPr>
      <w:r w:rsidRPr="00BC521A">
        <w:rPr>
          <w:rFonts w:cs="Arial"/>
        </w:rPr>
        <w:t>A la fecha se han actualizado y publicado 15 lineamientos para la operación de los programas y servicios del Proceso Administrativo de Restablecimiento de Derechos y del Sistema de Responsabilidad para Adolescentes, así:</w:t>
      </w:r>
    </w:p>
    <w:p w:rsidR="00ED18A3" w:rsidRPr="00BC521A" w:rsidRDefault="00ED18A3" w:rsidP="00BC521A">
      <w:pPr>
        <w:spacing w:after="0" w:line="240" w:lineRule="auto"/>
        <w:jc w:val="both"/>
        <w:rPr>
          <w:rFonts w:cs="Arial"/>
        </w:rPr>
      </w:pPr>
    </w:p>
    <w:tbl>
      <w:tblPr>
        <w:tblW w:w="9356" w:type="dxa"/>
        <w:tblInd w:w="7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0" w:type="dxa"/>
          <w:right w:w="0" w:type="dxa"/>
        </w:tblCellMar>
        <w:tblLook w:val="04A0" w:firstRow="1" w:lastRow="0" w:firstColumn="1" w:lastColumn="0" w:noHBand="0" w:noVBand="1"/>
      </w:tblPr>
      <w:tblGrid>
        <w:gridCol w:w="4036"/>
        <w:gridCol w:w="5320"/>
      </w:tblGrid>
      <w:tr w:rsidR="00BC521A" w:rsidRPr="00ED18A3" w:rsidTr="009B308B">
        <w:trPr>
          <w:cantSplit/>
          <w:trHeight w:val="300"/>
          <w:tblHeader/>
        </w:trPr>
        <w:tc>
          <w:tcPr>
            <w:tcW w:w="4036" w:type="dxa"/>
            <w:shd w:val="clear" w:color="auto" w:fill="76923C" w:themeFill="accent3" w:themeFillShade="BF"/>
            <w:noWrap/>
            <w:tcMar>
              <w:top w:w="0" w:type="dxa"/>
              <w:left w:w="70" w:type="dxa"/>
              <w:bottom w:w="0" w:type="dxa"/>
              <w:right w:w="70" w:type="dxa"/>
            </w:tcMar>
            <w:hideMark/>
          </w:tcPr>
          <w:p w:rsidR="00BC521A" w:rsidRPr="009B308B" w:rsidRDefault="00BC521A" w:rsidP="009B308B">
            <w:pPr>
              <w:spacing w:after="0" w:line="240" w:lineRule="auto"/>
              <w:contextualSpacing/>
              <w:jc w:val="center"/>
              <w:rPr>
                <w:rFonts w:cs="Arial"/>
                <w:b/>
                <w:color w:val="FFFFFF" w:themeColor="background1"/>
                <w:spacing w:val="-4"/>
                <w:sz w:val="18"/>
                <w:szCs w:val="20"/>
              </w:rPr>
            </w:pPr>
            <w:r w:rsidRPr="009B308B">
              <w:rPr>
                <w:rFonts w:cs="Arial"/>
                <w:b/>
                <w:color w:val="FFFFFF" w:themeColor="background1"/>
                <w:spacing w:val="-4"/>
                <w:sz w:val="18"/>
                <w:szCs w:val="20"/>
              </w:rPr>
              <w:t>Resolución</w:t>
            </w:r>
          </w:p>
        </w:tc>
        <w:tc>
          <w:tcPr>
            <w:tcW w:w="5320" w:type="dxa"/>
            <w:shd w:val="clear" w:color="auto" w:fill="76923C" w:themeFill="accent3" w:themeFillShade="BF"/>
            <w:tcMar>
              <w:top w:w="0" w:type="dxa"/>
              <w:left w:w="70" w:type="dxa"/>
              <w:bottom w:w="0" w:type="dxa"/>
              <w:right w:w="70" w:type="dxa"/>
            </w:tcMar>
            <w:hideMark/>
          </w:tcPr>
          <w:p w:rsidR="00BC521A" w:rsidRPr="009B308B" w:rsidRDefault="00BC521A" w:rsidP="009B308B">
            <w:pPr>
              <w:spacing w:after="0" w:line="240" w:lineRule="auto"/>
              <w:contextualSpacing/>
              <w:jc w:val="center"/>
              <w:rPr>
                <w:rFonts w:cs="Arial"/>
                <w:b/>
                <w:color w:val="FFFFFF" w:themeColor="background1"/>
                <w:spacing w:val="-4"/>
                <w:sz w:val="18"/>
                <w:szCs w:val="20"/>
              </w:rPr>
            </w:pPr>
            <w:r w:rsidRPr="009B308B">
              <w:rPr>
                <w:rFonts w:cs="Arial"/>
                <w:b/>
                <w:color w:val="FFFFFF" w:themeColor="background1"/>
                <w:spacing w:val="-4"/>
                <w:sz w:val="18"/>
                <w:szCs w:val="20"/>
              </w:rPr>
              <w:t>Lineamiento</w:t>
            </w:r>
          </w:p>
        </w:tc>
      </w:tr>
      <w:tr w:rsidR="00BC521A" w:rsidRPr="00ED18A3" w:rsidTr="009B308B">
        <w:trPr>
          <w:cantSplit/>
          <w:trHeight w:val="419"/>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1512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de medidas complementarias y/o de restablecimiento de derecho en administración de justicia</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1513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para la atención de niños, niñas y adolescentes, con derechos inobservados, amenazados o vulnerados, en situación de trabajo infantil</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1514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para la atención de niños, niñas y adolescentes, con derechos inobservados, amenazados o vulnerados, con alta permanencia en calle o en situación de vida en calle.</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1515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del programa especializado para la atención a adolescentes y mujeres mayores de 18 años, gestantes o en periodo de lactancia, con sus derechos inobservados, amenazados o vulnerados.</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1516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val="es-ES_tradnl" w:eastAsia="es-CO"/>
              </w:rPr>
              <w:t>Lineamiento técnico para la atención de niños, niñas, adolescentes y mayores de 18 años con derechos inobservados, amenazados o vulnerados, con discapacidad</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1517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 xml:space="preserve">Lineamiento para el restablecimiento de derechos y contribución a la reparación integral de niños, niñas y adolescentes víctimas de minas antipersonal, municiones sin explotar y artefactos explosivos improvisados y niños, niñas y adolescentes víctimas de acciones bélicas y de atentados terroristas en el marco del conflicto armado </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1518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para la atención de niños, niñas y adolescentes, con sus derechos inobservados, amenazados o vulnerados, con consumo de sustancias psicoactivas</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Aprobado mediante Resolución No.1519 de febrero 23 de 2016 y modificado mediante Resolución No.5864 del 22 de junio de 2016,  Resolución 7959 del 10 de agosto de 2016 y Resolución No. 13367 del 23 de diciembre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del modelo para la atención de los niños, las niñas y adolescentes, con derechos inobservados, amenazados o vulnerados.</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lastRenderedPageBreak/>
              <w:t>Aprobado mediante resolución No. 1520 de febrero 23 de 2016 y modificado mediante resolución No. 5863 del 22 de junio de 2016 y resolución No. 7960 del 10 de agosto de 2016 y Resolución No. 13366 del 23 de diciembre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de modalidades para la atención de niños, niñas y adolescentes, con derechos inobservados, amenazados o vulnerados</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1521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de servicios para medidas y sanciones del proceso judicial SRPA</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1522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modelo de atención para adolescentes y jóvenes en conflicto con la ley-SRPA</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1523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de estrategia de acompañamiento psicosocial para el restablecimiento de los derechos y contribución a la reparación integral de niños, niñas y adolescentes víctimas del conflicto armado</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1524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para la atención a la población víctima del desplazamiento forzado-unidades móviles</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1525 de 23 de febrero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para el restablecimiento de derechos y contribución a la reparación integral de niños, niñas y adolescentes víctimas de reclutamiento ilícito, que se han desvinculado de grupos armados organizados al margen de la ley</w:t>
            </w:r>
          </w:p>
        </w:tc>
      </w:tr>
      <w:tr w:rsidR="00BC521A" w:rsidRPr="00ED18A3" w:rsidTr="009B308B">
        <w:trPr>
          <w:cantSplit/>
          <w:trHeight w:val="20"/>
        </w:trPr>
        <w:tc>
          <w:tcPr>
            <w:tcW w:w="4036" w:type="dxa"/>
            <w:tcMar>
              <w:top w:w="0" w:type="dxa"/>
              <w:left w:w="70" w:type="dxa"/>
              <w:bottom w:w="0" w:type="dxa"/>
              <w:right w:w="70" w:type="dxa"/>
            </w:tcMar>
            <w:vAlign w:val="center"/>
            <w:hideMark/>
          </w:tcPr>
          <w:p w:rsidR="00BC521A" w:rsidRPr="00ED18A3" w:rsidRDefault="00BC521A" w:rsidP="00BC521A">
            <w:pPr>
              <w:rPr>
                <w:sz w:val="18"/>
                <w:szCs w:val="18"/>
                <w:lang w:eastAsia="es-CO"/>
              </w:rPr>
            </w:pPr>
            <w:r w:rsidRPr="00ED18A3">
              <w:rPr>
                <w:sz w:val="18"/>
                <w:szCs w:val="18"/>
                <w:lang w:eastAsia="es-CO"/>
              </w:rPr>
              <w:t>Resolución 1526 de 23 de febrero de 2016, modificado por la Resolución 7547 de 2016</w:t>
            </w:r>
          </w:p>
        </w:tc>
        <w:tc>
          <w:tcPr>
            <w:tcW w:w="5320" w:type="dxa"/>
            <w:tcMar>
              <w:top w:w="0" w:type="dxa"/>
              <w:left w:w="70" w:type="dxa"/>
              <w:bottom w:w="0" w:type="dxa"/>
              <w:right w:w="70" w:type="dxa"/>
            </w:tcMar>
            <w:vAlign w:val="center"/>
            <w:hideMark/>
          </w:tcPr>
          <w:p w:rsidR="00BC521A" w:rsidRPr="00ED18A3" w:rsidRDefault="00BC521A" w:rsidP="00BC521A">
            <w:pPr>
              <w:jc w:val="both"/>
              <w:rPr>
                <w:sz w:val="18"/>
                <w:szCs w:val="18"/>
                <w:lang w:eastAsia="es-CO"/>
              </w:rPr>
            </w:pPr>
            <w:r w:rsidRPr="00ED18A3">
              <w:rPr>
                <w:sz w:val="18"/>
                <w:szCs w:val="18"/>
                <w:lang w:eastAsia="es-CO"/>
              </w:rPr>
              <w:t>Lineamiento técnico administrativo de ruta de actuaciones para el restablecimiento de derechos de niños, niñas y adolescentes con sus derechos inobservados, amenazados o vulnerados</w:t>
            </w:r>
          </w:p>
        </w:tc>
      </w:tr>
    </w:tbl>
    <w:p w:rsidR="00BC521A" w:rsidRDefault="00F7316B" w:rsidP="00BC521A">
      <w:pPr>
        <w:spacing w:after="0" w:line="240" w:lineRule="auto"/>
        <w:jc w:val="both"/>
        <w:rPr>
          <w:sz w:val="16"/>
          <w:lang w:eastAsia="es-ES"/>
        </w:rPr>
      </w:pPr>
      <w:r w:rsidRPr="009B308B">
        <w:rPr>
          <w:b/>
          <w:sz w:val="16"/>
          <w:lang w:eastAsia="es-ES"/>
        </w:rPr>
        <w:t>Fuente:</w:t>
      </w:r>
      <w:r>
        <w:rPr>
          <w:sz w:val="16"/>
          <w:lang w:eastAsia="es-ES"/>
        </w:rPr>
        <w:t xml:space="preserve"> Dirección de Protección</w:t>
      </w:r>
    </w:p>
    <w:p w:rsidR="00F7316B" w:rsidRPr="00F7316B" w:rsidRDefault="00F7316B" w:rsidP="00BC521A">
      <w:pPr>
        <w:spacing w:after="0" w:line="240" w:lineRule="auto"/>
        <w:jc w:val="both"/>
        <w:rPr>
          <w:sz w:val="16"/>
          <w:lang w:eastAsia="es-ES"/>
        </w:rPr>
      </w:pPr>
    </w:p>
    <w:p w:rsidR="00BC521A" w:rsidRDefault="00BC521A" w:rsidP="00BC521A">
      <w:pPr>
        <w:spacing w:after="0" w:line="240" w:lineRule="auto"/>
        <w:jc w:val="both"/>
        <w:rPr>
          <w:lang w:eastAsia="es-ES"/>
        </w:rPr>
      </w:pPr>
      <w:r w:rsidRPr="00BC521A">
        <w:rPr>
          <w:lang w:eastAsia="es-ES"/>
        </w:rPr>
        <w:t xml:space="preserve">Así mismo, se inició el proceso de construcción </w:t>
      </w:r>
      <w:r w:rsidR="00ED18A3">
        <w:rPr>
          <w:lang w:eastAsia="es-ES"/>
        </w:rPr>
        <w:t>de los siguientes lineamientos:</w:t>
      </w:r>
    </w:p>
    <w:p w:rsidR="00ED18A3" w:rsidRPr="00BC521A" w:rsidRDefault="00ED18A3" w:rsidP="00BC521A">
      <w:pPr>
        <w:spacing w:after="0" w:line="240" w:lineRule="auto"/>
        <w:jc w:val="both"/>
        <w:rPr>
          <w:rFonts w:cs="Arial"/>
          <w:lang w:eastAsia="es-ES"/>
        </w:rPr>
      </w:pPr>
    </w:p>
    <w:p w:rsidR="00BC521A" w:rsidRPr="00BC521A" w:rsidRDefault="00BC521A" w:rsidP="00D712DC">
      <w:pPr>
        <w:numPr>
          <w:ilvl w:val="0"/>
          <w:numId w:val="74"/>
        </w:numPr>
        <w:spacing w:after="0" w:line="240" w:lineRule="auto"/>
        <w:jc w:val="both"/>
        <w:rPr>
          <w:lang w:eastAsia="es-ES"/>
        </w:rPr>
      </w:pPr>
      <w:r w:rsidRPr="00BC521A">
        <w:rPr>
          <w:lang w:val="es-ES_tradnl" w:eastAsia="es-CO"/>
        </w:rPr>
        <w:t>Lineamiento para la atención de niños, niñas, adolescentes víctimas de violencias.</w:t>
      </w:r>
    </w:p>
    <w:p w:rsidR="00BC521A" w:rsidRPr="00BC521A" w:rsidRDefault="00BC521A" w:rsidP="00D712DC">
      <w:pPr>
        <w:numPr>
          <w:ilvl w:val="0"/>
          <w:numId w:val="74"/>
        </w:numPr>
        <w:spacing w:after="0" w:line="240" w:lineRule="auto"/>
        <w:jc w:val="both"/>
        <w:rPr>
          <w:lang w:eastAsia="es-ES"/>
        </w:rPr>
      </w:pPr>
      <w:r w:rsidRPr="00BC521A">
        <w:rPr>
          <w:lang w:val="es-ES_tradnl" w:eastAsia="es-CO"/>
        </w:rPr>
        <w:t>Lineamiento para la atención de niños, niñas, adolescentes víctimas de violencia de violencia sexual.</w:t>
      </w:r>
    </w:p>
    <w:p w:rsidR="00BC521A" w:rsidRPr="00BC521A" w:rsidRDefault="00BC521A" w:rsidP="00D712DC">
      <w:pPr>
        <w:numPr>
          <w:ilvl w:val="0"/>
          <w:numId w:val="74"/>
        </w:numPr>
        <w:spacing w:after="0" w:line="240" w:lineRule="auto"/>
        <w:jc w:val="both"/>
        <w:rPr>
          <w:lang w:eastAsia="es-ES"/>
        </w:rPr>
      </w:pPr>
      <w:r w:rsidRPr="00BC521A">
        <w:rPr>
          <w:lang w:val="es-ES_tradnl" w:eastAsia="es-CO"/>
        </w:rPr>
        <w:t>Lineamiento para la atención de niños, niñas, adolescentes víctimas de trata de personas.</w:t>
      </w:r>
    </w:p>
    <w:p w:rsidR="00BC521A" w:rsidRPr="00BC521A" w:rsidRDefault="00BC521A" w:rsidP="00D712DC">
      <w:pPr>
        <w:numPr>
          <w:ilvl w:val="0"/>
          <w:numId w:val="74"/>
        </w:numPr>
        <w:spacing w:after="0" w:line="240" w:lineRule="auto"/>
        <w:jc w:val="both"/>
        <w:rPr>
          <w:lang w:eastAsia="es-ES"/>
        </w:rPr>
      </w:pPr>
      <w:r w:rsidRPr="00BC521A">
        <w:rPr>
          <w:lang w:eastAsia="es-ES"/>
        </w:rPr>
        <w:t>Lineamiento para la atención a niños, niñas, adolescentes huérfanos en el marco del conflicto armado.</w:t>
      </w:r>
    </w:p>
    <w:p w:rsidR="00823561" w:rsidRDefault="00823561" w:rsidP="00823561">
      <w:pPr>
        <w:spacing w:after="0" w:line="240" w:lineRule="auto"/>
        <w:rPr>
          <w:rFonts w:cs="Arial"/>
        </w:rPr>
      </w:pPr>
      <w:bookmarkStart w:id="141" w:name="_Toc472519311"/>
    </w:p>
    <w:p w:rsidR="009B308B" w:rsidRPr="00D23FA4" w:rsidRDefault="009B308B" w:rsidP="00823561">
      <w:pPr>
        <w:spacing w:after="0" w:line="240" w:lineRule="auto"/>
        <w:rPr>
          <w:rFonts w:cs="Arial"/>
        </w:rPr>
      </w:pPr>
    </w:p>
    <w:p w:rsidR="00823561" w:rsidRPr="00D20970" w:rsidRDefault="00823561" w:rsidP="007342CF">
      <w:pPr>
        <w:pStyle w:val="Prrafodelista"/>
        <w:keepNext/>
        <w:keepLines/>
        <w:numPr>
          <w:ilvl w:val="2"/>
          <w:numId w:val="242"/>
        </w:numPr>
        <w:spacing w:after="0" w:line="240" w:lineRule="auto"/>
        <w:outlineLvl w:val="1"/>
        <w:rPr>
          <w:rFonts w:eastAsiaTheme="majorEastAsia" w:cs="Arial"/>
          <w:b/>
        </w:rPr>
      </w:pPr>
      <w:bookmarkStart w:id="142" w:name="_Toc473581434"/>
      <w:r w:rsidRPr="00D20970">
        <w:rPr>
          <w:rFonts w:eastAsia="Times New Roman" w:cs="Arial"/>
          <w:b/>
          <w:bCs/>
          <w:kern w:val="32"/>
        </w:rPr>
        <w:t>Retos 2017</w:t>
      </w:r>
      <w:bookmarkEnd w:id="142"/>
      <w:r w:rsidRPr="00D20970">
        <w:rPr>
          <w:rFonts w:eastAsia="Times New Roman" w:cs="Arial"/>
          <w:b/>
          <w:bCs/>
          <w:kern w:val="32"/>
        </w:rPr>
        <w:t xml:space="preserve"> </w:t>
      </w:r>
    </w:p>
    <w:bookmarkEnd w:id="141"/>
    <w:p w:rsidR="00F7316B" w:rsidRDefault="00F7316B" w:rsidP="00BC521A">
      <w:pPr>
        <w:autoSpaceDE w:val="0"/>
        <w:autoSpaceDN w:val="0"/>
        <w:adjustRightInd w:val="0"/>
        <w:spacing w:after="0" w:line="240" w:lineRule="auto"/>
        <w:contextualSpacing/>
        <w:jc w:val="both"/>
        <w:rPr>
          <w:rFonts w:cs="Arial"/>
        </w:rPr>
      </w:pPr>
    </w:p>
    <w:p w:rsidR="00BC521A" w:rsidRDefault="00BC521A" w:rsidP="00BC521A">
      <w:pPr>
        <w:autoSpaceDE w:val="0"/>
        <w:autoSpaceDN w:val="0"/>
        <w:adjustRightInd w:val="0"/>
        <w:spacing w:after="0" w:line="240" w:lineRule="auto"/>
        <w:contextualSpacing/>
        <w:jc w:val="both"/>
        <w:rPr>
          <w:rFonts w:cs="Arial"/>
        </w:rPr>
      </w:pPr>
      <w:r w:rsidRPr="00BC521A">
        <w:rPr>
          <w:rFonts w:cs="Arial"/>
        </w:rPr>
        <w:t>Para 2017 la Dirección de Protección tiene los siguientes retos:</w:t>
      </w:r>
    </w:p>
    <w:p w:rsidR="00ED18A3" w:rsidRPr="00BC521A" w:rsidRDefault="00ED18A3" w:rsidP="00BC521A">
      <w:pPr>
        <w:autoSpaceDE w:val="0"/>
        <w:autoSpaceDN w:val="0"/>
        <w:adjustRightInd w:val="0"/>
        <w:spacing w:after="0" w:line="240" w:lineRule="auto"/>
        <w:contextualSpacing/>
        <w:jc w:val="both"/>
        <w:rPr>
          <w:rFonts w:cs="Arial"/>
        </w:rPr>
      </w:pPr>
    </w:p>
    <w:p w:rsidR="00BC521A" w:rsidRPr="00ED18A3" w:rsidRDefault="00BC521A" w:rsidP="00D712DC">
      <w:pPr>
        <w:numPr>
          <w:ilvl w:val="0"/>
          <w:numId w:val="85"/>
        </w:numPr>
        <w:autoSpaceDE w:val="0"/>
        <w:autoSpaceDN w:val="0"/>
        <w:adjustRightInd w:val="0"/>
        <w:spacing w:after="0" w:line="240" w:lineRule="auto"/>
        <w:ind w:left="426" w:hanging="426"/>
        <w:contextualSpacing/>
        <w:jc w:val="both"/>
        <w:rPr>
          <w:rFonts w:cs="Arial"/>
          <w:lang w:val="es-CO"/>
        </w:rPr>
      </w:pPr>
      <w:r w:rsidRPr="00BC521A">
        <w:rPr>
          <w:rFonts w:cs="Arial"/>
          <w:lang w:val="es-CO"/>
        </w:rPr>
        <w:t xml:space="preserve">Acompañar la puesta en funcionamiento de las </w:t>
      </w:r>
      <w:r w:rsidRPr="00BC521A">
        <w:rPr>
          <w:rFonts w:cs="Arial"/>
          <w:b/>
          <w:bCs/>
          <w:lang w:val="es-CO"/>
        </w:rPr>
        <w:t>nuevas unidades de servicio del Sistema de Responsabilidad Penal para Adolescentes:</w:t>
      </w:r>
    </w:p>
    <w:p w:rsidR="00BC521A" w:rsidRPr="00BC521A" w:rsidRDefault="00BC521A" w:rsidP="00D712DC">
      <w:pPr>
        <w:numPr>
          <w:ilvl w:val="0"/>
          <w:numId w:val="196"/>
        </w:numPr>
        <w:autoSpaceDE w:val="0"/>
        <w:autoSpaceDN w:val="0"/>
        <w:adjustRightInd w:val="0"/>
        <w:spacing w:after="0" w:line="240" w:lineRule="auto"/>
        <w:contextualSpacing/>
        <w:jc w:val="both"/>
        <w:rPr>
          <w:rFonts w:cs="Arial"/>
          <w:lang w:val="es-CO"/>
        </w:rPr>
      </w:pPr>
      <w:r w:rsidRPr="00BC521A">
        <w:rPr>
          <w:rFonts w:cs="Arial"/>
          <w:b/>
          <w:bCs/>
        </w:rPr>
        <w:lastRenderedPageBreak/>
        <w:t xml:space="preserve">Meta: </w:t>
      </w:r>
      <w:r w:rsidRPr="00BC521A">
        <w:rPr>
          <w:rFonts w:cs="Arial"/>
        </w:rPr>
        <w:t>100% de unidades que entran en operación acompañadas en Cundinamarca, Chocó, Córdoba, Magdalena, San Andres y Meta, con modelo de atención acorde a los lineamientos vigentes.</w:t>
      </w:r>
    </w:p>
    <w:p w:rsidR="00BC521A" w:rsidRPr="00BC521A" w:rsidRDefault="00BC521A" w:rsidP="00BC521A">
      <w:pPr>
        <w:autoSpaceDE w:val="0"/>
        <w:autoSpaceDN w:val="0"/>
        <w:adjustRightInd w:val="0"/>
        <w:spacing w:after="0" w:line="240" w:lineRule="auto"/>
        <w:contextualSpacing/>
        <w:jc w:val="both"/>
        <w:rPr>
          <w:rFonts w:cs="Arial"/>
        </w:rPr>
      </w:pPr>
    </w:p>
    <w:p w:rsidR="00BC521A" w:rsidRPr="00ED18A3" w:rsidRDefault="00BC521A" w:rsidP="00D712DC">
      <w:pPr>
        <w:numPr>
          <w:ilvl w:val="0"/>
          <w:numId w:val="197"/>
        </w:numPr>
        <w:autoSpaceDE w:val="0"/>
        <w:autoSpaceDN w:val="0"/>
        <w:adjustRightInd w:val="0"/>
        <w:spacing w:after="0" w:line="240" w:lineRule="auto"/>
        <w:contextualSpacing/>
        <w:jc w:val="both"/>
        <w:rPr>
          <w:rFonts w:cs="Arial"/>
          <w:lang w:val="es-CO"/>
        </w:rPr>
      </w:pPr>
      <w:r w:rsidRPr="00BC521A">
        <w:rPr>
          <w:rFonts w:cs="Arial"/>
        </w:rPr>
        <w:t xml:space="preserve">Acompañar integralmente los </w:t>
      </w:r>
      <w:r w:rsidRPr="00BC521A">
        <w:rPr>
          <w:rFonts w:cs="Arial"/>
          <w:b/>
          <w:bCs/>
        </w:rPr>
        <w:t xml:space="preserve">Procesos de Restablecimiento de Derechos en Regionales priorizadas, </w:t>
      </w:r>
      <w:r w:rsidRPr="00BC521A">
        <w:rPr>
          <w:rFonts w:cs="Arial"/>
          <w:bCs/>
        </w:rPr>
        <w:t xml:space="preserve">a través de la cualificación de </w:t>
      </w:r>
      <w:r w:rsidRPr="00BC521A">
        <w:rPr>
          <w:rFonts w:cs="Arial"/>
        </w:rPr>
        <w:t>servicios y procesos de atención con enfoque diferencial, así:</w:t>
      </w:r>
    </w:p>
    <w:p w:rsidR="00ED18A3" w:rsidRPr="00BC521A" w:rsidRDefault="00ED18A3" w:rsidP="00D20970">
      <w:pPr>
        <w:autoSpaceDE w:val="0"/>
        <w:autoSpaceDN w:val="0"/>
        <w:adjustRightInd w:val="0"/>
        <w:spacing w:after="0" w:line="240" w:lineRule="auto"/>
        <w:contextualSpacing/>
        <w:jc w:val="both"/>
        <w:rPr>
          <w:rFonts w:cs="Arial"/>
          <w:lang w:val="es-CO"/>
        </w:rPr>
      </w:pPr>
    </w:p>
    <w:p w:rsidR="00BC521A" w:rsidRPr="00BC521A" w:rsidRDefault="00BC521A" w:rsidP="00D20970">
      <w:pPr>
        <w:numPr>
          <w:ilvl w:val="1"/>
          <w:numId w:val="199"/>
        </w:numPr>
        <w:tabs>
          <w:tab w:val="clear" w:pos="1440"/>
          <w:tab w:val="num" w:pos="1080"/>
        </w:tabs>
        <w:autoSpaceDE w:val="0"/>
        <w:autoSpaceDN w:val="0"/>
        <w:adjustRightInd w:val="0"/>
        <w:spacing w:after="0" w:line="240" w:lineRule="auto"/>
        <w:ind w:left="1080"/>
        <w:contextualSpacing/>
        <w:jc w:val="both"/>
        <w:rPr>
          <w:rFonts w:cs="Arial"/>
          <w:lang w:val="es-CO"/>
        </w:rPr>
      </w:pPr>
      <w:r w:rsidRPr="00BC521A">
        <w:rPr>
          <w:rFonts w:cs="Arial"/>
        </w:rPr>
        <w:t>Visita de Comité Consultivo PARD</w:t>
      </w:r>
    </w:p>
    <w:p w:rsidR="00BC521A" w:rsidRPr="00BC521A" w:rsidRDefault="00BC521A" w:rsidP="00D20970">
      <w:pPr>
        <w:numPr>
          <w:ilvl w:val="1"/>
          <w:numId w:val="199"/>
        </w:numPr>
        <w:tabs>
          <w:tab w:val="clear" w:pos="1440"/>
          <w:tab w:val="num" w:pos="1080"/>
        </w:tabs>
        <w:autoSpaceDE w:val="0"/>
        <w:autoSpaceDN w:val="0"/>
        <w:adjustRightInd w:val="0"/>
        <w:spacing w:after="0" w:line="240" w:lineRule="auto"/>
        <w:ind w:left="1080"/>
        <w:contextualSpacing/>
        <w:jc w:val="both"/>
        <w:rPr>
          <w:rFonts w:cs="Arial"/>
          <w:lang w:val="es-CO"/>
        </w:rPr>
      </w:pPr>
      <w:r w:rsidRPr="00BC521A">
        <w:rPr>
          <w:rFonts w:cs="Arial"/>
        </w:rPr>
        <w:t>Acciones de fortalecimiento a operadores</w:t>
      </w:r>
    </w:p>
    <w:p w:rsidR="00BC521A" w:rsidRPr="00ED18A3" w:rsidRDefault="00BC521A" w:rsidP="00D20970">
      <w:pPr>
        <w:numPr>
          <w:ilvl w:val="1"/>
          <w:numId w:val="199"/>
        </w:numPr>
        <w:tabs>
          <w:tab w:val="clear" w:pos="1440"/>
          <w:tab w:val="num" w:pos="1080"/>
        </w:tabs>
        <w:autoSpaceDE w:val="0"/>
        <w:autoSpaceDN w:val="0"/>
        <w:adjustRightInd w:val="0"/>
        <w:spacing w:after="0" w:line="240" w:lineRule="auto"/>
        <w:ind w:left="1080"/>
        <w:contextualSpacing/>
        <w:jc w:val="both"/>
        <w:rPr>
          <w:rFonts w:cs="Arial"/>
          <w:lang w:val="es-CO"/>
        </w:rPr>
      </w:pPr>
      <w:r w:rsidRPr="00BC521A">
        <w:rPr>
          <w:rFonts w:cs="Arial"/>
        </w:rPr>
        <w:t>Fortalecimiento estrategias atención diferencial</w:t>
      </w:r>
    </w:p>
    <w:p w:rsidR="00ED18A3" w:rsidRPr="00BC521A" w:rsidRDefault="00ED18A3" w:rsidP="00D20970">
      <w:pPr>
        <w:autoSpaceDE w:val="0"/>
        <w:autoSpaceDN w:val="0"/>
        <w:adjustRightInd w:val="0"/>
        <w:spacing w:after="0" w:line="240" w:lineRule="auto"/>
        <w:ind w:left="1080"/>
        <w:contextualSpacing/>
        <w:jc w:val="both"/>
        <w:rPr>
          <w:rFonts w:cs="Arial"/>
          <w:lang w:val="es-CO"/>
        </w:rPr>
      </w:pPr>
    </w:p>
    <w:p w:rsidR="00BC521A" w:rsidRPr="00BC521A" w:rsidRDefault="00BC521A" w:rsidP="00D20970">
      <w:pPr>
        <w:numPr>
          <w:ilvl w:val="0"/>
          <w:numId w:val="195"/>
        </w:numPr>
        <w:tabs>
          <w:tab w:val="clear" w:pos="720"/>
          <w:tab w:val="num" w:pos="360"/>
          <w:tab w:val="num" w:pos="1276"/>
        </w:tabs>
        <w:autoSpaceDE w:val="0"/>
        <w:autoSpaceDN w:val="0"/>
        <w:adjustRightInd w:val="0"/>
        <w:spacing w:after="0" w:line="240" w:lineRule="auto"/>
        <w:ind w:left="633" w:hanging="284"/>
        <w:contextualSpacing/>
        <w:jc w:val="both"/>
        <w:rPr>
          <w:rFonts w:cs="Arial"/>
          <w:lang w:val="es-CO"/>
        </w:rPr>
      </w:pPr>
      <w:r w:rsidRPr="00BC521A">
        <w:rPr>
          <w:rFonts w:cs="Arial"/>
          <w:b/>
          <w:bCs/>
        </w:rPr>
        <w:t xml:space="preserve">Meta: </w:t>
      </w:r>
      <w:r w:rsidRPr="00BC521A">
        <w:rPr>
          <w:rFonts w:cs="Arial"/>
        </w:rPr>
        <w:t>100% de las Regionales priorizadas acompañadas: Guaviare, Vichada, Vaupés, Putumayo, Guainía y San Andrés, Chocó, Antioquia, Valle, Santander y Córdoba.</w:t>
      </w:r>
    </w:p>
    <w:p w:rsidR="00BC521A" w:rsidRPr="00BC521A" w:rsidRDefault="00BC521A" w:rsidP="00BC521A">
      <w:pPr>
        <w:autoSpaceDE w:val="0"/>
        <w:autoSpaceDN w:val="0"/>
        <w:adjustRightInd w:val="0"/>
        <w:spacing w:after="0" w:line="240" w:lineRule="auto"/>
        <w:contextualSpacing/>
        <w:jc w:val="both"/>
        <w:rPr>
          <w:rFonts w:cs="Arial"/>
        </w:rPr>
      </w:pPr>
    </w:p>
    <w:p w:rsidR="00BC521A" w:rsidRDefault="00BC521A" w:rsidP="00D712DC">
      <w:pPr>
        <w:numPr>
          <w:ilvl w:val="0"/>
          <w:numId w:val="197"/>
        </w:numPr>
        <w:autoSpaceDE w:val="0"/>
        <w:autoSpaceDN w:val="0"/>
        <w:adjustRightInd w:val="0"/>
        <w:spacing w:after="0" w:line="240" w:lineRule="auto"/>
        <w:contextualSpacing/>
        <w:jc w:val="both"/>
        <w:rPr>
          <w:rFonts w:cs="Arial"/>
        </w:rPr>
      </w:pPr>
      <w:r w:rsidRPr="00BC521A">
        <w:rPr>
          <w:rFonts w:cs="Arial"/>
        </w:rPr>
        <w:t xml:space="preserve">Fortalecer </w:t>
      </w:r>
      <w:r w:rsidRPr="00BC521A">
        <w:rPr>
          <w:rFonts w:cs="Arial"/>
          <w:b/>
        </w:rPr>
        <w:t>atención de casos de violencia sexual</w:t>
      </w:r>
      <w:r w:rsidRPr="00BC521A">
        <w:rPr>
          <w:rFonts w:cs="Arial"/>
        </w:rPr>
        <w:t>, con las siguientes metas:</w:t>
      </w:r>
    </w:p>
    <w:p w:rsidR="00006807" w:rsidRPr="00BC521A" w:rsidRDefault="00006807" w:rsidP="00006807">
      <w:pPr>
        <w:autoSpaceDE w:val="0"/>
        <w:autoSpaceDN w:val="0"/>
        <w:adjustRightInd w:val="0"/>
        <w:spacing w:after="0" w:line="240" w:lineRule="auto"/>
        <w:ind w:left="360"/>
        <w:contextualSpacing/>
        <w:jc w:val="both"/>
        <w:rPr>
          <w:rFonts w:cs="Arial"/>
        </w:rPr>
      </w:pPr>
    </w:p>
    <w:p w:rsidR="00BC521A" w:rsidRPr="00BC521A" w:rsidRDefault="00BC521A" w:rsidP="00D20970">
      <w:pPr>
        <w:numPr>
          <w:ilvl w:val="0"/>
          <w:numId w:val="198"/>
        </w:numPr>
        <w:tabs>
          <w:tab w:val="num" w:pos="1440"/>
        </w:tabs>
        <w:autoSpaceDE w:val="0"/>
        <w:autoSpaceDN w:val="0"/>
        <w:adjustRightInd w:val="0"/>
        <w:spacing w:after="0" w:line="240" w:lineRule="auto"/>
        <w:contextualSpacing/>
        <w:jc w:val="both"/>
        <w:rPr>
          <w:rFonts w:cs="Arial"/>
          <w:lang w:val="es-CO"/>
        </w:rPr>
      </w:pPr>
      <w:r w:rsidRPr="00BC521A">
        <w:rPr>
          <w:rFonts w:cs="Arial"/>
        </w:rPr>
        <w:t>Lineamiento de violencia sexual concertado y aprobado.</w:t>
      </w:r>
    </w:p>
    <w:p w:rsidR="00BC521A" w:rsidRPr="00BC521A" w:rsidRDefault="00BC521A" w:rsidP="00D20970">
      <w:pPr>
        <w:numPr>
          <w:ilvl w:val="0"/>
          <w:numId w:val="198"/>
        </w:numPr>
        <w:tabs>
          <w:tab w:val="num" w:pos="1440"/>
        </w:tabs>
        <w:autoSpaceDE w:val="0"/>
        <w:autoSpaceDN w:val="0"/>
        <w:adjustRightInd w:val="0"/>
        <w:spacing w:after="0" w:line="240" w:lineRule="auto"/>
        <w:contextualSpacing/>
        <w:jc w:val="both"/>
        <w:rPr>
          <w:rFonts w:cs="Arial"/>
          <w:lang w:val="es-CO"/>
        </w:rPr>
      </w:pPr>
      <w:r w:rsidRPr="00BC521A">
        <w:rPr>
          <w:rFonts w:cs="Arial"/>
        </w:rPr>
        <w:t>Campaña de las 72 horas desarrollado en 18 regionales.</w:t>
      </w:r>
    </w:p>
    <w:p w:rsidR="00BC521A" w:rsidRPr="00BC521A" w:rsidRDefault="00BC521A" w:rsidP="00BC521A">
      <w:pPr>
        <w:autoSpaceDE w:val="0"/>
        <w:autoSpaceDN w:val="0"/>
        <w:adjustRightInd w:val="0"/>
        <w:spacing w:after="0" w:line="240" w:lineRule="auto"/>
        <w:contextualSpacing/>
        <w:jc w:val="both"/>
        <w:rPr>
          <w:rFonts w:cs="Arial"/>
        </w:rPr>
      </w:pPr>
    </w:p>
    <w:p w:rsidR="00BC521A" w:rsidRDefault="00BC521A" w:rsidP="00D712DC">
      <w:pPr>
        <w:numPr>
          <w:ilvl w:val="0"/>
          <w:numId w:val="197"/>
        </w:numPr>
        <w:autoSpaceDE w:val="0"/>
        <w:autoSpaceDN w:val="0"/>
        <w:adjustRightInd w:val="0"/>
        <w:spacing w:after="0" w:line="240" w:lineRule="auto"/>
        <w:contextualSpacing/>
        <w:jc w:val="both"/>
        <w:rPr>
          <w:rFonts w:cs="Arial"/>
        </w:rPr>
      </w:pPr>
      <w:r w:rsidRPr="00BC521A">
        <w:rPr>
          <w:rFonts w:cs="Arial"/>
          <w:b/>
        </w:rPr>
        <w:t>Atender las familias</w:t>
      </w:r>
      <w:r w:rsidRPr="00BC521A">
        <w:rPr>
          <w:rFonts w:cs="Arial"/>
        </w:rPr>
        <w:t xml:space="preserve"> de niños, niñas y adolescentes bajo protección en el Proyecto Familias con Bienestar con el propósito de:</w:t>
      </w:r>
    </w:p>
    <w:p w:rsidR="00006807" w:rsidRPr="00BC521A" w:rsidRDefault="00006807" w:rsidP="00006807">
      <w:pPr>
        <w:autoSpaceDE w:val="0"/>
        <w:autoSpaceDN w:val="0"/>
        <w:adjustRightInd w:val="0"/>
        <w:spacing w:after="0" w:line="240" w:lineRule="auto"/>
        <w:ind w:left="360"/>
        <w:contextualSpacing/>
        <w:jc w:val="both"/>
        <w:rPr>
          <w:rFonts w:cs="Arial"/>
        </w:rPr>
      </w:pPr>
    </w:p>
    <w:p w:rsidR="00BC521A" w:rsidRPr="00BC521A" w:rsidRDefault="00BC521A" w:rsidP="00D20970">
      <w:pPr>
        <w:numPr>
          <w:ilvl w:val="1"/>
          <w:numId w:val="200"/>
        </w:numPr>
        <w:tabs>
          <w:tab w:val="clear" w:pos="1440"/>
          <w:tab w:val="num" w:pos="1068"/>
        </w:tabs>
        <w:autoSpaceDE w:val="0"/>
        <w:autoSpaceDN w:val="0"/>
        <w:adjustRightInd w:val="0"/>
        <w:spacing w:after="0" w:line="240" w:lineRule="auto"/>
        <w:ind w:left="1068"/>
        <w:contextualSpacing/>
        <w:jc w:val="both"/>
        <w:rPr>
          <w:rFonts w:cs="Arial"/>
        </w:rPr>
      </w:pPr>
      <w:r w:rsidRPr="00BC521A">
        <w:rPr>
          <w:rFonts w:cs="Arial"/>
        </w:rPr>
        <w:t>Disminuir largas permanencias.</w:t>
      </w:r>
    </w:p>
    <w:p w:rsidR="00BC521A" w:rsidRPr="00BC521A" w:rsidRDefault="00BC521A" w:rsidP="00D20970">
      <w:pPr>
        <w:numPr>
          <w:ilvl w:val="1"/>
          <w:numId w:val="200"/>
        </w:numPr>
        <w:tabs>
          <w:tab w:val="clear" w:pos="1440"/>
          <w:tab w:val="num" w:pos="1068"/>
        </w:tabs>
        <w:autoSpaceDE w:val="0"/>
        <w:autoSpaceDN w:val="0"/>
        <w:adjustRightInd w:val="0"/>
        <w:spacing w:after="0" w:line="240" w:lineRule="auto"/>
        <w:ind w:left="1068"/>
        <w:contextualSpacing/>
        <w:jc w:val="both"/>
        <w:rPr>
          <w:rFonts w:cs="Arial"/>
        </w:rPr>
      </w:pPr>
      <w:r w:rsidRPr="00BC521A">
        <w:rPr>
          <w:rFonts w:cs="Arial"/>
        </w:rPr>
        <w:t>Robustecer los procesos de apoyo y fortalecimiento familiar.</w:t>
      </w:r>
    </w:p>
    <w:p w:rsidR="00BC521A" w:rsidRDefault="00BC521A" w:rsidP="00D20970">
      <w:pPr>
        <w:numPr>
          <w:ilvl w:val="1"/>
          <w:numId w:val="200"/>
        </w:numPr>
        <w:tabs>
          <w:tab w:val="clear" w:pos="1440"/>
          <w:tab w:val="num" w:pos="1068"/>
        </w:tabs>
        <w:autoSpaceDE w:val="0"/>
        <w:autoSpaceDN w:val="0"/>
        <w:adjustRightInd w:val="0"/>
        <w:spacing w:after="0" w:line="240" w:lineRule="auto"/>
        <w:ind w:left="1068"/>
        <w:contextualSpacing/>
        <w:jc w:val="both"/>
        <w:rPr>
          <w:rFonts w:cs="Arial"/>
        </w:rPr>
      </w:pPr>
      <w:r w:rsidRPr="00BC521A">
        <w:rPr>
          <w:rFonts w:cs="Arial"/>
        </w:rPr>
        <w:t>Reducir la separación de los niños, niñas y adolescentes de su entorno familiar.</w:t>
      </w:r>
    </w:p>
    <w:p w:rsidR="00ED18A3" w:rsidRPr="00BC521A" w:rsidRDefault="00ED18A3" w:rsidP="00D20970">
      <w:pPr>
        <w:autoSpaceDE w:val="0"/>
        <w:autoSpaceDN w:val="0"/>
        <w:adjustRightInd w:val="0"/>
        <w:spacing w:after="0" w:line="240" w:lineRule="auto"/>
        <w:ind w:left="1068"/>
        <w:contextualSpacing/>
        <w:jc w:val="both"/>
        <w:rPr>
          <w:rFonts w:cs="Arial"/>
        </w:rPr>
      </w:pPr>
    </w:p>
    <w:p w:rsidR="00BC521A" w:rsidRPr="00BC521A" w:rsidRDefault="00BC521A" w:rsidP="00D20970">
      <w:pPr>
        <w:numPr>
          <w:ilvl w:val="1"/>
          <w:numId w:val="198"/>
        </w:numPr>
        <w:tabs>
          <w:tab w:val="num" w:pos="348"/>
          <w:tab w:val="num" w:pos="993"/>
        </w:tabs>
        <w:autoSpaceDE w:val="0"/>
        <w:autoSpaceDN w:val="0"/>
        <w:adjustRightInd w:val="0"/>
        <w:spacing w:after="0" w:line="240" w:lineRule="auto"/>
        <w:ind w:left="621" w:hanging="284"/>
        <w:contextualSpacing/>
        <w:jc w:val="both"/>
        <w:rPr>
          <w:rFonts w:cs="Arial"/>
        </w:rPr>
      </w:pPr>
      <w:r w:rsidRPr="00BC521A">
        <w:rPr>
          <w:rFonts w:cs="Arial"/>
          <w:b/>
        </w:rPr>
        <w:t>Meta:</w:t>
      </w:r>
      <w:r w:rsidRPr="00BC521A">
        <w:rPr>
          <w:rFonts w:cs="Arial"/>
        </w:rPr>
        <w:t xml:space="preserve"> 5.224 familias de niños, niñas y adolescentes bajo protección atendidas por parte del operador de Familias con Bienestar (aumento del 200% frente a lo alcanzado en 2016).</w:t>
      </w:r>
    </w:p>
    <w:p w:rsidR="00BC521A" w:rsidRPr="00BC521A" w:rsidRDefault="00BC521A" w:rsidP="00BC521A">
      <w:pPr>
        <w:autoSpaceDE w:val="0"/>
        <w:autoSpaceDN w:val="0"/>
        <w:adjustRightInd w:val="0"/>
        <w:spacing w:after="0" w:line="240" w:lineRule="auto"/>
        <w:contextualSpacing/>
        <w:jc w:val="both"/>
        <w:rPr>
          <w:rFonts w:cs="Arial"/>
        </w:rPr>
      </w:pPr>
    </w:p>
    <w:p w:rsidR="00BC521A" w:rsidRDefault="00BC521A" w:rsidP="00D712DC">
      <w:pPr>
        <w:numPr>
          <w:ilvl w:val="0"/>
          <w:numId w:val="197"/>
        </w:numPr>
        <w:autoSpaceDE w:val="0"/>
        <w:autoSpaceDN w:val="0"/>
        <w:adjustRightInd w:val="0"/>
        <w:spacing w:after="0" w:line="240" w:lineRule="auto"/>
        <w:contextualSpacing/>
        <w:jc w:val="both"/>
        <w:rPr>
          <w:rFonts w:cs="Arial"/>
        </w:rPr>
      </w:pPr>
      <w:r w:rsidRPr="00BC521A">
        <w:rPr>
          <w:rFonts w:cs="Arial"/>
        </w:rPr>
        <w:t xml:space="preserve">Promover </w:t>
      </w:r>
      <w:r w:rsidRPr="00BC521A">
        <w:rPr>
          <w:rFonts w:cs="Arial"/>
          <w:b/>
        </w:rPr>
        <w:t>la adopción de niños, niñas y adolescentes CON características</w:t>
      </w:r>
      <w:r w:rsidRPr="00BC521A">
        <w:rPr>
          <w:rFonts w:cs="Arial"/>
        </w:rPr>
        <w:t xml:space="preserve"> y necesidades especiales</w:t>
      </w:r>
      <w:r w:rsidR="00ED18A3">
        <w:rPr>
          <w:rFonts w:cs="Arial"/>
        </w:rPr>
        <w:t>.</w:t>
      </w:r>
    </w:p>
    <w:p w:rsidR="00ED18A3" w:rsidRPr="00BC521A" w:rsidRDefault="00ED18A3" w:rsidP="00ED18A3">
      <w:pPr>
        <w:autoSpaceDE w:val="0"/>
        <w:autoSpaceDN w:val="0"/>
        <w:adjustRightInd w:val="0"/>
        <w:spacing w:after="0" w:line="240" w:lineRule="auto"/>
        <w:ind w:left="360"/>
        <w:contextualSpacing/>
        <w:jc w:val="both"/>
        <w:rPr>
          <w:rFonts w:cs="Arial"/>
        </w:rPr>
      </w:pPr>
    </w:p>
    <w:p w:rsidR="00BC521A" w:rsidRPr="00BC521A" w:rsidRDefault="00BC521A" w:rsidP="00D20970">
      <w:pPr>
        <w:numPr>
          <w:ilvl w:val="0"/>
          <w:numId w:val="198"/>
        </w:numPr>
        <w:tabs>
          <w:tab w:val="num" w:pos="993"/>
          <w:tab w:val="num" w:pos="1440"/>
        </w:tabs>
        <w:autoSpaceDE w:val="0"/>
        <w:autoSpaceDN w:val="0"/>
        <w:adjustRightInd w:val="0"/>
        <w:spacing w:after="0" w:line="240" w:lineRule="auto"/>
        <w:contextualSpacing/>
        <w:jc w:val="both"/>
        <w:rPr>
          <w:rFonts w:cs="Arial"/>
        </w:rPr>
      </w:pPr>
      <w:r w:rsidRPr="00BC521A">
        <w:rPr>
          <w:rFonts w:cs="Arial"/>
          <w:b/>
        </w:rPr>
        <w:t xml:space="preserve">Meta: </w:t>
      </w:r>
      <w:r w:rsidRPr="00BC521A">
        <w:rPr>
          <w:rFonts w:cs="Arial"/>
        </w:rPr>
        <w:t>75%</w:t>
      </w:r>
      <w:r w:rsidRPr="00BC521A">
        <w:rPr>
          <w:rFonts w:cs="Arial"/>
          <w:b/>
        </w:rPr>
        <w:t xml:space="preserve"> </w:t>
      </w:r>
      <w:r w:rsidRPr="00BC521A">
        <w:rPr>
          <w:rFonts w:cs="Arial"/>
        </w:rPr>
        <w:t>niños, niñas y adolescentes CON características y necesidades especiales con familia asignada.</w:t>
      </w:r>
    </w:p>
    <w:p w:rsidR="00BC521A" w:rsidRPr="00BC521A" w:rsidRDefault="00BC521A" w:rsidP="00BC521A">
      <w:pPr>
        <w:autoSpaceDE w:val="0"/>
        <w:autoSpaceDN w:val="0"/>
        <w:adjustRightInd w:val="0"/>
        <w:spacing w:after="0" w:line="240" w:lineRule="auto"/>
        <w:contextualSpacing/>
        <w:jc w:val="both"/>
        <w:rPr>
          <w:rFonts w:cs="Arial"/>
        </w:rPr>
      </w:pPr>
    </w:p>
    <w:p w:rsidR="00BB069F" w:rsidRPr="00F6500D" w:rsidRDefault="00BB069F" w:rsidP="00BB069F">
      <w:pPr>
        <w:autoSpaceDE w:val="0"/>
        <w:autoSpaceDN w:val="0"/>
        <w:adjustRightInd w:val="0"/>
        <w:spacing w:after="0" w:line="240" w:lineRule="auto"/>
        <w:contextualSpacing/>
        <w:jc w:val="both"/>
        <w:rPr>
          <w:rFonts w:cs="Arial"/>
        </w:rPr>
      </w:pPr>
    </w:p>
    <w:p w:rsidR="00622F24" w:rsidRPr="00714BDC" w:rsidRDefault="00622F24" w:rsidP="007342CF">
      <w:pPr>
        <w:pStyle w:val="Ttulo1"/>
        <w:pageBreakBefore/>
        <w:numPr>
          <w:ilvl w:val="1"/>
          <w:numId w:val="242"/>
        </w:numPr>
        <w:rPr>
          <w:rFonts w:cs="Arial"/>
          <w:szCs w:val="22"/>
        </w:rPr>
      </w:pPr>
      <w:bookmarkStart w:id="143" w:name="_Toc473581435"/>
      <w:r w:rsidRPr="00714BDC">
        <w:rPr>
          <w:rFonts w:cs="Arial"/>
          <w:szCs w:val="22"/>
        </w:rPr>
        <w:lastRenderedPageBreak/>
        <w:t>ARTICULACIÓN DEL SISTEMA NACIONAL DE BIENESTAR FAMILIAR</w:t>
      </w:r>
      <w:bookmarkEnd w:id="143"/>
      <w:r w:rsidRPr="00714BDC">
        <w:rPr>
          <w:rFonts w:cs="Arial"/>
          <w:szCs w:val="22"/>
        </w:rPr>
        <w:t xml:space="preserve"> </w:t>
      </w:r>
    </w:p>
    <w:p w:rsidR="00823561" w:rsidRPr="00D23FA4" w:rsidRDefault="00823561" w:rsidP="00823561">
      <w:pPr>
        <w:spacing w:after="0" w:line="240" w:lineRule="auto"/>
        <w:rPr>
          <w:rFonts w:cs="Arial"/>
        </w:rPr>
      </w:pP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44" w:name="_Toc473581436"/>
      <w:r w:rsidRPr="004146E3">
        <w:rPr>
          <w:rFonts w:eastAsia="Times New Roman" w:cs="Arial"/>
          <w:b/>
          <w:bCs/>
          <w:kern w:val="32"/>
        </w:rPr>
        <w:t>Marco de la Política Pública</w:t>
      </w:r>
      <w:bookmarkEnd w:id="144"/>
      <w:r w:rsidRPr="004146E3">
        <w:rPr>
          <w:rFonts w:eastAsia="Times New Roman" w:cs="Arial"/>
          <w:b/>
          <w:bCs/>
          <w:kern w:val="32"/>
        </w:rPr>
        <w:t xml:space="preserve"> </w:t>
      </w:r>
    </w:p>
    <w:p w:rsidR="00823561" w:rsidRDefault="00823561" w:rsidP="00622F24">
      <w:pPr>
        <w:spacing w:after="0" w:line="240" w:lineRule="auto"/>
        <w:jc w:val="both"/>
        <w:rPr>
          <w:rFonts w:cs="Arial"/>
        </w:rPr>
      </w:pPr>
    </w:p>
    <w:p w:rsidR="00622F24" w:rsidRPr="00714BDC" w:rsidRDefault="00622F24" w:rsidP="00622F24">
      <w:pPr>
        <w:spacing w:after="0" w:line="240" w:lineRule="auto"/>
        <w:jc w:val="both"/>
        <w:rPr>
          <w:rFonts w:cs="Arial"/>
        </w:rPr>
      </w:pPr>
      <w:r w:rsidRPr="00714BDC">
        <w:rPr>
          <w:rFonts w:cs="Arial"/>
        </w:rPr>
        <w:t>La protección integral de niños, niñas y adolescentes y el fortalecimiento familiar, principal objetivo del Sistema Nacional de Bienestar Familiar requiere la contribución de diferentes agentes públicos, privados, de la cooperación internacional, operadores de servicios y de la sociedad civil, entre otros. Esta interacción demanda la definición de objetivos y metas comunes que no siempre resultan naturales ni obvias para las instituciones. En la medida en que éstas buscan preservar su autonomía e independencia, se presentan dificultades al intentar establecer sincronía en herramientas de gestión, seguimiento y presupuesto.  Si bien los objetivos del Sistema pueden ser compartidos por algunas entidades, no necesariamente apuntan a sus objetivos misionales o sectoriales, entre otra serie de elementos que caracterizan los procesos de articulación interagencial. Por esta razón, las acciones de articulación que se realizan desde el ICBF, como ente rector del Sistema, representan un reto en términos de lograr la interacción coordinada y concertada de sus agentes hacia los objetivos del SNBF, partiendo de la base que Colombia se define como un Estado social de derecho y por ende tenemos un propósito común en relación con la realización de los derechos de los niños, niñas y adolescentes de nuestro país.</w:t>
      </w:r>
    </w:p>
    <w:p w:rsidR="00622F24" w:rsidRPr="00714BDC" w:rsidRDefault="00622F24" w:rsidP="00622F24">
      <w:pPr>
        <w:spacing w:after="0" w:line="240" w:lineRule="auto"/>
        <w:jc w:val="both"/>
        <w:rPr>
          <w:rFonts w:cs="Arial"/>
        </w:rPr>
      </w:pPr>
    </w:p>
    <w:p w:rsidR="00622F24" w:rsidRPr="00714BDC" w:rsidRDefault="00622F24" w:rsidP="00622F24">
      <w:pPr>
        <w:spacing w:after="0" w:line="240" w:lineRule="auto"/>
        <w:jc w:val="both"/>
        <w:rPr>
          <w:rFonts w:cs="Arial"/>
        </w:rPr>
      </w:pPr>
      <w:r w:rsidRPr="00714BDC">
        <w:rPr>
          <w:rFonts w:cs="Arial"/>
        </w:rPr>
        <w:t xml:space="preserve">Para dar respuesta a este reto, la Dirección del Sistema Nacional de Bienestar Familiar tiene como propósito avanzar hacia la definición de objetivos y metas comunes entre agentes y ámbitos del SNBF y en la definición de actividades que tengan como característica la generación de valor agregado a partir de la interacción e interrelación de agentes. Esto es, pasar de concebir la acción del Sistema como la suma de las partes y empezar a transitar hacia la identificación de puntos de intersección donde se encuentran distintos agentes para diseñar, fortalecer o implementar acciones tendientes a consolidar condiciones favorables para el ejercicio de los derechos y el desarrollo integral de niñas, niños y adolescentes con criterios de equidad, bajo el principio de corresponsabilidad. </w:t>
      </w:r>
    </w:p>
    <w:p w:rsidR="00622F24" w:rsidRPr="00714BDC" w:rsidRDefault="00622F24" w:rsidP="00622F24">
      <w:pPr>
        <w:spacing w:after="0" w:line="240" w:lineRule="auto"/>
        <w:jc w:val="both"/>
        <w:rPr>
          <w:rFonts w:cs="Arial"/>
        </w:rPr>
      </w:pPr>
    </w:p>
    <w:p w:rsidR="00622F24" w:rsidRDefault="00622F24" w:rsidP="00622F24">
      <w:pPr>
        <w:spacing w:after="0" w:line="240" w:lineRule="auto"/>
        <w:jc w:val="both"/>
        <w:rPr>
          <w:rFonts w:cs="Arial"/>
          <w:bCs/>
        </w:rPr>
      </w:pPr>
      <w:r w:rsidRPr="00714BDC">
        <w:rPr>
          <w:rFonts w:cs="Arial"/>
        </w:rPr>
        <w:t>Frente a los procesos de articulación el SNBF lleva a cabo dos estrategias, la primera consiste en el desarrollo de procesos estratégicos para el funcionamiento del SNBF, dentro de la cual se incluye el funcionamiento de instancias de coordinación y decisión como el Consejo Nacional de Política Social y el Comité Ejecutivo del SNBF y sus correspondientes territoriales; igualmente comprende la implementación de herramientas de gestión que vinculen el accionar de los agentes del SNBF y el desarrollo de los componentes del SNBF descritos en el Manual Operativo del SNBF versión 1.0, los principales productos de la gestión se reflejan en herramientas y lineamientos diseñados intersectorialmente para apoyar los procesos de política pública de primera infancia, infancia, adolescencia y fortalecimiento familiar en todos los ámbitos de desarrollo, así como la asistencia técnica para fortalecer las capacidades de los entes territoriales en su gestión del Sistema Nacional de Bienestar Familiar, dichos procesos se materializan en la ejecución de cada uno de los componentes del SNBF: de planeación, seguimiento y evaluación, normatividad y políticas públicas, fortalecimiento técnico, participación y movilización social y financiamiento. Segundo, se desarrolla la estrategia de articulación sectorial por medio de la</w:t>
      </w:r>
      <w:r w:rsidRPr="00714BDC">
        <w:rPr>
          <w:rFonts w:cs="Arial"/>
          <w:bCs/>
        </w:rPr>
        <w:t xml:space="preserve"> cual se generan mecanismos de interlocución y articulación con los diferentes agentes del SNBF, que se orientan a acciones concretas para la garantía de los derechos de niños, niñas y adolescentes, con especial énfasis en aquellos atendidos por el ICBF. </w:t>
      </w: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45" w:name="_Toc473581437"/>
      <w:r w:rsidRPr="004146E3">
        <w:rPr>
          <w:rFonts w:eastAsia="Times New Roman" w:cs="Arial"/>
          <w:b/>
          <w:bCs/>
          <w:kern w:val="32"/>
        </w:rPr>
        <w:lastRenderedPageBreak/>
        <w:t>Procesos estratégicos del Sistema Nacional de Bienestar Familiar</w:t>
      </w:r>
      <w:bookmarkEnd w:id="145"/>
      <w:r w:rsidRPr="004146E3">
        <w:rPr>
          <w:rFonts w:eastAsia="Times New Roman" w:cs="Arial"/>
          <w:b/>
          <w:bCs/>
          <w:kern w:val="32"/>
        </w:rPr>
        <w:t xml:space="preserve"> </w:t>
      </w:r>
    </w:p>
    <w:p w:rsidR="00823561" w:rsidRDefault="00823561" w:rsidP="00622F24">
      <w:pPr>
        <w:spacing w:after="0" w:line="240" w:lineRule="auto"/>
        <w:jc w:val="both"/>
        <w:rPr>
          <w:rFonts w:cs="Arial"/>
          <w:bCs/>
        </w:rPr>
      </w:pPr>
    </w:p>
    <w:p w:rsidR="00622F24" w:rsidRPr="00714BDC" w:rsidRDefault="00622F24" w:rsidP="00622F24">
      <w:pPr>
        <w:spacing w:after="0" w:line="240" w:lineRule="auto"/>
        <w:jc w:val="both"/>
        <w:rPr>
          <w:rFonts w:cs="Arial"/>
          <w:lang w:eastAsia="es-CO"/>
        </w:rPr>
      </w:pPr>
      <w:r w:rsidRPr="00714BDC">
        <w:rPr>
          <w:rFonts w:cs="Arial"/>
          <w:bCs/>
        </w:rPr>
        <w:t xml:space="preserve">Los componentes del SNBF hacen referencia a las líneas de acción generales que orientan los procesos que se llevan a cabo en los distintos ámbitos de operación del SNBF, que se derivan de analizar y agrupar las funciones establecidas para la Dirección del SNBF en los artículos 25 al 27 del </w:t>
      </w:r>
      <w:r w:rsidRPr="00714BDC">
        <w:rPr>
          <w:rFonts w:cs="Arial"/>
          <w:lang w:eastAsia="es-CO"/>
        </w:rPr>
        <w:t xml:space="preserve">Decreto 0987 de 2012, y a lo establecido en el Libro III del Código de la Infancia y la Adolescencia, denominado “Sistema Nacional de Bienestar Familiar, Políticas Públicas e Inspección, Vigilancia y Control”. Adicional a los componentes, los procesos estratégicos son aquellos relacionados con la coordinación del Sistema Nacional de Bienestar Familiar a través del Consejo Nacional de Política Social que es la máxima instancia de decisión del SNBF y, el Comité Ejecutivo del SNBF, que constituye la instancia de coordinación, operación y evaluación del SNBF, en el ámbito Nacional, mientras que en el ámbito territorial lo son los Consejos de política Social como máxima instancia de decisión y orientación, a través de las cuales se define la política pública, se movilizan y apropian los recursos presupuestales y se dictan las líneas de acción del SNBF y las mesas de primera infancia, infancia, adolescencia y familia como instancias de operación del SNBF a través de las cuales se planifica, coordina y evalúa la operación del SNBF. En ese orden, se presentarán los avances en el marco de estas instancias y posteriormente se realizará la presentación de los componentes y sus resultados. </w:t>
      </w:r>
    </w:p>
    <w:p w:rsidR="00F7316B" w:rsidRDefault="00F7316B" w:rsidP="00FD1806">
      <w:pPr>
        <w:ind w:left="708" w:firstLine="708"/>
        <w:rPr>
          <w:b/>
        </w:rPr>
      </w:pPr>
    </w:p>
    <w:p w:rsidR="00622F24" w:rsidRPr="00FD1806" w:rsidRDefault="00622F24" w:rsidP="00FD1806">
      <w:pPr>
        <w:ind w:left="708" w:firstLine="708"/>
        <w:rPr>
          <w:b/>
          <w:lang w:eastAsia="es-ES"/>
        </w:rPr>
      </w:pPr>
      <w:r w:rsidRPr="00FD1806">
        <w:rPr>
          <w:b/>
        </w:rPr>
        <w:t>Consejo Nacional de Política Social</w:t>
      </w:r>
    </w:p>
    <w:p w:rsidR="00622F24" w:rsidRPr="00714BDC" w:rsidRDefault="00622F24" w:rsidP="00622F24">
      <w:pPr>
        <w:spacing w:after="0" w:line="240" w:lineRule="auto"/>
        <w:contextualSpacing/>
        <w:jc w:val="both"/>
        <w:rPr>
          <w:rFonts w:cs="Arial"/>
          <w:bCs/>
        </w:rPr>
      </w:pPr>
      <w:r w:rsidRPr="00714BDC">
        <w:rPr>
          <w:rFonts w:cs="Arial"/>
          <w:bCs/>
        </w:rPr>
        <w:t xml:space="preserve">Máxima instancia de decisión y orientación del Sistema Nacional de Bienestar Familiar, creado por la Ley 1098 de 2006, es el ente responsable de diseñar la política pública, movilizar y apropiar los recursos presupuestales y dictar las líneas de acción para garantizar los derechos de los niños, las niñas y los adolescentes y asegurar su protección y restablecimiento en todo el territorio nacional. </w:t>
      </w:r>
    </w:p>
    <w:p w:rsidR="00622F24" w:rsidRPr="00714BDC" w:rsidRDefault="00622F24" w:rsidP="00622F24">
      <w:pPr>
        <w:spacing w:after="0" w:line="240" w:lineRule="auto"/>
        <w:contextualSpacing/>
        <w:jc w:val="both"/>
        <w:rPr>
          <w:rFonts w:cs="Arial"/>
          <w:bCs/>
        </w:rPr>
      </w:pPr>
    </w:p>
    <w:p w:rsidR="00622F24" w:rsidRPr="00714BDC" w:rsidRDefault="00622F24" w:rsidP="00622F24">
      <w:pPr>
        <w:spacing w:after="0" w:line="240" w:lineRule="auto"/>
        <w:contextualSpacing/>
        <w:jc w:val="both"/>
        <w:rPr>
          <w:rFonts w:cs="Arial"/>
          <w:lang w:eastAsia="es-ES"/>
        </w:rPr>
      </w:pPr>
      <w:r w:rsidRPr="00714BDC">
        <w:rPr>
          <w:rFonts w:cs="Arial"/>
          <w:bCs/>
        </w:rPr>
        <w:t xml:space="preserve">Se llevó a cabo una sesión virtual del Consejo el 2 de junio de 2016 en la cual se aprobaron </w:t>
      </w:r>
      <w:r w:rsidRPr="00714BDC">
        <w:rPr>
          <w:rFonts w:cs="Arial"/>
          <w:lang w:eastAsia="es-ES"/>
        </w:rPr>
        <w:t xml:space="preserve">las </w:t>
      </w:r>
      <w:r w:rsidRPr="00714BDC">
        <w:rPr>
          <w:rFonts w:cs="Arial"/>
        </w:rPr>
        <w:t>líneas de inversión para la distribución de los recursos provenientes del crecimiento</w:t>
      </w:r>
      <w:r w:rsidR="00ED18A3">
        <w:rPr>
          <w:rFonts w:cs="Arial"/>
        </w:rPr>
        <w:t xml:space="preserve"> de la economía superior al 4%</w:t>
      </w:r>
      <w:r w:rsidR="00352DF8">
        <w:rPr>
          <w:rFonts w:cs="Arial"/>
        </w:rPr>
        <w:t xml:space="preserve"> </w:t>
      </w:r>
      <w:r w:rsidRPr="00714BDC">
        <w:rPr>
          <w:rFonts w:cs="Arial"/>
        </w:rPr>
        <w:t>destinados a la primera infancia. En dicha sesión participaron 14 de los 15 miembros convocados.</w:t>
      </w:r>
    </w:p>
    <w:p w:rsidR="00622F24" w:rsidRPr="00714BDC" w:rsidRDefault="00622F24" w:rsidP="00FD1806">
      <w:pPr>
        <w:rPr>
          <w:lang w:eastAsia="es-ES"/>
        </w:rPr>
      </w:pPr>
    </w:p>
    <w:p w:rsidR="00622F24" w:rsidRPr="00714BDC" w:rsidRDefault="00622F24" w:rsidP="00FD1806">
      <w:pPr>
        <w:ind w:left="708" w:firstLine="708"/>
        <w:rPr>
          <w:b/>
          <w:bCs/>
        </w:rPr>
      </w:pPr>
      <w:r w:rsidRPr="00714BDC">
        <w:rPr>
          <w:b/>
          <w:bCs/>
        </w:rPr>
        <w:t>Comité Ejecutivo del Sistema Nacional de Bienestar Familiar</w:t>
      </w:r>
    </w:p>
    <w:p w:rsidR="00622F24" w:rsidRPr="00714BDC" w:rsidRDefault="00622F24" w:rsidP="00622F24">
      <w:pPr>
        <w:spacing w:after="0" w:line="240" w:lineRule="auto"/>
        <w:contextualSpacing/>
        <w:jc w:val="both"/>
        <w:rPr>
          <w:rFonts w:cs="Arial"/>
        </w:rPr>
      </w:pPr>
      <w:r w:rsidRPr="00714BDC">
        <w:rPr>
          <w:rFonts w:eastAsia="Times New Roman" w:cs="Arial"/>
          <w:lang w:eastAsia="es-CO"/>
        </w:rPr>
        <w:t xml:space="preserve">Creado por el Decreto 936 de 2013, es la instancia de coordinación y operación del SNBF en el ámbito nacional. El ICBF en calidad de secretaría técnica de la instancia ha mantenido su </w:t>
      </w:r>
      <w:r w:rsidR="00352DF8">
        <w:rPr>
          <w:rFonts w:eastAsia="Times New Roman" w:cs="Arial"/>
          <w:lang w:eastAsia="es-CO"/>
        </w:rPr>
        <w:t>funcionamiento constante entre J</w:t>
      </w:r>
      <w:r w:rsidRPr="00714BDC">
        <w:rPr>
          <w:rFonts w:eastAsia="Times New Roman" w:cs="Arial"/>
          <w:lang w:eastAsia="es-CO"/>
        </w:rPr>
        <w:t>ulio d</w:t>
      </w:r>
      <w:r w:rsidR="00352DF8">
        <w:rPr>
          <w:rFonts w:eastAsia="Times New Roman" w:cs="Arial"/>
          <w:lang w:eastAsia="es-CO"/>
        </w:rPr>
        <w:t>e 2013 y D</w:t>
      </w:r>
      <w:r w:rsidRPr="00714BDC">
        <w:rPr>
          <w:rFonts w:eastAsia="Times New Roman" w:cs="Arial"/>
          <w:lang w:eastAsia="es-CO"/>
        </w:rPr>
        <w:t>iciembre de 2016, periodo en el cual se han llevado a cabo 27 sesiones ordinarias, una sesión ampliada y una 1 extraordinaria.</w:t>
      </w:r>
      <w:r w:rsidRPr="00714BDC">
        <w:rPr>
          <w:rFonts w:cs="Arial"/>
        </w:rPr>
        <w:t xml:space="preserve"> Durante el año 2016 el Comité sesionó 6 veces de forma ordinaria, una extraordinaria y una ampliada. En el marco del Comité se obtuvieron los siguientes productos:</w:t>
      </w:r>
    </w:p>
    <w:p w:rsidR="00622F24" w:rsidRPr="00714BDC" w:rsidRDefault="00622F24" w:rsidP="00622F24">
      <w:pPr>
        <w:spacing w:after="0" w:line="240" w:lineRule="auto"/>
        <w:contextualSpacing/>
        <w:jc w:val="both"/>
        <w:rPr>
          <w:rFonts w:cs="Arial"/>
          <w:lang w:eastAsia="es-ES"/>
        </w:rPr>
      </w:pPr>
    </w:p>
    <w:p w:rsidR="00622F24" w:rsidRPr="00714BDC" w:rsidRDefault="00622F24" w:rsidP="00D712DC">
      <w:pPr>
        <w:pStyle w:val="Prrafodelista"/>
        <w:numPr>
          <w:ilvl w:val="0"/>
          <w:numId w:val="26"/>
        </w:numPr>
        <w:spacing w:after="0" w:line="240" w:lineRule="auto"/>
        <w:ind w:left="709"/>
        <w:contextualSpacing/>
        <w:jc w:val="both"/>
        <w:rPr>
          <w:rFonts w:cs="Arial"/>
          <w:bCs/>
        </w:rPr>
      </w:pPr>
      <w:r w:rsidRPr="00714BDC">
        <w:rPr>
          <w:rFonts w:cs="Arial"/>
          <w:bCs/>
        </w:rPr>
        <w:t xml:space="preserve">Lineamiento para la inclusión de la primera infancia, infancia y adolescencia y fortalecimiento familiar en los planes territoriales de desarrollo de acuerdo con lo establecido en la Ley 1098 de 2006 y el Decreto 1084 de 2015. </w:t>
      </w:r>
    </w:p>
    <w:p w:rsidR="00622F24" w:rsidRDefault="00622F24" w:rsidP="00D712DC">
      <w:pPr>
        <w:pStyle w:val="Prrafodelista"/>
        <w:numPr>
          <w:ilvl w:val="0"/>
          <w:numId w:val="26"/>
        </w:numPr>
        <w:spacing w:after="0" w:line="240" w:lineRule="auto"/>
        <w:ind w:left="709"/>
        <w:contextualSpacing/>
        <w:jc w:val="both"/>
        <w:rPr>
          <w:rFonts w:cs="Arial"/>
          <w:bCs/>
        </w:rPr>
      </w:pPr>
      <w:r w:rsidRPr="00714BDC">
        <w:rPr>
          <w:rFonts w:cs="Arial"/>
          <w:bCs/>
        </w:rPr>
        <w:lastRenderedPageBreak/>
        <w:t>Acompañamiento al proceso de Rendición Pública de Cuentas territorial sobre primera infancia, infancia, adolescencia y juventud desarrollado en 2015.</w:t>
      </w:r>
    </w:p>
    <w:p w:rsidR="00ED18A3" w:rsidRPr="00714BDC" w:rsidRDefault="00ED18A3" w:rsidP="00ED18A3">
      <w:pPr>
        <w:pStyle w:val="Prrafodelista"/>
        <w:spacing w:after="0" w:line="240" w:lineRule="auto"/>
        <w:ind w:left="709"/>
        <w:contextualSpacing/>
        <w:jc w:val="both"/>
        <w:rPr>
          <w:rFonts w:cs="Arial"/>
          <w:bCs/>
        </w:rPr>
      </w:pPr>
    </w:p>
    <w:p w:rsidR="00ED18A3" w:rsidRDefault="00622F24" w:rsidP="00D712DC">
      <w:pPr>
        <w:pStyle w:val="Prrafodelista"/>
        <w:numPr>
          <w:ilvl w:val="0"/>
          <w:numId w:val="26"/>
        </w:numPr>
        <w:spacing w:after="0" w:line="240" w:lineRule="auto"/>
        <w:ind w:left="709"/>
        <w:contextualSpacing/>
        <w:jc w:val="both"/>
        <w:rPr>
          <w:rFonts w:cs="Arial"/>
          <w:bCs/>
        </w:rPr>
      </w:pPr>
      <w:r w:rsidRPr="00714BDC">
        <w:rPr>
          <w:rFonts w:cs="Arial"/>
          <w:bCs/>
        </w:rPr>
        <w:t>Plan de acción del SNBF 2015-2018 con base en las metas del Plan Nacional de Desarrollo 2014-2018 y recomendaciones del de Comité de Derechos del Niño.</w:t>
      </w:r>
    </w:p>
    <w:p w:rsidR="00622F24" w:rsidRPr="00ED18A3" w:rsidRDefault="00622F24" w:rsidP="00ED18A3">
      <w:pPr>
        <w:spacing w:after="0" w:line="240" w:lineRule="auto"/>
        <w:contextualSpacing/>
        <w:jc w:val="both"/>
        <w:rPr>
          <w:rFonts w:cs="Arial"/>
          <w:bCs/>
        </w:rPr>
      </w:pPr>
      <w:r w:rsidRPr="00ED18A3">
        <w:rPr>
          <w:rFonts w:cs="Arial"/>
          <w:bCs/>
        </w:rPr>
        <w:t xml:space="preserve"> </w:t>
      </w:r>
    </w:p>
    <w:p w:rsidR="00622F24" w:rsidRDefault="00622F24" w:rsidP="00D712DC">
      <w:pPr>
        <w:pStyle w:val="Prrafodelista"/>
        <w:numPr>
          <w:ilvl w:val="0"/>
          <w:numId w:val="26"/>
        </w:numPr>
        <w:spacing w:after="0" w:line="240" w:lineRule="auto"/>
        <w:ind w:left="709"/>
        <w:contextualSpacing/>
        <w:jc w:val="both"/>
        <w:rPr>
          <w:rFonts w:cs="Arial"/>
          <w:bCs/>
        </w:rPr>
      </w:pPr>
      <w:r w:rsidRPr="00714BDC">
        <w:rPr>
          <w:rFonts w:cs="Arial"/>
          <w:bCs/>
        </w:rPr>
        <w:t>Preparación de primera sesión anual de 2016 del Consejo Nacional de Política Social para la cual se revisaron los siguientes temas:</w:t>
      </w:r>
    </w:p>
    <w:p w:rsidR="00ED18A3" w:rsidRPr="00ED18A3" w:rsidRDefault="00ED18A3" w:rsidP="00ED18A3">
      <w:pPr>
        <w:spacing w:after="0" w:line="240" w:lineRule="auto"/>
        <w:contextualSpacing/>
        <w:jc w:val="both"/>
        <w:rPr>
          <w:rFonts w:cs="Arial"/>
          <w:bCs/>
        </w:rPr>
      </w:pPr>
    </w:p>
    <w:p w:rsidR="00622F24" w:rsidRPr="00714BDC" w:rsidRDefault="00622F24" w:rsidP="00D712DC">
      <w:pPr>
        <w:pStyle w:val="Prrafodelista"/>
        <w:numPr>
          <w:ilvl w:val="1"/>
          <w:numId w:val="26"/>
        </w:numPr>
        <w:spacing w:after="0" w:line="240" w:lineRule="auto"/>
        <w:ind w:left="1134"/>
        <w:contextualSpacing/>
        <w:jc w:val="both"/>
        <w:rPr>
          <w:rFonts w:cs="Arial"/>
          <w:bCs/>
        </w:rPr>
      </w:pPr>
      <w:r w:rsidRPr="00714BDC">
        <w:rPr>
          <w:rFonts w:cs="Arial"/>
          <w:bCs/>
        </w:rPr>
        <w:t>Plan de acción del gobierno para la situación de crisis de La Guajira.</w:t>
      </w:r>
    </w:p>
    <w:p w:rsidR="00622F24" w:rsidRPr="00714BDC" w:rsidRDefault="00622F24" w:rsidP="00D712DC">
      <w:pPr>
        <w:pStyle w:val="Prrafodelista"/>
        <w:numPr>
          <w:ilvl w:val="1"/>
          <w:numId w:val="26"/>
        </w:numPr>
        <w:spacing w:after="0" w:line="240" w:lineRule="auto"/>
        <w:ind w:left="1134"/>
        <w:contextualSpacing/>
        <w:jc w:val="both"/>
        <w:rPr>
          <w:rFonts w:cs="Arial"/>
          <w:bCs/>
        </w:rPr>
      </w:pPr>
      <w:r w:rsidRPr="00714BDC">
        <w:rPr>
          <w:rFonts w:cs="Arial"/>
          <w:bCs/>
        </w:rPr>
        <w:t>Documento borrador Conpes de distribución de recursos para la primera infancia.</w:t>
      </w:r>
    </w:p>
    <w:p w:rsidR="00622F24" w:rsidRPr="00714BDC" w:rsidRDefault="00622F24" w:rsidP="00D712DC">
      <w:pPr>
        <w:pStyle w:val="Prrafodelista"/>
        <w:numPr>
          <w:ilvl w:val="1"/>
          <w:numId w:val="26"/>
        </w:numPr>
        <w:spacing w:after="0" w:line="240" w:lineRule="auto"/>
        <w:ind w:left="1134"/>
        <w:contextualSpacing/>
        <w:jc w:val="both"/>
        <w:rPr>
          <w:rFonts w:cs="Arial"/>
          <w:bCs/>
        </w:rPr>
      </w:pPr>
      <w:r w:rsidRPr="00714BDC">
        <w:rPr>
          <w:rFonts w:cs="Arial"/>
          <w:bCs/>
        </w:rPr>
        <w:t>Informe sobre seguimiento a obras inconclusas financiadas por recursos Conpes.</w:t>
      </w:r>
    </w:p>
    <w:p w:rsidR="00ED18A3" w:rsidRDefault="00ED18A3" w:rsidP="00622F24">
      <w:pPr>
        <w:spacing w:after="0" w:line="240" w:lineRule="auto"/>
        <w:ind w:left="708"/>
        <w:contextualSpacing/>
        <w:jc w:val="both"/>
        <w:rPr>
          <w:rFonts w:cs="Arial"/>
          <w:bCs/>
        </w:rPr>
      </w:pPr>
    </w:p>
    <w:p w:rsidR="00622F24" w:rsidRDefault="00622F24" w:rsidP="00622F24">
      <w:pPr>
        <w:spacing w:after="0" w:line="240" w:lineRule="auto"/>
        <w:ind w:left="708"/>
        <w:contextualSpacing/>
        <w:jc w:val="both"/>
        <w:rPr>
          <w:rFonts w:cs="Arial"/>
          <w:bCs/>
        </w:rPr>
      </w:pPr>
      <w:r w:rsidRPr="00714BDC">
        <w:rPr>
          <w:rFonts w:cs="Arial"/>
          <w:bCs/>
        </w:rPr>
        <w:t>La primera sesión anual no se llevó a cabo de manera presencial por agenda del Presidente de la República.</w:t>
      </w:r>
    </w:p>
    <w:p w:rsidR="00ED18A3" w:rsidRPr="00714BDC" w:rsidRDefault="00ED18A3" w:rsidP="00622F24">
      <w:pPr>
        <w:spacing w:after="0" w:line="240" w:lineRule="auto"/>
        <w:ind w:left="708"/>
        <w:contextualSpacing/>
        <w:jc w:val="both"/>
        <w:rPr>
          <w:rFonts w:cs="Arial"/>
          <w:bCs/>
        </w:rPr>
      </w:pPr>
    </w:p>
    <w:p w:rsidR="00622F24" w:rsidRPr="00ED18A3" w:rsidRDefault="00622F24" w:rsidP="00D712DC">
      <w:pPr>
        <w:pStyle w:val="Prrafodelista"/>
        <w:numPr>
          <w:ilvl w:val="0"/>
          <w:numId w:val="26"/>
        </w:numPr>
        <w:spacing w:after="0" w:line="240" w:lineRule="auto"/>
        <w:ind w:left="709"/>
        <w:contextualSpacing/>
        <w:jc w:val="both"/>
        <w:rPr>
          <w:rFonts w:cs="Arial"/>
          <w:bCs/>
        </w:rPr>
      </w:pPr>
      <w:r w:rsidRPr="00714BDC">
        <w:rPr>
          <w:rFonts w:cs="Arial"/>
        </w:rPr>
        <w:t>Recomendaciones a la propuesta de modificación del decreto “Por medio del cual se subroga el Capítulo 6 del Título 7, Parte 2, Libro 2 del Decreto Único Reglamentario del Sector Trabajo 1072 de 2015”.</w:t>
      </w:r>
    </w:p>
    <w:p w:rsidR="00ED18A3" w:rsidRPr="00714BDC" w:rsidRDefault="00ED18A3" w:rsidP="00ED18A3">
      <w:pPr>
        <w:pStyle w:val="Prrafodelista"/>
        <w:spacing w:after="0" w:line="240" w:lineRule="auto"/>
        <w:ind w:left="709"/>
        <w:contextualSpacing/>
        <w:jc w:val="both"/>
        <w:rPr>
          <w:rFonts w:cs="Arial"/>
          <w:bCs/>
        </w:rPr>
      </w:pPr>
    </w:p>
    <w:p w:rsidR="00622F24" w:rsidRPr="00ED18A3" w:rsidRDefault="00622F24" w:rsidP="00D712DC">
      <w:pPr>
        <w:pStyle w:val="Prrafodelista"/>
        <w:numPr>
          <w:ilvl w:val="0"/>
          <w:numId w:val="26"/>
        </w:numPr>
        <w:spacing w:after="0" w:line="240" w:lineRule="auto"/>
        <w:ind w:left="709"/>
        <w:contextualSpacing/>
        <w:jc w:val="both"/>
        <w:rPr>
          <w:rFonts w:cs="Arial"/>
          <w:bCs/>
        </w:rPr>
      </w:pPr>
      <w:r w:rsidRPr="00714BDC">
        <w:rPr>
          <w:rFonts w:cs="Arial"/>
        </w:rPr>
        <w:t>Comentarios a tres versiones de “Documento para la formulación de la política nacion</w:t>
      </w:r>
      <w:r w:rsidR="00ED18A3">
        <w:rPr>
          <w:rFonts w:cs="Arial"/>
        </w:rPr>
        <w:t>al de infancia y adolescencia”.</w:t>
      </w:r>
    </w:p>
    <w:p w:rsidR="00ED18A3" w:rsidRPr="00ED18A3" w:rsidRDefault="00ED18A3" w:rsidP="00ED18A3">
      <w:pPr>
        <w:spacing w:after="0" w:line="240" w:lineRule="auto"/>
        <w:contextualSpacing/>
        <w:jc w:val="both"/>
        <w:rPr>
          <w:rFonts w:cs="Arial"/>
          <w:bCs/>
        </w:rPr>
      </w:pPr>
    </w:p>
    <w:p w:rsidR="00622F24" w:rsidRPr="00714BDC" w:rsidRDefault="00622F24" w:rsidP="00D712DC">
      <w:pPr>
        <w:pStyle w:val="Prrafodelista"/>
        <w:numPr>
          <w:ilvl w:val="0"/>
          <w:numId w:val="26"/>
        </w:numPr>
        <w:spacing w:after="0" w:line="240" w:lineRule="auto"/>
        <w:ind w:left="709"/>
        <w:contextualSpacing/>
        <w:jc w:val="both"/>
        <w:rPr>
          <w:rFonts w:cs="Arial"/>
          <w:bCs/>
        </w:rPr>
      </w:pPr>
      <w:r w:rsidRPr="00714BDC">
        <w:rPr>
          <w:rFonts w:cs="Arial"/>
        </w:rPr>
        <w:t>Validación de la Política Nacional para apoyo y Fortalecimiento a las Familias.</w:t>
      </w:r>
    </w:p>
    <w:p w:rsidR="00622F24" w:rsidRPr="00714BDC" w:rsidRDefault="00622F24" w:rsidP="00622F24">
      <w:pPr>
        <w:spacing w:after="0" w:line="240" w:lineRule="auto"/>
        <w:jc w:val="both"/>
        <w:rPr>
          <w:rFonts w:cs="Arial"/>
          <w:lang w:val="es-MX"/>
        </w:rPr>
      </w:pPr>
    </w:p>
    <w:p w:rsidR="00622F24" w:rsidRPr="00714BDC" w:rsidRDefault="00622F24" w:rsidP="00622F24">
      <w:pPr>
        <w:spacing w:after="0" w:line="240" w:lineRule="auto"/>
        <w:jc w:val="both"/>
        <w:rPr>
          <w:rFonts w:cs="Arial"/>
          <w:lang w:val="es-MX"/>
        </w:rPr>
      </w:pPr>
      <w:r w:rsidRPr="00714BDC">
        <w:rPr>
          <w:rFonts w:cs="Arial"/>
          <w:lang w:val="es-MX"/>
        </w:rPr>
        <w:t xml:space="preserve">Adicionalmente, a través de la sesión ampliada del Comité realizada en agosto se logró la </w:t>
      </w:r>
      <w:r w:rsidRPr="00714BDC">
        <w:rPr>
          <w:rFonts w:cs="Arial"/>
        </w:rPr>
        <w:t xml:space="preserve">definición de acciones por parte de las entidades del SNBF para dar respuesta a las recomendaciones del Comité de Derechos del Niño. </w:t>
      </w:r>
      <w:r w:rsidRPr="00714BDC">
        <w:rPr>
          <w:rFonts w:cs="Arial"/>
          <w:lang w:val="es-MX"/>
        </w:rPr>
        <w:t>Este comité contó con la asistencia de 80 personas, entre ellos, 42 participantes de 23 entidades del SNBF, 20 participantes de las áreas misionales del ICBF y el equipo de la Dirección del SNBF.</w:t>
      </w:r>
    </w:p>
    <w:p w:rsidR="00622F24" w:rsidRPr="00714BDC" w:rsidRDefault="00622F24" w:rsidP="00FD1806">
      <w:pPr>
        <w:rPr>
          <w:lang w:val="es-MX"/>
        </w:rPr>
      </w:pPr>
    </w:p>
    <w:p w:rsidR="00622F24" w:rsidRPr="00714BDC" w:rsidRDefault="00622F24" w:rsidP="00FD1806">
      <w:pPr>
        <w:ind w:left="708" w:firstLine="708"/>
        <w:rPr>
          <w:b/>
          <w:bCs/>
        </w:rPr>
      </w:pPr>
      <w:r w:rsidRPr="00714BDC">
        <w:rPr>
          <w:b/>
          <w:bCs/>
        </w:rPr>
        <w:t>Consejos Territoriales de Política Social</w:t>
      </w: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 xml:space="preserve">La Procuraduría General de la Nación mediante Directiva número 002 del 14 de marzo de 2011, insta a los Gobernadores, a los Alcaldes y al Instituto Colombiano de Bienestar Familiar para que asuman las responsabilidades que les son propias en la organización y funcionamiento de los Consejos de Política Social tal como lo dispone el artículo </w:t>
      </w:r>
      <w:hyperlink r:id="rId35" w:anchor="207" w:history="1">
        <w:r w:rsidRPr="00714BDC">
          <w:rPr>
            <w:rFonts w:eastAsia="Times New Roman" w:cs="Arial"/>
            <w:lang w:eastAsia="es-CO"/>
          </w:rPr>
          <w:t>207</w:t>
        </w:r>
      </w:hyperlink>
      <w:r w:rsidRPr="00714BDC">
        <w:rPr>
          <w:rFonts w:eastAsia="Times New Roman" w:cs="Arial"/>
          <w:lang w:eastAsia="es-CO"/>
        </w:rPr>
        <w:t xml:space="preserve"> del Código de la Infancia y la Adolescencia. En este mismo sentido, el ICBF expidi</w:t>
      </w:r>
      <w:r w:rsidR="001804E1">
        <w:rPr>
          <w:rFonts w:eastAsia="Times New Roman" w:cs="Arial"/>
          <w:lang w:eastAsia="es-CO"/>
        </w:rPr>
        <w:t>ó la Resolución 11404 el 24 de D</w:t>
      </w:r>
      <w:r w:rsidRPr="00714BDC">
        <w:rPr>
          <w:rFonts w:eastAsia="Times New Roman" w:cs="Arial"/>
          <w:lang w:eastAsia="es-CO"/>
        </w:rPr>
        <w:t xml:space="preserve">iciembre de 2013 mediante la cual establece el esquema de seguimiento a los procesos de gestión de los Consejos de Política Social Territorial (CPD). </w:t>
      </w:r>
    </w:p>
    <w:p w:rsidR="00622F24" w:rsidRPr="00714BDC" w:rsidRDefault="00622F24" w:rsidP="00622F24">
      <w:pPr>
        <w:spacing w:after="0" w:line="240" w:lineRule="auto"/>
        <w:jc w:val="both"/>
        <w:rPr>
          <w:rFonts w:eastAsia="Times New Roman" w:cs="Arial"/>
          <w:lang w:eastAsia="es-CO"/>
        </w:rPr>
      </w:pP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 xml:space="preserve">Para dar cumplimento a dicha resolución, la Dirección del SNBF realiza un monitoreo permanente y controlado con el fin de aumentar las capacidades de los Consejos de Política Social a nivel territorial, como espacios de articulación de agentes a favor de la garantía de derechos de los niños, las niñas y los adolescentes. Durante 2016, se realizó un acompañamiento permanente al </w:t>
      </w:r>
      <w:r w:rsidRPr="00714BDC">
        <w:rPr>
          <w:rFonts w:eastAsia="Times New Roman" w:cs="Arial"/>
          <w:lang w:eastAsia="es-CO"/>
        </w:rPr>
        <w:lastRenderedPageBreak/>
        <w:t xml:space="preserve">funcionamiento de los CPS, con lo cual se ha logrado que éstos cuenten con planes de acción, incluyan en su estructura las mesas de Infancia y Adolescencia, las mesas de participación de Niños y Niñas, y se realice un seguimiento a la formulación e implementación de las políticas públicas de Infancia y Adolescencia. </w:t>
      </w:r>
    </w:p>
    <w:p w:rsidR="00622F24" w:rsidRPr="00714BDC" w:rsidRDefault="00622F24" w:rsidP="00622F24">
      <w:pPr>
        <w:spacing w:after="0" w:line="240" w:lineRule="auto"/>
        <w:jc w:val="both"/>
        <w:rPr>
          <w:rFonts w:eastAsia="Times New Roman" w:cs="Arial"/>
          <w:lang w:eastAsia="es-CO"/>
        </w:rPr>
      </w:pP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Las cifras a continuación, muestran el comportamiento del funcionamiento de los CPS a nivel departamental, distrital y municipal y demás aspectos relacionados con el SNBF durante el primer semestre del año 2016. El informe consolidado de balance del año 2016, se elaborará en el mes de enero de 2017, para posterior envío y radicación en la Procuraduría General de la Nación.</w:t>
      </w:r>
    </w:p>
    <w:p w:rsidR="00622F24" w:rsidRPr="00714BDC" w:rsidRDefault="00622F24" w:rsidP="00AF6668">
      <w:pPr>
        <w:ind w:left="708"/>
        <w:rPr>
          <w:lang w:eastAsia="es-CO"/>
        </w:rPr>
      </w:pPr>
    </w:p>
    <w:p w:rsidR="00622F24" w:rsidRPr="00714BDC" w:rsidRDefault="00622F24" w:rsidP="00AF6668">
      <w:pPr>
        <w:ind w:left="708"/>
        <w:rPr>
          <w:b/>
          <w:bCs/>
        </w:rPr>
      </w:pPr>
      <w:r w:rsidRPr="00714BDC">
        <w:rPr>
          <w:b/>
          <w:bCs/>
        </w:rPr>
        <w:t>Consejos de Política Social realizados en los Departamentos, Bogotá D.C. y los municipios en el primer semestre de 2016</w:t>
      </w: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 xml:space="preserve">En los 32 departamentos del país y Bogotá D.C., en el primer semestre de 2016, se realizaron en total 53 sesiones de CPS. Todos los departamentos y el Distrito Capital durante el primer semestre del año 2016 realizaron al menos una sesión de CPS. En los 1.100 municipios y las 20 localidades del D.C. en el primer semestre de 2016, se realizaron en total 1.120 sesiones de CPS. Un total de 1.105 municipios (96%) del país, sesionaron al menos una vez en el primer semestre de 2016. </w:t>
      </w:r>
    </w:p>
    <w:p w:rsidR="00F7316B" w:rsidRDefault="00F7316B" w:rsidP="00AF6668">
      <w:pPr>
        <w:ind w:left="708"/>
        <w:rPr>
          <w:b/>
          <w:bCs/>
        </w:rPr>
      </w:pPr>
    </w:p>
    <w:p w:rsidR="00622F24" w:rsidRPr="00714BDC" w:rsidRDefault="00622F24" w:rsidP="00AF6668">
      <w:pPr>
        <w:ind w:left="708"/>
        <w:rPr>
          <w:b/>
          <w:bCs/>
        </w:rPr>
      </w:pPr>
      <w:r w:rsidRPr="00714BDC">
        <w:rPr>
          <w:b/>
          <w:bCs/>
        </w:rPr>
        <w:t xml:space="preserve">Mesa o comité de primera infancia, infancia, adolescencia y fortalecimiento familiar, conformada en la estructura de los CPS </w:t>
      </w: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 xml:space="preserve">De acuerdo con el Decreto 936 de 2013 se define a las Mesas de Primera Infancia, Infancia, Adolescencia y Fortalecimiento Familiar en los departamentos y el D.C. como las instancias de operación y desarrollo técnico del SNBF que, en el modelo de gestión del CPS territorial se articula como la mesa especializada en la que deben concurrir las temáticas, mesas y comités relacionados con infancia, adolescencia y fortalecimiento familiar. Por tanto, se constituye en un escenario propicio para la articulación y coordinación de las entidades públicas, privadas y de la sociedad civil que apoyan gestión de la implementación de la política pública de Infancia, Adolescencia y Familia con el claro objetivo de concretar la atención integral de niños, niñas y adolescentes. </w:t>
      </w:r>
    </w:p>
    <w:p w:rsidR="00622F24" w:rsidRPr="00714BDC" w:rsidRDefault="00622F24" w:rsidP="00622F24">
      <w:pPr>
        <w:spacing w:after="0" w:line="240" w:lineRule="auto"/>
        <w:jc w:val="both"/>
        <w:rPr>
          <w:rFonts w:eastAsia="Times New Roman" w:cs="Arial"/>
          <w:lang w:eastAsia="es-CO"/>
        </w:rPr>
      </w:pPr>
    </w:p>
    <w:p w:rsidR="00622F24" w:rsidRPr="00714BDC" w:rsidRDefault="00622F24" w:rsidP="00622F24">
      <w:pPr>
        <w:spacing w:after="0" w:line="240" w:lineRule="auto"/>
        <w:jc w:val="both"/>
        <w:rPr>
          <w:rFonts w:eastAsia="Times New Roman" w:cs="Arial"/>
          <w:lang w:eastAsia="es-CO"/>
        </w:rPr>
      </w:pPr>
      <w:r w:rsidRPr="00714BDC">
        <w:rPr>
          <w:rFonts w:eastAsia="Times New Roman" w:cs="Arial"/>
          <w:lang w:eastAsia="es-CO"/>
        </w:rPr>
        <w:t xml:space="preserve">En tal sentido, en el nivel territorial se prestó asistencia técnica desde el SNBF no sólo para su creación y conformación sino para su funcionamiento y gestión, logrando que en los 32 departamentos, el D.C., 1.100 Municipios y las 20 localidades del D.C., en total, en 1.108 entes territoriales, se encuentre conformada dicha instancia de operación para un porcentaje de cumplimiento del 98%. </w:t>
      </w:r>
    </w:p>
    <w:p w:rsidR="00622F24" w:rsidRPr="00714BDC" w:rsidRDefault="00622F24" w:rsidP="00622F24">
      <w:pPr>
        <w:spacing w:after="0" w:line="240" w:lineRule="auto"/>
        <w:jc w:val="both"/>
        <w:rPr>
          <w:rFonts w:eastAsia="Times New Roman" w:cs="Arial"/>
          <w:lang w:eastAsia="es-CO"/>
        </w:rPr>
      </w:pPr>
    </w:p>
    <w:p w:rsidR="00622F24" w:rsidRPr="00714BDC" w:rsidRDefault="00D62C15" w:rsidP="00622F24">
      <w:pPr>
        <w:spacing w:after="0" w:line="240" w:lineRule="auto"/>
        <w:jc w:val="both"/>
        <w:rPr>
          <w:rFonts w:eastAsia="Times New Roman" w:cs="Arial"/>
          <w:lang w:eastAsia="es-CO"/>
        </w:rPr>
      </w:pPr>
      <w:r>
        <w:rPr>
          <w:rFonts w:eastAsia="Times New Roman" w:cs="Arial"/>
          <w:lang w:eastAsia="es-CO"/>
        </w:rPr>
        <w:t>En cuanto a su funcionamiento D</w:t>
      </w:r>
      <w:r w:rsidR="00622F24" w:rsidRPr="00714BDC">
        <w:rPr>
          <w:rFonts w:eastAsia="Times New Roman" w:cs="Arial"/>
          <w:lang w:eastAsia="es-CO"/>
        </w:rPr>
        <w:t>epartamental, durante el primer semestre de 2016, se realizaron en total 95 sesiones de las mesas de primera infancia, infancia, adolescencia y fortalecimiento familiar. En relación con el funcionamiento de los municipios, en total en el país se han realizado 1.837 sesiones.</w:t>
      </w:r>
    </w:p>
    <w:p w:rsidR="00823561" w:rsidRDefault="00823561" w:rsidP="00823561">
      <w:pPr>
        <w:spacing w:after="0" w:line="240" w:lineRule="auto"/>
        <w:rPr>
          <w:rFonts w:cs="Arial"/>
        </w:rPr>
      </w:pP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46" w:name="_Toc473581438"/>
      <w:r w:rsidRPr="004146E3">
        <w:rPr>
          <w:rFonts w:eastAsia="Times New Roman" w:cs="Arial"/>
          <w:b/>
          <w:bCs/>
          <w:kern w:val="32"/>
        </w:rPr>
        <w:lastRenderedPageBreak/>
        <w:t>Componentes del Sistema Nacional de Bienestar Familiar</w:t>
      </w:r>
      <w:bookmarkEnd w:id="146"/>
      <w:r w:rsidRPr="004146E3">
        <w:rPr>
          <w:rFonts w:eastAsia="Times New Roman" w:cs="Arial"/>
          <w:b/>
          <w:bCs/>
          <w:kern w:val="32"/>
        </w:rPr>
        <w:t xml:space="preserve"> </w:t>
      </w:r>
    </w:p>
    <w:p w:rsidR="00622F24" w:rsidRPr="00714BDC" w:rsidRDefault="00622F24" w:rsidP="001B5805">
      <w:pPr>
        <w:ind w:left="708" w:firstLine="708"/>
        <w:rPr>
          <w:b/>
        </w:rPr>
      </w:pPr>
    </w:p>
    <w:p w:rsidR="00622F24" w:rsidRPr="00714BDC" w:rsidRDefault="00622F24" w:rsidP="001B5805">
      <w:pPr>
        <w:ind w:left="708" w:firstLine="708"/>
        <w:rPr>
          <w:b/>
          <w:bCs/>
        </w:rPr>
      </w:pPr>
      <w:r w:rsidRPr="00714BDC">
        <w:rPr>
          <w:b/>
          <w:bCs/>
        </w:rPr>
        <w:t>Componente de Planeación, Seguimiento y Evaluación</w:t>
      </w:r>
    </w:p>
    <w:p w:rsidR="00622F24" w:rsidRPr="00714BDC" w:rsidRDefault="00622F24" w:rsidP="00622F24">
      <w:pPr>
        <w:spacing w:after="0" w:line="240" w:lineRule="auto"/>
        <w:jc w:val="both"/>
        <w:rPr>
          <w:rFonts w:cs="Arial"/>
          <w:bCs/>
        </w:rPr>
      </w:pPr>
      <w:r w:rsidRPr="00714BDC">
        <w:rPr>
          <w:rFonts w:cs="Arial"/>
          <w:bCs/>
        </w:rPr>
        <w:t>Este componente comprende el conjunto de procesos de planeación, seguimiento y evaluación que se deben adelantar con el fin de ordenar la estructura, el funcionamiento y la articulación del SNBF, en el ámbito nacional, departamental, municipal y distrital.</w:t>
      </w:r>
    </w:p>
    <w:p w:rsidR="00622F24" w:rsidRPr="00714BDC" w:rsidRDefault="00622F24" w:rsidP="00622F24">
      <w:pPr>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 xml:space="preserve">En consecuencia, la Dirección del SNBF ha venido liderando el desarrollo de instrumentos de planeación que buscan fortalecer su organización y funcionamiento en los ámbitos nacional y territorial, como: </w:t>
      </w:r>
    </w:p>
    <w:p w:rsidR="00622F24" w:rsidRPr="00714BDC" w:rsidRDefault="00622F24" w:rsidP="00622F24">
      <w:pPr>
        <w:pStyle w:val="Prrafodelista"/>
        <w:spacing w:after="0" w:line="240" w:lineRule="auto"/>
        <w:ind w:left="720"/>
        <w:contextualSpacing/>
        <w:jc w:val="both"/>
        <w:rPr>
          <w:rFonts w:cs="Arial"/>
          <w:bCs/>
        </w:rPr>
      </w:pPr>
    </w:p>
    <w:p w:rsidR="00622F24" w:rsidRPr="00714BDC" w:rsidRDefault="00622F24" w:rsidP="00622F24">
      <w:pPr>
        <w:spacing w:after="0" w:line="240" w:lineRule="auto"/>
        <w:contextualSpacing/>
        <w:jc w:val="both"/>
        <w:rPr>
          <w:rFonts w:cs="Arial"/>
          <w:bCs/>
        </w:rPr>
      </w:pPr>
      <w:r w:rsidRPr="00714BDC">
        <w:rPr>
          <w:rFonts w:cs="Arial"/>
          <w:b/>
          <w:bCs/>
        </w:rPr>
        <w:t>Plan de Acción del SNBF 2015 -2018</w:t>
      </w:r>
      <w:r w:rsidRPr="00714BDC">
        <w:rPr>
          <w:rFonts w:cs="Arial"/>
          <w:bCs/>
        </w:rPr>
        <w:t xml:space="preserve">: el Decreto 936 de 2013 y el Manual Operativo del SNBF establecen la construcción de un Plan de Acción del SNBF como instrumento de planeación de mediano plazo para concretar las acciones que se realizan en favor de la niñez por parte de los agentes e instancias que conforman el sistema. Entre enero y abril de 2016 se finalizó la concertación de actividades con agentes e instancias del SNBF, las cuales se definieron a partir de los compromisos que el Gobierno Nacional estableció en el Plan Nacional de Desarrollo 2014-2018. En total fueron 217 actividades concertadas con 11 agentes y 13 instancias del Sistema. </w:t>
      </w:r>
    </w:p>
    <w:p w:rsidR="00622F24" w:rsidRPr="00714BDC" w:rsidRDefault="00622F24" w:rsidP="00622F24">
      <w:pPr>
        <w:spacing w:after="0" w:line="240" w:lineRule="auto"/>
        <w:contextualSpacing/>
        <w:jc w:val="both"/>
        <w:rPr>
          <w:rFonts w:cs="Arial"/>
          <w:bCs/>
        </w:rPr>
      </w:pPr>
    </w:p>
    <w:p w:rsidR="00622F24" w:rsidRPr="00714BDC" w:rsidRDefault="00622F24" w:rsidP="00622F24">
      <w:pPr>
        <w:spacing w:after="0" w:line="240" w:lineRule="auto"/>
        <w:contextualSpacing/>
        <w:jc w:val="both"/>
        <w:rPr>
          <w:rFonts w:cs="Arial"/>
          <w:bCs/>
        </w:rPr>
      </w:pPr>
      <w:r w:rsidRPr="00714BDC">
        <w:rPr>
          <w:rFonts w:cs="Arial"/>
          <w:bCs/>
        </w:rPr>
        <w:t>En cuanto al seguimiento al plan se hizo solicitud oficial a las entidades de avances con corte a junio 30 de 2016. De las 139 actividades programadas para 2016 (sobre las cuales se solicitó reporte de avances), se cuenta con el reporte de 100 actividades, lo que corresponde a un 71,9%. Es de resaltar que este Plan es dinámico en la medida en que cada año se revisan las actividades concertadas y se incluyen nuevas acciones con agentes del SNBF.</w:t>
      </w:r>
    </w:p>
    <w:p w:rsidR="00622F24" w:rsidRPr="00714BDC" w:rsidRDefault="00622F24" w:rsidP="00622F24">
      <w:pPr>
        <w:pStyle w:val="Prrafodelista"/>
        <w:spacing w:after="0" w:line="240" w:lineRule="auto"/>
        <w:jc w:val="both"/>
        <w:rPr>
          <w:rFonts w:cs="Arial"/>
          <w:bCs/>
        </w:rPr>
      </w:pPr>
    </w:p>
    <w:p w:rsidR="00622F24" w:rsidRPr="00714BDC" w:rsidRDefault="00622F24" w:rsidP="00622F24">
      <w:pPr>
        <w:kinsoku w:val="0"/>
        <w:overflowPunct w:val="0"/>
        <w:spacing w:after="0" w:line="240" w:lineRule="auto"/>
        <w:contextualSpacing/>
        <w:jc w:val="both"/>
        <w:textAlignment w:val="baseline"/>
        <w:rPr>
          <w:rFonts w:cs="Arial"/>
          <w:bCs/>
        </w:rPr>
      </w:pPr>
      <w:r w:rsidRPr="00714BDC">
        <w:rPr>
          <w:rFonts w:cs="Arial"/>
          <w:b/>
          <w:bCs/>
        </w:rPr>
        <w:t>Herramienta de planes de acción del SNBF territorial</w:t>
      </w:r>
      <w:r w:rsidRPr="00714BDC">
        <w:rPr>
          <w:rFonts w:cs="Arial"/>
          <w:bCs/>
        </w:rPr>
        <w:t xml:space="preserve">: considerando la importancia de continuar el desarrollo de los componentes del SNBF, en 2016 se ejecutó un convenio con UNICEF y la Fundación Save The Children en Colombia </w:t>
      </w:r>
      <w:r w:rsidRPr="00714BDC">
        <w:rPr>
          <w:rFonts w:cs="Arial"/>
        </w:rPr>
        <w:t>cuyo objeto fue “Aunar esfuerzos técnicos, administrativos, humano</w:t>
      </w:r>
      <w:r w:rsidRPr="00714BDC">
        <w:rPr>
          <w:rFonts w:cs="Arial"/>
          <w:bCs/>
        </w:rPr>
        <w:t xml:space="preserve"> </w:t>
      </w:r>
      <w:r w:rsidRPr="00714BDC">
        <w:rPr>
          <w:rFonts w:cs="Arial"/>
        </w:rPr>
        <w:t>y financieros con el fin de fortalecer la capacidad de gestión de los agentes del Sistema Nacional de Bienestar Familiar en el territorio nacional, e incidir en la inclusión oportuna y efectiva de la promoción, prevención y protección de los derechos de los niños, niñas y adolescentes y del fortalecimiento familiar en los planes territoriales de desarrollo”. Dicho convenio contó con tres líneas de acción:</w:t>
      </w:r>
    </w:p>
    <w:p w:rsidR="00622F24" w:rsidRPr="00714BDC" w:rsidRDefault="00622F24" w:rsidP="00622F24">
      <w:pPr>
        <w:pStyle w:val="Prrafodelista"/>
        <w:kinsoku w:val="0"/>
        <w:overflowPunct w:val="0"/>
        <w:spacing w:after="0" w:line="240" w:lineRule="auto"/>
        <w:ind w:left="720"/>
        <w:contextualSpacing/>
        <w:jc w:val="both"/>
        <w:textAlignment w:val="baseline"/>
        <w:rPr>
          <w:rFonts w:cs="Arial"/>
        </w:rPr>
      </w:pPr>
    </w:p>
    <w:p w:rsidR="00622F24" w:rsidRPr="00714BDC" w:rsidRDefault="00622F24" w:rsidP="00D712DC">
      <w:pPr>
        <w:pStyle w:val="Prrafodelista"/>
        <w:numPr>
          <w:ilvl w:val="0"/>
          <w:numId w:val="121"/>
        </w:numPr>
        <w:kinsoku w:val="0"/>
        <w:overflowPunct w:val="0"/>
        <w:spacing w:after="0" w:line="240" w:lineRule="auto"/>
        <w:contextualSpacing/>
        <w:jc w:val="both"/>
        <w:textAlignment w:val="baseline"/>
        <w:rPr>
          <w:rFonts w:cs="Arial"/>
        </w:rPr>
      </w:pPr>
      <w:r w:rsidRPr="00714BDC">
        <w:rPr>
          <w:rFonts w:cs="Arial"/>
        </w:rPr>
        <w:t>Planeación, seguimiento y evaluación que concentra sus acciones en desarrollos técnicos y metodológicos sobre indicadores y sistemas de información, y herramientas para la planeación territorial de SNBF</w:t>
      </w:r>
    </w:p>
    <w:p w:rsidR="00622F24" w:rsidRPr="00714BDC" w:rsidRDefault="00622F24" w:rsidP="00D712DC">
      <w:pPr>
        <w:pStyle w:val="Prrafodelista"/>
        <w:numPr>
          <w:ilvl w:val="0"/>
          <w:numId w:val="121"/>
        </w:numPr>
        <w:kinsoku w:val="0"/>
        <w:overflowPunct w:val="0"/>
        <w:spacing w:after="0" w:line="240" w:lineRule="auto"/>
        <w:contextualSpacing/>
        <w:jc w:val="both"/>
        <w:textAlignment w:val="baseline"/>
        <w:rPr>
          <w:rFonts w:cs="Arial"/>
        </w:rPr>
      </w:pPr>
      <w:r w:rsidRPr="00714BDC">
        <w:rPr>
          <w:rFonts w:cs="Arial"/>
        </w:rPr>
        <w:t>Participación que se enfoca en el fortalecimiento de mesas de participación de niños, niñas y adolescentes, y de la sociedad civil en el SNBF</w:t>
      </w:r>
    </w:p>
    <w:p w:rsidR="00622F24" w:rsidRPr="00714BDC" w:rsidRDefault="00622F24" w:rsidP="00D712DC">
      <w:pPr>
        <w:pStyle w:val="Prrafodelista"/>
        <w:numPr>
          <w:ilvl w:val="0"/>
          <w:numId w:val="121"/>
        </w:numPr>
        <w:kinsoku w:val="0"/>
        <w:overflowPunct w:val="0"/>
        <w:spacing w:after="0" w:line="240" w:lineRule="auto"/>
        <w:contextualSpacing/>
        <w:jc w:val="both"/>
        <w:textAlignment w:val="baseline"/>
        <w:rPr>
          <w:rFonts w:cs="Arial"/>
        </w:rPr>
      </w:pPr>
      <w:r w:rsidRPr="00714BDC">
        <w:rPr>
          <w:rFonts w:cs="Arial"/>
        </w:rPr>
        <w:t>Fortalecimiento técnico que contiene acciones dirigidas al acompañamiento técnico para la inclusión de los temas de infancia y adolescencia y su armonización con los planes de grupos étnicos (en territorios focalizados) en los planes territoriales de desarrollo.</w:t>
      </w:r>
    </w:p>
    <w:p w:rsidR="00622F24" w:rsidRPr="00714BDC" w:rsidRDefault="00622F24" w:rsidP="00622F24">
      <w:pPr>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 xml:space="preserve">Particularmente en la línea de planeación seguimiento y evaluación se desarrolló una propuesta de herramienta de planeación del SNBF en el orden territorial. Este producto se adelantó a partir </w:t>
      </w:r>
      <w:r w:rsidRPr="00714BDC">
        <w:rPr>
          <w:rFonts w:cs="Arial"/>
          <w:bCs/>
        </w:rPr>
        <w:lastRenderedPageBreak/>
        <w:t xml:space="preserve">del trabajo con 8 territorios seleccionados que dio como resultado una propuesta unificada para municipios y departamentos en la que se organiza el plan por momento del curso de vida permitiendo consignar las prioridades estratégicas del territorio y concertar actividades para su logro con los agentes e instancias del SNBF. </w:t>
      </w:r>
    </w:p>
    <w:p w:rsidR="00622F24" w:rsidRPr="00714BDC" w:rsidRDefault="00622F24" w:rsidP="00622F24">
      <w:pPr>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También, se diseñó una herramienta de seguimiento y una propuesta de ruta de gestión del plan de acción que incluye los momentos de alistamiento del territorio; mapeo de agentes e instrumentos de política y planeación; construcción y concertación del plan; aprobación; implementación; seguimiento. A partir de esta herramienta se espera mejorar los procesos de planeación y facilitar la articulación del SNBF en territorio.</w:t>
      </w:r>
    </w:p>
    <w:p w:rsidR="00622F24" w:rsidRPr="00714BDC" w:rsidRDefault="00622F24" w:rsidP="00622F24">
      <w:pPr>
        <w:spacing w:after="0" w:line="240" w:lineRule="auto"/>
        <w:jc w:val="both"/>
        <w:rPr>
          <w:rFonts w:cs="Arial"/>
          <w:bCs/>
        </w:rPr>
      </w:pPr>
    </w:p>
    <w:p w:rsidR="00622F24" w:rsidRPr="00714BDC" w:rsidRDefault="00622F24" w:rsidP="00622F24">
      <w:pPr>
        <w:spacing w:after="0" w:line="240" w:lineRule="auto"/>
        <w:contextualSpacing/>
        <w:jc w:val="both"/>
        <w:rPr>
          <w:rFonts w:cs="Arial"/>
          <w:bCs/>
        </w:rPr>
      </w:pPr>
      <w:r w:rsidRPr="00714BDC">
        <w:rPr>
          <w:rFonts w:cs="Arial"/>
          <w:b/>
          <w:bCs/>
        </w:rPr>
        <w:t xml:space="preserve">Mecanismos e instrumentos de articulación sectorial: </w:t>
      </w:r>
      <w:r w:rsidRPr="00714BDC">
        <w:rPr>
          <w:rFonts w:cs="Arial"/>
          <w:bCs/>
        </w:rPr>
        <w:t>durante 2016 se trabajó en la ejecución de 7 convenios, se diseñó una agenda de trabajo y 2 planes de acción concertados entre la Dirección del SNBF y entidades públicas del orden nacional con el propósito de aunar esfuerzos y realizar trabajo conjunto para fortalecer la protección integral de la primera infancia, la infancia y la adolescencia. Entre los avances se tiene la ejecución de los siguientes convenios y planes de acción:</w:t>
      </w:r>
    </w:p>
    <w:p w:rsidR="00622F24" w:rsidRPr="00714BDC" w:rsidRDefault="00622F24" w:rsidP="00622F24">
      <w:pPr>
        <w:spacing w:after="0" w:line="240" w:lineRule="auto"/>
        <w:contextualSpacing/>
        <w:jc w:val="both"/>
        <w:rPr>
          <w:rFonts w:cs="Arial"/>
          <w:b/>
          <w:bCs/>
        </w:rPr>
      </w:pPr>
    </w:p>
    <w:tbl>
      <w:tblPr>
        <w:tblStyle w:val="Tablaconcuadrcula"/>
        <w:tblW w:w="893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2"/>
        <w:gridCol w:w="6379"/>
      </w:tblGrid>
      <w:tr w:rsidR="00622F24" w:rsidRPr="00872A46" w:rsidTr="00ED18A3">
        <w:trPr>
          <w:tblHeader/>
          <w:jc w:val="center"/>
        </w:trPr>
        <w:tc>
          <w:tcPr>
            <w:tcW w:w="2552" w:type="dxa"/>
            <w:shd w:val="clear" w:color="auto" w:fill="76923C" w:themeFill="accent3" w:themeFillShade="BF"/>
            <w:vAlign w:val="center"/>
          </w:tcPr>
          <w:p w:rsidR="00622F24" w:rsidRPr="00ED18A3" w:rsidRDefault="00622F24" w:rsidP="008A2A9F">
            <w:pPr>
              <w:spacing w:after="0" w:line="240" w:lineRule="auto"/>
              <w:jc w:val="center"/>
              <w:rPr>
                <w:rFonts w:cs="Arial"/>
                <w:b/>
                <w:color w:val="FFFFFF" w:themeColor="background1"/>
                <w:sz w:val="16"/>
                <w:szCs w:val="20"/>
                <w:lang w:val="es-MX" w:eastAsia="es-CO"/>
              </w:rPr>
            </w:pPr>
            <w:r w:rsidRPr="00ED18A3">
              <w:rPr>
                <w:rFonts w:cs="Arial"/>
                <w:b/>
                <w:color w:val="FFFFFF" w:themeColor="background1"/>
                <w:sz w:val="16"/>
                <w:szCs w:val="20"/>
                <w:lang w:val="es-MX" w:eastAsia="es-CO"/>
              </w:rPr>
              <w:t>Instrumento de Articulación Sectorial</w:t>
            </w:r>
          </w:p>
        </w:tc>
        <w:tc>
          <w:tcPr>
            <w:tcW w:w="6379" w:type="dxa"/>
            <w:shd w:val="clear" w:color="auto" w:fill="76923C" w:themeFill="accent3" w:themeFillShade="BF"/>
            <w:vAlign w:val="center"/>
          </w:tcPr>
          <w:p w:rsidR="00622F24" w:rsidRPr="00ED18A3" w:rsidRDefault="00622F24" w:rsidP="008A2A9F">
            <w:pPr>
              <w:spacing w:after="0" w:line="240" w:lineRule="auto"/>
              <w:jc w:val="center"/>
              <w:rPr>
                <w:rFonts w:cs="Arial"/>
                <w:b/>
                <w:color w:val="FFFFFF" w:themeColor="background1"/>
                <w:sz w:val="16"/>
                <w:szCs w:val="20"/>
                <w:lang w:val="es-MX" w:eastAsia="es-CO"/>
              </w:rPr>
            </w:pPr>
            <w:r w:rsidRPr="00ED18A3">
              <w:rPr>
                <w:rFonts w:cs="Arial"/>
                <w:b/>
                <w:color w:val="FFFFFF" w:themeColor="background1"/>
                <w:sz w:val="16"/>
                <w:szCs w:val="20"/>
                <w:lang w:val="es-MX" w:eastAsia="es-CO"/>
              </w:rPr>
              <w:t>Principales Resultados</w:t>
            </w:r>
          </w:p>
        </w:tc>
      </w:tr>
      <w:tr w:rsidR="00622F24" w:rsidRPr="00872A46" w:rsidTr="00ED18A3">
        <w:trPr>
          <w:jc w:val="center"/>
        </w:trPr>
        <w:tc>
          <w:tcPr>
            <w:tcW w:w="2552" w:type="dxa"/>
            <w:vAlign w:val="center"/>
          </w:tcPr>
          <w:p w:rsidR="00622F24" w:rsidRPr="00195537" w:rsidRDefault="00622F24" w:rsidP="008A2A9F">
            <w:pPr>
              <w:spacing w:after="0" w:line="240" w:lineRule="auto"/>
              <w:jc w:val="both"/>
              <w:rPr>
                <w:rFonts w:cs="Arial"/>
                <w:sz w:val="16"/>
                <w:szCs w:val="20"/>
                <w:lang w:val="es-MX" w:eastAsia="es-CO"/>
              </w:rPr>
            </w:pPr>
            <w:r w:rsidRPr="00195537">
              <w:rPr>
                <w:rFonts w:eastAsia="Times New Roman" w:cs="Arial"/>
                <w:sz w:val="16"/>
                <w:szCs w:val="20"/>
                <w:lang w:eastAsia="es-CO"/>
              </w:rPr>
              <w:t>Convenio Interadministrativo de Cooperación No. 006 de 2012 y 1597 de 2016 suscrito entre la Registraduría Nacional del Estado Civil y el ICBF</w:t>
            </w:r>
          </w:p>
        </w:tc>
        <w:tc>
          <w:tcPr>
            <w:tcW w:w="6379" w:type="dxa"/>
            <w:vAlign w:val="center"/>
          </w:tcPr>
          <w:p w:rsidR="00622F24" w:rsidRPr="00872A46" w:rsidRDefault="00622F24" w:rsidP="008A2A9F">
            <w:pPr>
              <w:kinsoku w:val="0"/>
              <w:overflowPunct w:val="0"/>
              <w:spacing w:after="0" w:line="240" w:lineRule="auto"/>
              <w:contextualSpacing/>
              <w:jc w:val="both"/>
              <w:textAlignment w:val="baseline"/>
              <w:rPr>
                <w:rFonts w:cs="Arial"/>
                <w:bCs/>
                <w:sz w:val="16"/>
                <w:szCs w:val="20"/>
              </w:rPr>
            </w:pPr>
            <w:r w:rsidRPr="00872A46">
              <w:rPr>
                <w:rFonts w:eastAsia="Times New Roman" w:cs="Arial"/>
                <w:sz w:val="16"/>
                <w:szCs w:val="20"/>
                <w:lang w:eastAsia="es-CO"/>
              </w:rPr>
              <w:t xml:space="preserve">Orientado a garantizar los servicios de identificación documentación y registro de toda la población beneficiaria del ICBF, en el marco del SNBF. Del 15 de enero al 3 de diciembre de 2016 </w:t>
            </w:r>
            <w:r w:rsidRPr="00872A46">
              <w:rPr>
                <w:rFonts w:cs="Arial"/>
                <w:bCs/>
                <w:sz w:val="16"/>
                <w:szCs w:val="20"/>
              </w:rPr>
              <w:t>se han adelantado 47 jornadas gratuitas de documentación, registro e identificación en 31 departamentos, 205 municipios, 1.374 lugares, donde se han identificado 194.508 personas así: Registro Civil de Nacimiento: 13.677, Tarjetas de Identidad: 86.197, Cedulas de Ciudadanía: 94.664. </w:t>
            </w:r>
          </w:p>
        </w:tc>
      </w:tr>
      <w:tr w:rsidR="00622F24" w:rsidRPr="007E1A7A" w:rsidTr="00ED18A3">
        <w:trPr>
          <w:jc w:val="center"/>
        </w:trPr>
        <w:tc>
          <w:tcPr>
            <w:tcW w:w="2552" w:type="dxa"/>
            <w:vAlign w:val="center"/>
          </w:tcPr>
          <w:p w:rsidR="00622F24" w:rsidRPr="00195537" w:rsidRDefault="00622F24" w:rsidP="008A2A9F">
            <w:pPr>
              <w:spacing w:after="0" w:line="240" w:lineRule="auto"/>
              <w:jc w:val="both"/>
              <w:rPr>
                <w:rFonts w:eastAsia="Times New Roman" w:cs="Arial"/>
                <w:sz w:val="16"/>
                <w:szCs w:val="20"/>
                <w:lang w:eastAsia="es-CO"/>
              </w:rPr>
            </w:pPr>
            <w:r w:rsidRPr="00195537">
              <w:rPr>
                <w:rFonts w:cs="Arial"/>
                <w:sz w:val="16"/>
                <w:szCs w:val="20"/>
                <w:lang w:val="es-CO" w:eastAsia="es-ES_tradnl"/>
              </w:rPr>
              <w:t>Contrato No. 414 de 2014, suscrito entre el Instituto Colombiano de Bienestar Familiar y el Instituto Nacional de Medicina Legal y Ciencias Forenses,</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eastAsia="Times New Roman" w:cs="Arial"/>
                <w:sz w:val="16"/>
                <w:szCs w:val="20"/>
                <w:lang w:eastAsia="es-CO"/>
              </w:rPr>
            </w:pPr>
            <w:r w:rsidRPr="007E1A7A">
              <w:rPr>
                <w:rFonts w:cs="Arial"/>
                <w:sz w:val="16"/>
                <w:szCs w:val="20"/>
                <w:lang w:val="es-CO" w:eastAsia="es-ES_tradnl"/>
              </w:rPr>
              <w:t xml:space="preserve">Se atendieron 2.036 casos de pruebas de filiación, se emitieron 1.668 dictámenes, se concretó la participación del INMLCF </w:t>
            </w:r>
            <w:r w:rsidRPr="007E1A7A">
              <w:rPr>
                <w:rFonts w:cs="Arial"/>
                <w:bCs/>
                <w:sz w:val="16"/>
                <w:szCs w:val="20"/>
              </w:rPr>
              <w:t xml:space="preserve">por medio del Grupo Centro de Referencia Nacional sobre Violencia, a todas las sesiones de la Mesa Intersectorial del sistema Único de Información de la Niñez convocadas y cargó la información de los indicadores concertados en el aplicativo dispuesto, y </w:t>
            </w:r>
            <w:r w:rsidRPr="007E1A7A">
              <w:rPr>
                <w:rFonts w:cs="Arial"/>
                <w:sz w:val="16"/>
                <w:szCs w:val="20"/>
              </w:rPr>
              <w:t>e</w:t>
            </w:r>
            <w:r w:rsidRPr="007E1A7A">
              <w:rPr>
                <w:rFonts w:cs="Arial"/>
                <w:bCs/>
                <w:sz w:val="16"/>
                <w:szCs w:val="20"/>
              </w:rPr>
              <w:t xml:space="preserve">ntregó al ICBF estadísticas, con enfoque diferencial, desagregadas por municipio, rango de edad, sexo y discapacidad de 2005 - 2014 e histórico, </w:t>
            </w:r>
            <w:r w:rsidRPr="007E1A7A">
              <w:rPr>
                <w:rFonts w:cs="Arial"/>
                <w:sz w:val="16"/>
                <w:szCs w:val="20"/>
                <w:lang w:val="es-CO" w:eastAsia="es-ES_tradnl"/>
              </w:rPr>
              <w:t xml:space="preserve">para </w:t>
            </w:r>
            <w:r w:rsidRPr="007E1A7A">
              <w:rPr>
                <w:rFonts w:cs="Arial"/>
                <w:sz w:val="16"/>
                <w:szCs w:val="20"/>
              </w:rPr>
              <w:t xml:space="preserve">analizar los fenómenos de violencia interpersonal, violencia intrafamiliar, lesiones no fatales por accidentes de tránsito, homicidio, </w:t>
            </w:r>
            <w:r w:rsidRPr="007E1A7A">
              <w:rPr>
                <w:rFonts w:cs="Arial"/>
                <w:bCs/>
                <w:sz w:val="16"/>
                <w:szCs w:val="20"/>
              </w:rPr>
              <w:t>suicidio</w:t>
            </w:r>
            <w:r w:rsidRPr="007E1A7A">
              <w:rPr>
                <w:rFonts w:cs="Arial"/>
                <w:sz w:val="16"/>
                <w:szCs w:val="20"/>
              </w:rPr>
              <w:t xml:space="preserve"> y exámenes médico legales por presunto delito sexual de menores de edad. El convenio se liquidó el 6 de abril de 2016</w:t>
            </w:r>
          </w:p>
        </w:tc>
      </w:tr>
      <w:tr w:rsidR="00622F24" w:rsidRPr="007E1A7A" w:rsidTr="00ED18A3">
        <w:trPr>
          <w:jc w:val="center"/>
        </w:trPr>
        <w:tc>
          <w:tcPr>
            <w:tcW w:w="2552" w:type="dxa"/>
            <w:vAlign w:val="center"/>
          </w:tcPr>
          <w:p w:rsidR="00622F24" w:rsidRPr="00195537" w:rsidRDefault="00622F24" w:rsidP="008A2A9F">
            <w:pPr>
              <w:spacing w:after="0" w:line="240" w:lineRule="auto"/>
              <w:jc w:val="both"/>
              <w:rPr>
                <w:rFonts w:cs="Arial"/>
                <w:sz w:val="16"/>
                <w:szCs w:val="20"/>
                <w:lang w:val="es-MX" w:eastAsia="es-CO"/>
              </w:rPr>
            </w:pPr>
            <w:r w:rsidRPr="00195537">
              <w:rPr>
                <w:rFonts w:cs="Arial"/>
                <w:sz w:val="16"/>
                <w:szCs w:val="20"/>
              </w:rPr>
              <w:t xml:space="preserve">Contrato No. 1112 de 2015, </w:t>
            </w:r>
            <w:r w:rsidRPr="00195537">
              <w:rPr>
                <w:rFonts w:cs="Arial"/>
                <w:sz w:val="16"/>
                <w:szCs w:val="20"/>
                <w:lang w:val="es-CO" w:eastAsia="es-ES_tradnl"/>
              </w:rPr>
              <w:t>suscrito entre el Instituto Colombiano de Bienestar Familiar y el Instituto Nacional de Medicina Legal y Ciencias Forenses</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bCs/>
                <w:sz w:val="16"/>
                <w:szCs w:val="20"/>
              </w:rPr>
            </w:pPr>
            <w:r w:rsidRPr="007E1A7A">
              <w:rPr>
                <w:rFonts w:cs="Arial"/>
                <w:sz w:val="16"/>
                <w:szCs w:val="20"/>
              </w:rPr>
              <w:t>D</w:t>
            </w:r>
            <w:r w:rsidRPr="007E1A7A">
              <w:rPr>
                <w:rFonts w:cs="Arial"/>
                <w:bCs/>
                <w:sz w:val="16"/>
                <w:szCs w:val="20"/>
              </w:rPr>
              <w:t>urante el Proceso de Rendición de Cuentas, el INMLCF reportó en el aplicativo SUIN los indicadores solicitados en la Mesa SUIN, envió al ICBF información estadística solicitada por el Observatorio para el Bienestar da la Niñez de la Dirección de Planeación y Control de Gestión, relacionada con "exámenes médico legales por presunto delito sexual para la construcción de la nueva infografía de 2015" y de "niños, niñas y adolescentes muertos por causas externas (homicidios, suicidios, muertes accidentales de transporte, otras muertes accidentales y muertes violentas indeterminadas) de 2014". Éste último con el fin de construir los indicadores del Índice de Niñez, actualizado a 2014.</w:t>
            </w:r>
            <w:r w:rsidRPr="007E1A7A">
              <w:rPr>
                <w:rFonts w:cs="Arial"/>
                <w:sz w:val="16"/>
                <w:szCs w:val="20"/>
              </w:rPr>
              <w:t xml:space="preserve"> El convenio se liquidó el 29 de agosto de 2016. </w:t>
            </w:r>
          </w:p>
        </w:tc>
      </w:tr>
      <w:tr w:rsidR="00622F24" w:rsidRPr="007E1A7A" w:rsidTr="00ED18A3">
        <w:trPr>
          <w:jc w:val="center"/>
        </w:trPr>
        <w:tc>
          <w:tcPr>
            <w:tcW w:w="2552" w:type="dxa"/>
            <w:vAlign w:val="center"/>
          </w:tcPr>
          <w:p w:rsidR="00622F24" w:rsidRPr="00195537" w:rsidRDefault="00622F24" w:rsidP="008A2A9F">
            <w:pPr>
              <w:spacing w:after="0" w:line="240" w:lineRule="auto"/>
              <w:jc w:val="both"/>
              <w:rPr>
                <w:rFonts w:cs="Arial"/>
                <w:sz w:val="16"/>
                <w:szCs w:val="20"/>
                <w:lang w:val="es-MX" w:eastAsia="es-CO"/>
              </w:rPr>
            </w:pPr>
            <w:r w:rsidRPr="00195537">
              <w:rPr>
                <w:rFonts w:cs="Arial"/>
                <w:sz w:val="16"/>
                <w:szCs w:val="20"/>
              </w:rPr>
              <w:t>Convenio Interadministrativo 1057/021 suscrito en enero de 2014 entre el Servicio Educativo Nacional – SENA y el ICBF</w:t>
            </w:r>
          </w:p>
        </w:tc>
        <w:tc>
          <w:tcPr>
            <w:tcW w:w="6379" w:type="dxa"/>
            <w:vAlign w:val="center"/>
          </w:tcPr>
          <w:p w:rsidR="00622F24" w:rsidRPr="007E1A7A" w:rsidRDefault="00622F24" w:rsidP="008A2A9F">
            <w:p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cs="Arial"/>
                <w:sz w:val="16"/>
                <w:szCs w:val="20"/>
              </w:rPr>
              <w:t>Por el cual se han reportado un total de 36.256 cupos de formación asignados para población beneficiaria del ICBF en 2015 y 8.150 en el primer trimestre de 2016. Además, se suscribió un acuerdo de acceso preferente con la Dirección de Protección del ICBF para garantizar un 7% de la oferta titulada a esta población, y en el primer semestre de 2016 se realizó un taller en Bogotá y otro en Medellín, dirigido a los jóvenes del Sistema de Responsabilidad Penal para Adolescentes con el objetivo motivarlos para que se inscriban a la formación técnica, tecnológica y formación para el trabajo y el desarrollo humano ofertada por el SENA. Con el fin de fortalecer en el territorio, las acciones establecidas en el marco del Convenio, se realizó en el mes de noviembre de 2016 el Encuentro Nacional de Enlaces a cargo del ICBF y el SENA, con presencia de 70 participantes entre enlaces regionales y representantes de las dos instituciones del ámbito nacional.</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lastRenderedPageBreak/>
              <w:t>Convenio Interadministrativo No.1404 ICBF – UARIV. Prórroga No. 1 (2015 – 2016)</w:t>
            </w:r>
          </w:p>
        </w:tc>
        <w:tc>
          <w:tcPr>
            <w:tcW w:w="6379" w:type="dxa"/>
            <w:vAlign w:val="center"/>
          </w:tcPr>
          <w:p w:rsidR="00622F24" w:rsidRPr="007E1A7A" w:rsidRDefault="00622F24" w:rsidP="008A2A9F">
            <w:p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cs="Arial"/>
                <w:sz w:val="16"/>
                <w:szCs w:val="20"/>
              </w:rPr>
              <w:t xml:space="preserve">La Dirección del SNBF ha contribuido con: </w:t>
            </w:r>
          </w:p>
          <w:p w:rsidR="00622F24" w:rsidRPr="007E1A7A" w:rsidRDefault="00622F24" w:rsidP="00D712DC">
            <w:pPr>
              <w:pStyle w:val="gmail-msonormal"/>
              <w:numPr>
                <w:ilvl w:val="0"/>
                <w:numId w:val="133"/>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 xml:space="preserve">La actualización de bases de datos relacionadas con niños, niñas y adolescentes desvinculados, en el Registro Único de Víctimas. </w:t>
            </w:r>
          </w:p>
          <w:p w:rsidR="00622F24" w:rsidRPr="007E1A7A" w:rsidRDefault="00622F24" w:rsidP="00D712DC">
            <w:pPr>
              <w:pStyle w:val="gmail-msonormal"/>
              <w:numPr>
                <w:ilvl w:val="0"/>
                <w:numId w:val="133"/>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La entrega del Programa de Alimentos en Transición para Hogares Desplazados a la UARIV.</w:t>
            </w:r>
          </w:p>
          <w:p w:rsidR="00622F24" w:rsidRPr="007E1A7A" w:rsidRDefault="00622F24" w:rsidP="00D712DC">
            <w:pPr>
              <w:pStyle w:val="gmail-msonormal"/>
              <w:numPr>
                <w:ilvl w:val="0"/>
                <w:numId w:val="133"/>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La aprobación, validación e implementación de la Ruta de Atención, Asistencia y Reparación Integral para niños, niñas adolescentes y jóvenes, en el Subcomité de Rehabilitación y por el Ministerio de Salud y la Unidad de Víctimas.</w:t>
            </w:r>
          </w:p>
          <w:p w:rsidR="00622F24" w:rsidRPr="007E1A7A" w:rsidRDefault="00622F24" w:rsidP="00D712DC">
            <w:pPr>
              <w:pStyle w:val="gmail-msonormal"/>
              <w:numPr>
                <w:ilvl w:val="0"/>
                <w:numId w:val="133"/>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Los procesos de coordinación para el acompañamiento psicosocial en la mitigación de los daños que los niños, niñas, adolescentes y jóvenes víctimas puedan presentar como consecuencia de los hechos de violencia</w:t>
            </w:r>
          </w:p>
          <w:p w:rsidR="00622F24" w:rsidRPr="007E1A7A" w:rsidRDefault="00622F24" w:rsidP="00D712DC">
            <w:pPr>
              <w:pStyle w:val="gmail-msonormal"/>
              <w:numPr>
                <w:ilvl w:val="0"/>
                <w:numId w:val="133"/>
              </w:numPr>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Se realizó el taller para fortalecer la articulación entre el Sistema Nacional de Bienestar Familiar - SNBF- y el Sistema Nacional de Atención y Reparación Integral a Las Víctimas - SNARIV- a través de las instancias de coordinación en el orden nacional y local.</w:t>
            </w:r>
          </w:p>
          <w:p w:rsidR="00622F24" w:rsidRPr="007E1A7A" w:rsidRDefault="00622F24" w:rsidP="008A2A9F">
            <w:pPr>
              <w:pStyle w:val="gmail-msonormal"/>
              <w:spacing w:before="0" w:beforeAutospacing="0" w:after="0" w:afterAutospacing="0"/>
              <w:ind w:left="360"/>
              <w:jc w:val="both"/>
              <w:textAlignment w:val="baseline"/>
              <w:rPr>
                <w:rFonts w:ascii="Arial" w:hAnsi="Arial" w:cs="Arial"/>
                <w:sz w:val="16"/>
                <w:szCs w:val="20"/>
              </w:rPr>
            </w:pPr>
          </w:p>
          <w:p w:rsidR="00622F24" w:rsidRPr="007E1A7A" w:rsidRDefault="00622F24" w:rsidP="008A2A9F">
            <w:pPr>
              <w:pStyle w:val="gmail-msonormal"/>
              <w:spacing w:before="0" w:beforeAutospacing="0" w:after="0" w:afterAutospacing="0"/>
              <w:jc w:val="both"/>
              <w:textAlignment w:val="baseline"/>
              <w:rPr>
                <w:rFonts w:ascii="Arial" w:hAnsi="Arial" w:cs="Arial"/>
                <w:sz w:val="16"/>
                <w:szCs w:val="20"/>
              </w:rPr>
            </w:pPr>
            <w:r w:rsidRPr="007E1A7A">
              <w:rPr>
                <w:rFonts w:ascii="Arial" w:hAnsi="Arial" w:cs="Arial"/>
                <w:sz w:val="16"/>
                <w:szCs w:val="20"/>
              </w:rPr>
              <w:t>Acciones conjuntas en materia de oferta institucional entre estos sistemas para el acceso y efectividad en los servicios que requieren las víctimas del conflicto a nivel individual y colectivo. </w:t>
            </w:r>
          </w:p>
          <w:p w:rsidR="00622F24" w:rsidRPr="007E1A7A" w:rsidRDefault="00622F24" w:rsidP="00D712DC">
            <w:pPr>
              <w:pStyle w:val="Prrafodelista"/>
              <w:numPr>
                <w:ilvl w:val="0"/>
                <w:numId w:val="134"/>
              </w:numPr>
              <w:kinsoku w:val="0"/>
              <w:overflowPunct w:val="0"/>
              <w:autoSpaceDE w:val="0"/>
              <w:autoSpaceDN w:val="0"/>
              <w:adjustRightInd w:val="0"/>
              <w:spacing w:after="0" w:line="240" w:lineRule="auto"/>
              <w:contextualSpacing/>
              <w:jc w:val="both"/>
              <w:textAlignment w:val="baseline"/>
              <w:rPr>
                <w:rFonts w:eastAsia="MS PGothic" w:cs="Arial"/>
                <w:kern w:val="24"/>
                <w:sz w:val="16"/>
                <w:szCs w:val="20"/>
                <w:lang w:val="es-CO" w:eastAsia="es-CO"/>
              </w:rPr>
            </w:pPr>
            <w:r w:rsidRPr="007E1A7A">
              <w:rPr>
                <w:rFonts w:eastAsia="Times New Roman" w:cs="Arial"/>
                <w:kern w:val="24"/>
                <w:sz w:val="16"/>
                <w:szCs w:val="20"/>
                <w:lang w:val="es-CO" w:eastAsia="es-CO"/>
              </w:rPr>
              <w:t>Pr</w:t>
            </w:r>
            <w:r w:rsidRPr="007E1A7A">
              <w:rPr>
                <w:rFonts w:eastAsia="MS PGothic" w:cs="Arial"/>
                <w:kern w:val="24"/>
                <w:sz w:val="16"/>
                <w:szCs w:val="20"/>
                <w:lang w:val="es-CO" w:eastAsia="es-CO"/>
              </w:rPr>
              <w:t>ocesos de coordinación para el acompañamiento psicosocial en la mitigación de los daños que los niños, niñas, adolescentes y jóvenes víctimas puedan presentar como consecuencia de los hechos de violencia.</w:t>
            </w:r>
          </w:p>
          <w:p w:rsidR="00622F24" w:rsidRPr="007E1A7A" w:rsidRDefault="00622F24" w:rsidP="00D712DC">
            <w:pPr>
              <w:pStyle w:val="Prrafodelista"/>
              <w:numPr>
                <w:ilvl w:val="0"/>
                <w:numId w:val="134"/>
              </w:numPr>
              <w:kinsoku w:val="0"/>
              <w:overflowPunct w:val="0"/>
              <w:autoSpaceDE w:val="0"/>
              <w:autoSpaceDN w:val="0"/>
              <w:adjustRightInd w:val="0"/>
              <w:spacing w:after="0" w:line="240" w:lineRule="auto"/>
              <w:contextualSpacing/>
              <w:jc w:val="both"/>
              <w:textAlignment w:val="baseline"/>
              <w:rPr>
                <w:rFonts w:eastAsia="MS PGothic" w:cs="Arial"/>
                <w:kern w:val="24"/>
                <w:sz w:val="16"/>
                <w:szCs w:val="20"/>
                <w:lang w:val="es-CO" w:eastAsia="es-CO"/>
              </w:rPr>
            </w:pPr>
            <w:r w:rsidRPr="007E1A7A">
              <w:rPr>
                <w:rFonts w:eastAsia="MS PGothic" w:cs="Arial"/>
                <w:kern w:val="24"/>
                <w:sz w:val="16"/>
                <w:szCs w:val="20"/>
                <w:lang w:val="es-CO" w:eastAsia="es-CO"/>
              </w:rPr>
              <w:t>Realización de un taller para fortalecer la articulación entre el Sistema Nacional de Bienestar Familiar - SNBF- y el Sistema Nacional de Atención y Reparación Integral a Las Víctimas - SNARIV- a través de las instancias de coordinación en el orden nacional y local.</w:t>
            </w:r>
          </w:p>
          <w:p w:rsidR="00622F24" w:rsidRPr="007E1A7A" w:rsidRDefault="00622F24" w:rsidP="00D712DC">
            <w:pPr>
              <w:pStyle w:val="Prrafodelista"/>
              <w:numPr>
                <w:ilvl w:val="0"/>
                <w:numId w:val="134"/>
              </w:numPr>
              <w:kinsoku w:val="0"/>
              <w:overflowPunct w:val="0"/>
              <w:autoSpaceDE w:val="0"/>
              <w:autoSpaceDN w:val="0"/>
              <w:adjustRightInd w:val="0"/>
              <w:spacing w:after="0" w:line="240" w:lineRule="auto"/>
              <w:contextualSpacing/>
              <w:jc w:val="both"/>
              <w:textAlignment w:val="baseline"/>
              <w:rPr>
                <w:rFonts w:cs="Arial"/>
                <w:sz w:val="16"/>
                <w:szCs w:val="20"/>
              </w:rPr>
            </w:pPr>
            <w:r w:rsidRPr="007E1A7A">
              <w:rPr>
                <w:rFonts w:eastAsia="MS PGothic" w:cs="Arial"/>
                <w:kern w:val="24"/>
                <w:sz w:val="16"/>
                <w:szCs w:val="20"/>
                <w:lang w:val="es-CO" w:eastAsia="es-CO"/>
              </w:rPr>
              <w:t xml:space="preserve">Acciones conjuntas en materia de oferta institucional entre los dos sistemas para el acceso y efectividad en los servicios que requieren las víctimas del conflicto a nivel individual y colectivo. </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t>Convenio 1246 de 2012, suscrito entre el ICBF y la Policía Nacional</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sz w:val="16"/>
                <w:szCs w:val="20"/>
              </w:rPr>
            </w:pPr>
            <w:r w:rsidRPr="007E1A7A">
              <w:rPr>
                <w:rFonts w:cs="Arial"/>
                <w:sz w:val="16"/>
                <w:szCs w:val="20"/>
              </w:rPr>
              <w:t>Por medio de este convenio se ha trabajado en fortalecer la seguridad para las instituciones de medidas privativas de la libertad y se adelantaron dos Diplomados en Derechos de Infancia, Adolescencia, Juventud y Familia donde se capacitaron más de 100 Oficiales y Suboficiales de la Policía Nacional.</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t>Convenio de Aporte No. 1105 de 2015 suscrito entre el ICBF y la Fundación para el Trabajo, Desarrollo y Progreso de las Comunidades – MANÁ</w:t>
            </w:r>
            <w:r w:rsidRPr="007E1A7A">
              <w:rPr>
                <w:rFonts w:cs="Arial"/>
                <w:sz w:val="16"/>
                <w:szCs w:val="20"/>
              </w:rPr>
              <w:t>,</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sz w:val="16"/>
                <w:szCs w:val="20"/>
              </w:rPr>
            </w:pPr>
            <w:r w:rsidRPr="007E1A7A">
              <w:rPr>
                <w:rFonts w:cs="Arial"/>
                <w:sz w:val="16"/>
                <w:szCs w:val="20"/>
              </w:rPr>
              <w:t>Con el objetivo de identificar y caracterizar las familias del departamento de las zonas rurales de los municipios de Uribía, Manaure y Maco para desarrollar de forma articulada y con enfoque diferencial las políticas, programas y servicios de atención a la población más vulnerable, se realizó la microfocalización 1.401 rancherías, 20.460 viviendas, 78.696 personas, de las cuales 15.087 niños y niñas menores de 5 años, 28.479 niños, niñas y adolescentes entre 5 y 17 años, 1.524 mujeres gestantes y 4.738 madres en periodo de lactancia. Actualmente se encuentra en proceso de liquidación.</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t>Plan de Acción ICBF – Ministerio de Salud y Protección Social</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sz w:val="16"/>
                <w:szCs w:val="20"/>
              </w:rPr>
            </w:pPr>
            <w:r w:rsidRPr="007E1A7A">
              <w:rPr>
                <w:rFonts w:cs="Arial"/>
                <w:sz w:val="16"/>
                <w:szCs w:val="20"/>
              </w:rPr>
              <w:t xml:space="preserve">Procura la garantía del Derecho a la Salud de todos los niños, niñas y adolescentes a través de una acción conjunta con el sector salud; en 2016 ha centrado las acciones en los procesos que permitan la atención preferente para los niños, niñas y adolescentes en protección y del SRPA y en lograr la implementación efectiva del modelo de Atención Integral en Salud y las rutas integrales de atención en salud con preferencia en los niños, niñas y adolescentes. </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t xml:space="preserve">Plan de acción intersectorial </w:t>
            </w:r>
            <w:r w:rsidRPr="007E1A7A">
              <w:rPr>
                <w:rFonts w:cs="Arial"/>
                <w:b/>
                <w:iCs/>
                <w:sz w:val="16"/>
                <w:szCs w:val="20"/>
              </w:rPr>
              <w:t>2016-2018 de la Política de Estado para el Desarrollo Integral de la Primera infancia De Cero a Siempre (Ley 1804 de 2016)</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sz w:val="16"/>
                <w:szCs w:val="20"/>
              </w:rPr>
            </w:pPr>
            <w:r w:rsidRPr="007E1A7A">
              <w:rPr>
                <w:rFonts w:cs="Arial"/>
                <w:iCs/>
                <w:sz w:val="16"/>
                <w:szCs w:val="20"/>
              </w:rPr>
              <w:t xml:space="preserve">Tiene como objetivo definir las actividades, productos y resultados que se espera obtener al final del presente gobierno en relación con la garantía del desarrollo integral de la primera infancia según lo definido por la Política. </w:t>
            </w:r>
          </w:p>
        </w:tc>
      </w:tr>
      <w:tr w:rsidR="00622F24" w:rsidRPr="007E1A7A" w:rsidTr="00ED18A3">
        <w:trPr>
          <w:jc w:val="center"/>
        </w:trPr>
        <w:tc>
          <w:tcPr>
            <w:tcW w:w="2552" w:type="dxa"/>
            <w:vAlign w:val="center"/>
          </w:tcPr>
          <w:p w:rsidR="00622F24" w:rsidRPr="007E1A7A" w:rsidRDefault="00622F24" w:rsidP="008A2A9F">
            <w:pPr>
              <w:spacing w:after="0" w:line="240" w:lineRule="auto"/>
              <w:jc w:val="both"/>
              <w:rPr>
                <w:rFonts w:cs="Arial"/>
                <w:b/>
                <w:sz w:val="16"/>
                <w:szCs w:val="20"/>
              </w:rPr>
            </w:pPr>
            <w:r w:rsidRPr="007E1A7A">
              <w:rPr>
                <w:rFonts w:cs="Arial"/>
                <w:b/>
                <w:sz w:val="16"/>
                <w:szCs w:val="20"/>
              </w:rPr>
              <w:t>Agenda de trabajo ICBF –</w:t>
            </w:r>
            <w:r w:rsidRPr="007E1A7A">
              <w:rPr>
                <w:rFonts w:cs="Arial"/>
                <w:iCs/>
                <w:sz w:val="16"/>
                <w:szCs w:val="20"/>
              </w:rPr>
              <w:t xml:space="preserve"> </w:t>
            </w:r>
            <w:r w:rsidRPr="007E1A7A">
              <w:rPr>
                <w:rFonts w:cs="Arial"/>
                <w:b/>
                <w:iCs/>
                <w:sz w:val="16"/>
                <w:szCs w:val="20"/>
              </w:rPr>
              <w:t>Prosperidad Social</w:t>
            </w:r>
          </w:p>
        </w:tc>
        <w:tc>
          <w:tcPr>
            <w:tcW w:w="6379" w:type="dxa"/>
            <w:vAlign w:val="center"/>
          </w:tcPr>
          <w:p w:rsidR="00622F24" w:rsidRPr="007E1A7A" w:rsidRDefault="00622F24" w:rsidP="008A2A9F">
            <w:pPr>
              <w:kinsoku w:val="0"/>
              <w:overflowPunct w:val="0"/>
              <w:spacing w:after="0" w:line="240" w:lineRule="auto"/>
              <w:contextualSpacing/>
              <w:jc w:val="both"/>
              <w:textAlignment w:val="baseline"/>
              <w:rPr>
                <w:rFonts w:cs="Arial"/>
                <w:iCs/>
                <w:sz w:val="16"/>
                <w:szCs w:val="20"/>
              </w:rPr>
            </w:pPr>
            <w:r w:rsidRPr="007E1A7A">
              <w:rPr>
                <w:rFonts w:cs="Arial"/>
                <w:sz w:val="16"/>
                <w:szCs w:val="20"/>
                <w:lang w:eastAsia="es-CO"/>
              </w:rPr>
              <w:t xml:space="preserve">Tiene como propósito articular la focalización a través de la oferta de las dos entidades y fortalecer el trabajo conjunto en los diferentes ámbitos e instancias en el marco del SNBF en temas relacionados con la garantía de derechos y la atención a grupos vulnerables. </w:t>
            </w:r>
          </w:p>
        </w:tc>
      </w:tr>
    </w:tbl>
    <w:p w:rsidR="00622F24" w:rsidRDefault="00F7316B" w:rsidP="00622F24">
      <w:pPr>
        <w:spacing w:after="0" w:line="240" w:lineRule="auto"/>
        <w:jc w:val="both"/>
        <w:rPr>
          <w:rFonts w:cs="Arial"/>
          <w:sz w:val="16"/>
          <w:szCs w:val="20"/>
          <w:lang w:val="es-MX" w:eastAsia="es-CO"/>
        </w:rPr>
      </w:pPr>
      <w:r>
        <w:rPr>
          <w:rFonts w:cs="Arial"/>
          <w:sz w:val="16"/>
          <w:szCs w:val="20"/>
          <w:lang w:val="es-MX" w:eastAsia="es-CO"/>
        </w:rPr>
        <w:t>Fuente: SNBF</w:t>
      </w:r>
    </w:p>
    <w:p w:rsidR="00F7316B" w:rsidRDefault="00F7316B" w:rsidP="00622F24">
      <w:pPr>
        <w:spacing w:after="0" w:line="240" w:lineRule="auto"/>
        <w:jc w:val="both"/>
        <w:rPr>
          <w:rFonts w:cs="Arial"/>
          <w:sz w:val="16"/>
          <w:szCs w:val="20"/>
          <w:lang w:val="es-MX" w:eastAsia="es-CO"/>
        </w:rPr>
      </w:pPr>
    </w:p>
    <w:p w:rsidR="00F7316B" w:rsidRPr="00F7316B" w:rsidRDefault="00F7316B" w:rsidP="00622F24">
      <w:pPr>
        <w:spacing w:after="0" w:line="240" w:lineRule="auto"/>
        <w:jc w:val="both"/>
        <w:rPr>
          <w:rFonts w:cs="Arial"/>
          <w:sz w:val="16"/>
          <w:szCs w:val="20"/>
          <w:lang w:val="es-MX" w:eastAsia="es-CO"/>
        </w:rPr>
      </w:pPr>
    </w:p>
    <w:p w:rsidR="00622F24" w:rsidRPr="00714BDC" w:rsidRDefault="00622F24" w:rsidP="00622F24">
      <w:pPr>
        <w:spacing w:after="0" w:line="240" w:lineRule="auto"/>
        <w:jc w:val="both"/>
        <w:rPr>
          <w:rFonts w:cs="Arial"/>
        </w:rPr>
      </w:pPr>
      <w:r w:rsidRPr="00714BDC">
        <w:rPr>
          <w:rFonts w:cs="Arial"/>
        </w:rPr>
        <w:lastRenderedPageBreak/>
        <w:t xml:space="preserve">Además, la Dirección del SNBF articuló acciones con el DANE, la Superintendencia de Notariado y Registro, el Ministerio de Educación Nacional, Coldeportes, el Ministerio de Cultura, el Ministerio de Trabajo, la Consejería de Derechos Humanos, la Superintendencia del Subsidio Familiar y Colciencias. </w:t>
      </w:r>
    </w:p>
    <w:p w:rsidR="00622F24" w:rsidRPr="00714BDC" w:rsidRDefault="00622F24" w:rsidP="00622F24">
      <w:pPr>
        <w:spacing w:after="0" w:line="240" w:lineRule="auto"/>
        <w:ind w:left="360"/>
        <w:jc w:val="both"/>
        <w:rPr>
          <w:rFonts w:cs="Arial"/>
          <w:lang w:eastAsia="es-CO"/>
        </w:rPr>
      </w:pPr>
    </w:p>
    <w:p w:rsidR="00622F24" w:rsidRPr="00714BDC" w:rsidRDefault="00622F24" w:rsidP="00622F24">
      <w:pPr>
        <w:kinsoku w:val="0"/>
        <w:overflowPunct w:val="0"/>
        <w:spacing w:after="0" w:line="240" w:lineRule="auto"/>
        <w:contextualSpacing/>
        <w:jc w:val="both"/>
        <w:textAlignment w:val="baseline"/>
        <w:rPr>
          <w:rFonts w:cs="Arial"/>
          <w:bCs/>
        </w:rPr>
      </w:pPr>
      <w:r w:rsidRPr="00714BDC">
        <w:rPr>
          <w:rFonts w:cs="Arial"/>
          <w:b/>
          <w:bCs/>
        </w:rPr>
        <w:t>Sistema de Seguimiento a la Garantía de Derechos de la Niñez – SUIN.</w:t>
      </w:r>
      <w:r w:rsidRPr="00714BDC">
        <w:rPr>
          <w:rFonts w:cs="Arial"/>
          <w:bCs/>
        </w:rPr>
        <w:t xml:space="preserve"> Este sistema se constituye en la herramienta oficial para toma de decisiones de política pública de infancia y adolescencia, presenta los indicadores que dan cuenta de la garantía de los derechos de los niños, niñas y adolescentes; cuenta con una plataforma tecnológica a través del sitio web </w:t>
      </w:r>
      <w:hyperlink r:id="rId36" w:history="1">
        <w:r w:rsidRPr="00714BDC">
          <w:rPr>
            <w:rFonts w:cs="Arial"/>
            <w:bCs/>
          </w:rPr>
          <w:t>www.suin-snbf.gov.co/suin</w:t>
        </w:r>
      </w:hyperlink>
      <w:r w:rsidRPr="00714BDC">
        <w:rPr>
          <w:rFonts w:cs="Arial"/>
          <w:bCs/>
        </w:rPr>
        <w:t xml:space="preserve"> donde se pueden consultar estos indicadores de acuerdo con el reporte que realizan las entidades fuentes de información.</w:t>
      </w:r>
    </w:p>
    <w:p w:rsidR="00622F24" w:rsidRPr="00714BDC" w:rsidRDefault="00622F24" w:rsidP="00622F24">
      <w:pPr>
        <w:autoSpaceDE w:val="0"/>
        <w:autoSpaceDN w:val="0"/>
        <w:adjustRightInd w:val="0"/>
        <w:spacing w:after="0" w:line="240" w:lineRule="auto"/>
        <w:jc w:val="both"/>
        <w:rPr>
          <w:rFonts w:cs="Arial"/>
          <w:bCs/>
        </w:rPr>
      </w:pPr>
    </w:p>
    <w:p w:rsidR="00622F24" w:rsidRPr="00714BDC" w:rsidRDefault="00622F24" w:rsidP="00622F24">
      <w:pPr>
        <w:autoSpaceDE w:val="0"/>
        <w:autoSpaceDN w:val="0"/>
        <w:adjustRightInd w:val="0"/>
        <w:spacing w:after="0" w:line="240" w:lineRule="auto"/>
        <w:jc w:val="both"/>
        <w:rPr>
          <w:rFonts w:cs="Arial"/>
          <w:bCs/>
        </w:rPr>
      </w:pPr>
      <w:r w:rsidRPr="00714BDC">
        <w:rPr>
          <w:rFonts w:cs="Arial"/>
          <w:bCs/>
        </w:rPr>
        <w:t>Tiene como alcance, evaluar la situación de vida de la niñez, verificar el grado de cumplimiento de los acuerdos nacionales e internacionales, comparar la situación de vida de diferentes grupos de niños, niñas y adolescentes, visibilizar a los niños, niñas y adolescentes como sujetos de derechos y brindar información para ejercicios de veeduría, rendición pública de cuentas e incentivar investigaciones evaluativas, generar conocimiento y cultura estadística para la toma de decisiones de política pública.</w:t>
      </w:r>
    </w:p>
    <w:p w:rsidR="00622F24" w:rsidRPr="00714BDC" w:rsidRDefault="00622F24" w:rsidP="00622F24">
      <w:pPr>
        <w:autoSpaceDE w:val="0"/>
        <w:autoSpaceDN w:val="0"/>
        <w:adjustRightInd w:val="0"/>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En 2016, entre las orientaciones metodológicas para definir las acciones para la Primera Infancia, la infancia, la adolescencia y fortalecimiento familiar en los Planes de Desarrollo 2016-2019 y para garantizar que el diagnóstico corresponde a la situación real de la entidad territorial, se capacit</w:t>
      </w:r>
      <w:r w:rsidR="00D62C15">
        <w:rPr>
          <w:rFonts w:cs="Arial"/>
          <w:bCs/>
        </w:rPr>
        <w:t>ó a los equipos de gobierno de Alcaldías, G</w:t>
      </w:r>
      <w:r w:rsidRPr="00714BDC">
        <w:rPr>
          <w:rFonts w:cs="Arial"/>
          <w:bCs/>
        </w:rPr>
        <w:t>obernaciones y referentes del SNBF, sobre el uso y utilidad de este aplicativo en los diferentes talleres territoriales liderados desde la Dirección del SNBF.</w:t>
      </w:r>
    </w:p>
    <w:p w:rsidR="00622F24" w:rsidRPr="00714BDC" w:rsidRDefault="00622F24" w:rsidP="00622F24">
      <w:pPr>
        <w:pStyle w:val="Prrafodelista"/>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 xml:space="preserve">Se trabajó con la Dirección de Tecnología los casos de uso para poner en funcionamiento en el primer semestre de 2017 una segunda versión del aplicativo que permita la posibilidad de mejorar las búsquedas de los indicadores, comparación de dos indicadores, tablas de información más completas y contenidos administrables. </w:t>
      </w:r>
    </w:p>
    <w:p w:rsidR="00622F24" w:rsidRPr="00714BDC" w:rsidRDefault="00622F24" w:rsidP="00622F24">
      <w:pPr>
        <w:pStyle w:val="Prrafodelista"/>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En cuanto los indicadores concertados de participación se lograron reportes en el SUIN por parte de Organizaciones Solidarias y se está en proceso con Colciencias y Ministerio de Salud. En cuanto al indicador propuesto en este tema por parte del Ministerio de Educación es necesario nuevamente su revisión por ajustes en las pruebas SABER.</w:t>
      </w:r>
    </w:p>
    <w:p w:rsidR="00622F24" w:rsidRPr="00714BDC" w:rsidRDefault="00622F24" w:rsidP="00622F24">
      <w:pPr>
        <w:pStyle w:val="Prrafodelista"/>
        <w:spacing w:after="0" w:line="240" w:lineRule="auto"/>
        <w:ind w:left="1080"/>
        <w:jc w:val="both"/>
        <w:rPr>
          <w:rFonts w:cs="Arial"/>
          <w:bCs/>
        </w:rPr>
      </w:pPr>
    </w:p>
    <w:p w:rsidR="00622F24" w:rsidRPr="00714BDC" w:rsidRDefault="00622F24" w:rsidP="00622F24">
      <w:pPr>
        <w:spacing w:after="0" w:line="240" w:lineRule="auto"/>
        <w:jc w:val="both"/>
        <w:rPr>
          <w:rFonts w:cs="Arial"/>
          <w:bCs/>
        </w:rPr>
      </w:pPr>
      <w:r w:rsidRPr="00714BDC">
        <w:rPr>
          <w:rFonts w:cs="Arial"/>
          <w:bCs/>
        </w:rPr>
        <w:t xml:space="preserve">Se ha realizado una revisión del Módulo de Información Territorial para seguimiento a la garantía de derechos, con el fin de que en 2017 se inicie un pilotaje con entidades territoriales sobre la pertinencia de la estructura de seguimiento planteada y la periodicidad del mismo. Es de anotar, que adicionalmente, al módulo de información territorial para seguimiento a los procesos de gestión de los Consejos de Política Social ya se le realizaron ajustes, se elaboraron 3 casos de uso con la Dirección de Información y Tecnología para tener la versión 2 del mismo. </w:t>
      </w:r>
    </w:p>
    <w:p w:rsidR="00622F24" w:rsidRPr="00714BDC" w:rsidRDefault="00622F24" w:rsidP="00622F24">
      <w:pPr>
        <w:pStyle w:val="Prrafodelista"/>
        <w:spacing w:after="0" w:line="240" w:lineRule="auto"/>
        <w:jc w:val="both"/>
        <w:rPr>
          <w:rFonts w:cs="Arial"/>
          <w:bCs/>
        </w:rPr>
      </w:pPr>
    </w:p>
    <w:p w:rsidR="00622F24" w:rsidRDefault="00622F24" w:rsidP="00622F24">
      <w:pPr>
        <w:spacing w:after="0" w:line="240" w:lineRule="auto"/>
        <w:jc w:val="both"/>
        <w:rPr>
          <w:rFonts w:cs="Arial"/>
          <w:bCs/>
        </w:rPr>
      </w:pPr>
      <w:r w:rsidRPr="00714BDC">
        <w:rPr>
          <w:rFonts w:cs="Arial"/>
          <w:bCs/>
        </w:rPr>
        <w:t>Se encuentra en proceso la diagramación e impresión de la Revista SUI</w:t>
      </w:r>
      <w:r w:rsidR="00ED18A3">
        <w:rPr>
          <w:rFonts w:cs="Arial"/>
          <w:bCs/>
        </w:rPr>
        <w:t>N con los siguientes artículos:</w:t>
      </w:r>
    </w:p>
    <w:p w:rsidR="00ED18A3" w:rsidRPr="00714BDC" w:rsidRDefault="00ED18A3" w:rsidP="00622F24">
      <w:pPr>
        <w:spacing w:after="0" w:line="240" w:lineRule="auto"/>
        <w:jc w:val="both"/>
        <w:rPr>
          <w:rFonts w:cs="Arial"/>
          <w:bCs/>
        </w:rPr>
      </w:pPr>
    </w:p>
    <w:p w:rsidR="00622F24" w:rsidRPr="00714BDC" w:rsidRDefault="00622F24" w:rsidP="004146E3">
      <w:pPr>
        <w:pStyle w:val="Prrafodelista"/>
        <w:numPr>
          <w:ilvl w:val="0"/>
          <w:numId w:val="37"/>
        </w:numPr>
        <w:spacing w:after="0" w:line="240" w:lineRule="auto"/>
        <w:contextualSpacing/>
        <w:jc w:val="both"/>
        <w:rPr>
          <w:rFonts w:cs="Arial"/>
          <w:bCs/>
        </w:rPr>
      </w:pPr>
      <w:r w:rsidRPr="00714BDC">
        <w:rPr>
          <w:rFonts w:cs="Arial"/>
          <w:bCs/>
        </w:rPr>
        <w:lastRenderedPageBreak/>
        <w:t>El sector salud en la concepción y gestión de la atención</w:t>
      </w:r>
      <w:r w:rsidR="00ED18A3">
        <w:rPr>
          <w:rFonts w:cs="Arial"/>
          <w:bCs/>
        </w:rPr>
        <w:t xml:space="preserve"> integral a la primera infancia.</w:t>
      </w:r>
    </w:p>
    <w:p w:rsidR="00622F24" w:rsidRPr="00714BDC" w:rsidRDefault="00622F24" w:rsidP="004146E3">
      <w:pPr>
        <w:pStyle w:val="Prrafodelista"/>
        <w:numPr>
          <w:ilvl w:val="0"/>
          <w:numId w:val="37"/>
        </w:numPr>
        <w:spacing w:after="0" w:line="240" w:lineRule="auto"/>
        <w:contextualSpacing/>
        <w:jc w:val="both"/>
        <w:rPr>
          <w:rFonts w:cs="Arial"/>
          <w:bCs/>
        </w:rPr>
      </w:pPr>
      <w:r w:rsidRPr="00714BDC">
        <w:rPr>
          <w:rFonts w:cs="Arial"/>
          <w:bCs/>
        </w:rPr>
        <w:t>La Policía Nacional en el Sistema de Responsabilidad Penal para Adolescentes</w:t>
      </w:r>
      <w:r w:rsidR="00ED18A3">
        <w:rPr>
          <w:rFonts w:cs="Arial"/>
          <w:bCs/>
        </w:rPr>
        <w:t>.</w:t>
      </w:r>
    </w:p>
    <w:p w:rsidR="00622F24" w:rsidRPr="00714BDC" w:rsidRDefault="00622F24" w:rsidP="004146E3">
      <w:pPr>
        <w:pStyle w:val="Prrafodelista"/>
        <w:numPr>
          <w:ilvl w:val="0"/>
          <w:numId w:val="37"/>
        </w:numPr>
        <w:spacing w:after="0" w:line="240" w:lineRule="auto"/>
        <w:contextualSpacing/>
        <w:jc w:val="both"/>
        <w:rPr>
          <w:rFonts w:cs="Arial"/>
          <w:bCs/>
        </w:rPr>
      </w:pPr>
      <w:r w:rsidRPr="00714BDC">
        <w:rPr>
          <w:rFonts w:cs="Arial"/>
          <w:bCs/>
        </w:rPr>
        <w:t>Una aproximación metodológica a la medición del Gasto Público en Niñez en las entidades territoriales</w:t>
      </w:r>
      <w:r w:rsidR="00ED18A3">
        <w:rPr>
          <w:rFonts w:cs="Arial"/>
          <w:bCs/>
        </w:rPr>
        <w:t>.</w:t>
      </w:r>
    </w:p>
    <w:p w:rsidR="00622F24" w:rsidRPr="00714BDC" w:rsidRDefault="00622F24" w:rsidP="004146E3">
      <w:pPr>
        <w:pStyle w:val="Prrafodelista"/>
        <w:numPr>
          <w:ilvl w:val="0"/>
          <w:numId w:val="37"/>
        </w:numPr>
        <w:spacing w:after="0" w:line="240" w:lineRule="auto"/>
        <w:contextualSpacing/>
        <w:jc w:val="both"/>
        <w:rPr>
          <w:rFonts w:cs="Arial"/>
          <w:bCs/>
        </w:rPr>
      </w:pPr>
      <w:r w:rsidRPr="00714BDC">
        <w:rPr>
          <w:rFonts w:cs="Arial"/>
          <w:bCs/>
        </w:rPr>
        <w:t>Infografía: Datos estadísticos Censo sobre el Pueblo Rom en Colombia</w:t>
      </w:r>
      <w:r w:rsidR="00ED18A3">
        <w:rPr>
          <w:rFonts w:cs="Arial"/>
          <w:bCs/>
        </w:rPr>
        <w:t>.</w:t>
      </w:r>
    </w:p>
    <w:p w:rsidR="00D22908" w:rsidRDefault="00D22908" w:rsidP="00622F24">
      <w:pPr>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 xml:space="preserve">Se está trabajando, conjuntamente con el Observatorio de la Niñez del ICBF y UNICEF en la elaboración de una propuesta técnica y metodológica para la adaptación del índice para el manejo de riesgo - InfoRM (Index for Risk Management) para la prevención, preparación, respuesta y recuperación temprana frente a desastres naturales, crisis humanitarias y otras formas de riesgo contra niños, niñas y adolescentes. Durante el último trimestre de 2016 se revisaron los indicadores en las dimensiones de Amenaza, Vulnerabilidad y Capacidad, proponiendo algunos que se estén monitoreando en el SUIN o que puedan ser suministrados por fuentes oficiales nacionales; para el próximo semestre de 2017 se espera contar con un primer cálculo de este índice. </w:t>
      </w:r>
    </w:p>
    <w:p w:rsidR="00622F24" w:rsidRPr="00714BDC" w:rsidRDefault="00622F24" w:rsidP="00622F24">
      <w:pPr>
        <w:spacing w:after="0" w:line="240" w:lineRule="auto"/>
        <w:jc w:val="both"/>
        <w:rPr>
          <w:rFonts w:cs="Arial"/>
          <w:bCs/>
        </w:rPr>
      </w:pPr>
    </w:p>
    <w:p w:rsidR="00622F24" w:rsidRPr="00714BDC" w:rsidRDefault="00622F24" w:rsidP="00622F24">
      <w:pPr>
        <w:spacing w:after="0" w:line="240" w:lineRule="auto"/>
        <w:jc w:val="both"/>
        <w:rPr>
          <w:rFonts w:cs="Arial"/>
          <w:bCs/>
        </w:rPr>
      </w:pPr>
      <w:r w:rsidRPr="00714BDC">
        <w:rPr>
          <w:rFonts w:cs="Arial"/>
          <w:bCs/>
        </w:rPr>
        <w:t>Mediante el Convenio suscrito entre ICBF – UNICEF y Save The Children se realizó una propuesta de organización temática de la información contenida en SUIN y SINFONIA, esta organización temática se podrá ajustar en la versión 2.0 del SUIN.</w:t>
      </w:r>
    </w:p>
    <w:p w:rsidR="00622F24" w:rsidRPr="00714BDC" w:rsidRDefault="00622F24" w:rsidP="00D22908">
      <w:pPr>
        <w:rPr>
          <w:lang w:val="es-CO"/>
        </w:rPr>
      </w:pPr>
    </w:p>
    <w:p w:rsidR="00622F24" w:rsidRPr="00714BDC" w:rsidRDefault="00622F24" w:rsidP="00D22908">
      <w:pPr>
        <w:ind w:firstLine="708"/>
        <w:rPr>
          <w:b/>
        </w:rPr>
      </w:pPr>
      <w:r w:rsidRPr="00714BDC">
        <w:rPr>
          <w:b/>
        </w:rPr>
        <w:t>Componente de Normatividad y Políticas Públicas</w:t>
      </w:r>
    </w:p>
    <w:p w:rsidR="00622F24" w:rsidRPr="00714BDC" w:rsidRDefault="00622F24" w:rsidP="00622F24">
      <w:pPr>
        <w:spacing w:after="0" w:line="240" w:lineRule="auto"/>
        <w:jc w:val="both"/>
        <w:rPr>
          <w:rFonts w:cs="Arial"/>
          <w:iCs/>
          <w:lang w:val="es-MX"/>
        </w:rPr>
      </w:pPr>
      <w:r w:rsidRPr="00714BDC">
        <w:rPr>
          <w:rFonts w:cs="Arial"/>
          <w:iCs/>
          <w:lang w:val="es-MX"/>
        </w:rPr>
        <w:t>Es el conjunto de procesos que involucran la formulación, la implementación, el seguimiento y la evaluación de políticas públicas de infancia, adolescencia y fortalecimiento familiar, así como los procesos normativos relacionados con la protección integral de niñas, niños y adolescentes.</w:t>
      </w:r>
    </w:p>
    <w:p w:rsidR="00622F24" w:rsidRPr="00714BDC" w:rsidRDefault="00622F24" w:rsidP="00D22908"/>
    <w:p w:rsidR="00622F24" w:rsidRPr="00714BDC" w:rsidRDefault="00622F24" w:rsidP="00D22908">
      <w:pPr>
        <w:ind w:left="708"/>
        <w:jc w:val="both"/>
        <w:rPr>
          <w:b/>
        </w:rPr>
      </w:pPr>
      <w:r w:rsidRPr="00714BDC">
        <w:rPr>
          <w:b/>
        </w:rPr>
        <w:t>Incidencia en la inclusión de la primera infancia, infancia y adolescencia en los planes de desarrollo territoriales</w:t>
      </w:r>
    </w:p>
    <w:p w:rsidR="00622F24" w:rsidRPr="00714BDC" w:rsidRDefault="00622F24" w:rsidP="00D712DC">
      <w:pPr>
        <w:pStyle w:val="Prrafodelista"/>
        <w:numPr>
          <w:ilvl w:val="0"/>
          <w:numId w:val="126"/>
        </w:numPr>
        <w:autoSpaceDE w:val="0"/>
        <w:autoSpaceDN w:val="0"/>
        <w:adjustRightInd w:val="0"/>
        <w:spacing w:after="0" w:line="240" w:lineRule="auto"/>
        <w:contextualSpacing/>
        <w:jc w:val="both"/>
        <w:rPr>
          <w:rFonts w:cs="Arial"/>
          <w:b/>
          <w:iCs/>
        </w:rPr>
      </w:pPr>
      <w:r w:rsidRPr="00714BDC">
        <w:rPr>
          <w:rFonts w:cs="Arial"/>
          <w:b/>
          <w:iCs/>
        </w:rPr>
        <w:t>Lineamientos para Planes de Desarrollo</w:t>
      </w:r>
    </w:p>
    <w:p w:rsidR="00622F24" w:rsidRPr="00714BDC" w:rsidRDefault="00622F24" w:rsidP="00622F24">
      <w:pPr>
        <w:autoSpaceDE w:val="0"/>
        <w:autoSpaceDN w:val="0"/>
        <w:adjustRightInd w:val="0"/>
        <w:spacing w:after="0" w:line="240" w:lineRule="auto"/>
        <w:jc w:val="both"/>
        <w:rPr>
          <w:rFonts w:cs="Arial"/>
          <w:iCs/>
        </w:rPr>
      </w:pPr>
    </w:p>
    <w:p w:rsidR="00622F24" w:rsidRPr="00714BDC" w:rsidRDefault="00622F24" w:rsidP="00622F24">
      <w:pPr>
        <w:autoSpaceDE w:val="0"/>
        <w:autoSpaceDN w:val="0"/>
        <w:adjustRightInd w:val="0"/>
        <w:spacing w:after="0" w:line="240" w:lineRule="auto"/>
        <w:jc w:val="both"/>
        <w:rPr>
          <w:rFonts w:cs="Arial"/>
          <w:iCs/>
        </w:rPr>
      </w:pPr>
      <w:r w:rsidRPr="00714BDC">
        <w:rPr>
          <w:rFonts w:cs="Arial"/>
          <w:iCs/>
        </w:rPr>
        <w:t xml:space="preserve">En el marco de la agenda de trabajo establecida por el Comité Ejecutivo del SNBF se incluyó la elaboración de los lineamientos para planes de desarrollo territoriales en los relacionado con primera infancia, infancia y adolescencia. En ese sentido, se conformó un grupo técnico de la Dirección del SNBF, en el que participan las entidades que conforman el Comité, UNICEF, PNUD y UNFPA y el cual desarrolló los contenidos del capítulo de marco de política y marco de gestión, así como, la elaboración del anexo sobre prioridades y mensajes estratégicos de las políticas públicas nacionales que abordan la población de 0 a 18 años. En sesión ordinaria de enero de 2016 del Comité Ejecutivo del SNBF se aprobó el documento de “Lineamiento para la inclusión de la Primera Infancia, Infancia y Adolescencia en el Planes de desarrollo Territorial”. </w:t>
      </w:r>
    </w:p>
    <w:p w:rsidR="00622F24" w:rsidRDefault="00622F24" w:rsidP="00622F24">
      <w:pPr>
        <w:autoSpaceDE w:val="0"/>
        <w:autoSpaceDN w:val="0"/>
        <w:adjustRightInd w:val="0"/>
        <w:spacing w:after="0" w:line="240" w:lineRule="auto"/>
        <w:jc w:val="both"/>
        <w:rPr>
          <w:rFonts w:cs="Arial"/>
          <w:b/>
          <w:highlight w:val="green"/>
        </w:rPr>
      </w:pPr>
    </w:p>
    <w:p w:rsidR="00F7316B" w:rsidRDefault="00F7316B" w:rsidP="00622F24">
      <w:pPr>
        <w:autoSpaceDE w:val="0"/>
        <w:autoSpaceDN w:val="0"/>
        <w:adjustRightInd w:val="0"/>
        <w:spacing w:after="0" w:line="240" w:lineRule="auto"/>
        <w:jc w:val="both"/>
        <w:rPr>
          <w:rFonts w:cs="Arial"/>
          <w:b/>
          <w:highlight w:val="green"/>
        </w:rPr>
      </w:pPr>
    </w:p>
    <w:p w:rsidR="00F7316B" w:rsidRDefault="00F7316B" w:rsidP="00622F24">
      <w:pPr>
        <w:autoSpaceDE w:val="0"/>
        <w:autoSpaceDN w:val="0"/>
        <w:adjustRightInd w:val="0"/>
        <w:spacing w:after="0" w:line="240" w:lineRule="auto"/>
        <w:jc w:val="both"/>
        <w:rPr>
          <w:rFonts w:cs="Arial"/>
          <w:b/>
          <w:highlight w:val="green"/>
        </w:rPr>
      </w:pPr>
    </w:p>
    <w:p w:rsidR="00F7316B" w:rsidRDefault="00F7316B" w:rsidP="00622F24">
      <w:pPr>
        <w:autoSpaceDE w:val="0"/>
        <w:autoSpaceDN w:val="0"/>
        <w:adjustRightInd w:val="0"/>
        <w:spacing w:after="0" w:line="240" w:lineRule="auto"/>
        <w:jc w:val="both"/>
        <w:rPr>
          <w:rFonts w:cs="Arial"/>
          <w:b/>
          <w:highlight w:val="green"/>
        </w:rPr>
      </w:pPr>
    </w:p>
    <w:p w:rsidR="00622F24" w:rsidRPr="00714BDC" w:rsidRDefault="00622F24" w:rsidP="00D712DC">
      <w:pPr>
        <w:pStyle w:val="Prrafodelista"/>
        <w:numPr>
          <w:ilvl w:val="0"/>
          <w:numId w:val="125"/>
        </w:numPr>
        <w:autoSpaceDE w:val="0"/>
        <w:autoSpaceDN w:val="0"/>
        <w:adjustRightInd w:val="0"/>
        <w:spacing w:after="0" w:line="240" w:lineRule="auto"/>
        <w:contextualSpacing/>
        <w:jc w:val="both"/>
        <w:rPr>
          <w:rFonts w:cs="Arial"/>
          <w:b/>
          <w:iCs/>
        </w:rPr>
      </w:pPr>
      <w:r w:rsidRPr="00714BDC">
        <w:rPr>
          <w:rFonts w:cs="Arial"/>
          <w:b/>
          <w:iCs/>
        </w:rPr>
        <w:lastRenderedPageBreak/>
        <w:t>Incidencia con entidades territoriales</w:t>
      </w:r>
    </w:p>
    <w:p w:rsidR="00622F24" w:rsidRPr="00714BDC" w:rsidRDefault="00622F24" w:rsidP="00622F24">
      <w:pPr>
        <w:pStyle w:val="Prrafodelista"/>
        <w:spacing w:after="0" w:line="240" w:lineRule="auto"/>
        <w:jc w:val="both"/>
        <w:rPr>
          <w:rFonts w:cs="Arial"/>
          <w:b/>
        </w:rPr>
      </w:pPr>
    </w:p>
    <w:p w:rsidR="00622F24" w:rsidRPr="00714BDC" w:rsidRDefault="00622F24" w:rsidP="00622F24">
      <w:pPr>
        <w:spacing w:after="0" w:line="240" w:lineRule="auto"/>
        <w:jc w:val="both"/>
        <w:rPr>
          <w:rFonts w:cs="Arial"/>
        </w:rPr>
      </w:pPr>
      <w:r w:rsidRPr="00714BDC">
        <w:rPr>
          <w:rFonts w:cs="Arial"/>
        </w:rPr>
        <w:t xml:space="preserve">Con el fin de socializar los instrumentos elaborados en el marco de la incidencia en los Planes de Desarrollo Territorial, como actividad inicial, se realizó un taller de formación a Secretarios de Planeación y Asuntos Sociales de los 32 departamentos. </w:t>
      </w:r>
    </w:p>
    <w:p w:rsidR="00622F24" w:rsidRPr="00714BDC" w:rsidRDefault="00622F24" w:rsidP="00622F24">
      <w:pPr>
        <w:spacing w:after="0" w:line="240" w:lineRule="auto"/>
        <w:jc w:val="both"/>
        <w:rPr>
          <w:rFonts w:cs="Arial"/>
          <w:highlight w:val="green"/>
        </w:rPr>
      </w:pPr>
    </w:p>
    <w:p w:rsidR="00622F24" w:rsidRPr="00714BDC" w:rsidRDefault="00622F24" w:rsidP="00622F24">
      <w:pPr>
        <w:spacing w:after="0" w:line="240" w:lineRule="auto"/>
        <w:jc w:val="both"/>
        <w:rPr>
          <w:rFonts w:cs="Arial"/>
        </w:rPr>
      </w:pPr>
      <w:r w:rsidRPr="00714BDC">
        <w:rPr>
          <w:rFonts w:cs="Arial"/>
        </w:rPr>
        <w:t xml:space="preserve">Por otro lado, se construyó la metodología desarrollada en el Taller de Formador de Formadores, cuyo propósito era el de socializar los lineamientos de inclusión de los temas de primera infancia, infancia y adolescencia en los planes de desarrollo. Dicho taller se desarrolló del 10 al 12 de febrero de 2016, y se capacitaron a 150 asesores para la incidencia territorial (referentes del SNBF y gestores territoriales Convenio 1614 de 2015). </w:t>
      </w:r>
    </w:p>
    <w:p w:rsidR="00622F24" w:rsidRPr="00714BDC" w:rsidRDefault="00622F24" w:rsidP="00622F24">
      <w:pPr>
        <w:spacing w:after="0" w:line="240" w:lineRule="auto"/>
        <w:jc w:val="both"/>
        <w:rPr>
          <w:rFonts w:cs="Arial"/>
          <w:highlight w:val="green"/>
        </w:rPr>
      </w:pPr>
    </w:p>
    <w:p w:rsidR="00622F24" w:rsidRPr="00714BDC" w:rsidRDefault="00622F24" w:rsidP="00622F24">
      <w:pPr>
        <w:spacing w:after="0" w:line="240" w:lineRule="auto"/>
        <w:jc w:val="both"/>
        <w:rPr>
          <w:rFonts w:cs="Arial"/>
          <w:highlight w:val="green"/>
        </w:rPr>
      </w:pPr>
      <w:r w:rsidRPr="00714BDC">
        <w:rPr>
          <w:rFonts w:cs="Arial"/>
        </w:rPr>
        <w:t>Es importante resaltar que se cuenta con 100% de cobertura en el país con acompañamiento técnico para la inclusión de los temas de primera infancia, infancia, adolescencia y fortalecimiento familiar a través de 1102 talleres de socialización a nivel municipal y 32 en el nivel departamental por parte del ICBF. A continuación se detalla la información por departamento y municipio:</w:t>
      </w:r>
    </w:p>
    <w:p w:rsidR="00622F24" w:rsidRPr="00714BDC" w:rsidRDefault="00622F24" w:rsidP="00622F24">
      <w:pPr>
        <w:spacing w:after="0" w:line="240" w:lineRule="auto"/>
        <w:jc w:val="both"/>
        <w:rPr>
          <w:rFonts w:cs="Arial"/>
          <w:b/>
          <w:bCs/>
          <w:lang w:val="es-CO"/>
        </w:rPr>
      </w:pPr>
    </w:p>
    <w:p w:rsidR="00622F24" w:rsidRDefault="00622F24" w:rsidP="004146E3">
      <w:pPr>
        <w:pStyle w:val="Prrafodelista"/>
        <w:numPr>
          <w:ilvl w:val="0"/>
          <w:numId w:val="38"/>
        </w:numPr>
        <w:spacing w:after="0" w:line="240" w:lineRule="auto"/>
        <w:ind w:left="360"/>
        <w:contextualSpacing/>
        <w:jc w:val="both"/>
        <w:rPr>
          <w:rFonts w:cs="Arial"/>
          <w:lang w:val="es-CO"/>
        </w:rPr>
      </w:pPr>
      <w:r w:rsidRPr="00714BDC">
        <w:rPr>
          <w:rFonts w:cs="Arial"/>
          <w:b/>
          <w:bCs/>
          <w:lang w:val="es-CO"/>
        </w:rPr>
        <w:t xml:space="preserve">923 </w:t>
      </w:r>
      <w:r w:rsidRPr="00714BDC">
        <w:rPr>
          <w:rFonts w:cs="Arial"/>
          <w:lang w:val="es-CO"/>
        </w:rPr>
        <w:t xml:space="preserve">Planes de Desarrollo Territoriales recibidos y retroalimentados (incluidos los departamentales), equivalentes al </w:t>
      </w:r>
      <w:r w:rsidRPr="00714BDC">
        <w:rPr>
          <w:rFonts w:cs="Arial"/>
          <w:b/>
          <w:bCs/>
          <w:lang w:val="es-CO"/>
        </w:rPr>
        <w:t xml:space="preserve">83,7% </w:t>
      </w:r>
      <w:r w:rsidR="005263A8">
        <w:rPr>
          <w:rFonts w:cs="Arial"/>
          <w:lang w:val="es-CO"/>
        </w:rPr>
        <w:t>sobre el total.</w:t>
      </w:r>
    </w:p>
    <w:p w:rsidR="005263A8" w:rsidRPr="00714BDC" w:rsidRDefault="005263A8" w:rsidP="004146E3">
      <w:pPr>
        <w:pStyle w:val="Prrafodelista"/>
        <w:spacing w:after="0" w:line="240" w:lineRule="auto"/>
        <w:ind w:left="360"/>
        <w:contextualSpacing/>
        <w:jc w:val="both"/>
        <w:rPr>
          <w:rFonts w:cs="Arial"/>
          <w:lang w:val="es-CO"/>
        </w:rPr>
      </w:pPr>
    </w:p>
    <w:p w:rsidR="00622F24" w:rsidRDefault="00622F24" w:rsidP="004146E3">
      <w:pPr>
        <w:pStyle w:val="Prrafodelista"/>
        <w:numPr>
          <w:ilvl w:val="0"/>
          <w:numId w:val="38"/>
        </w:numPr>
        <w:spacing w:after="0" w:line="240" w:lineRule="auto"/>
        <w:ind w:left="360"/>
        <w:contextualSpacing/>
        <w:jc w:val="both"/>
        <w:rPr>
          <w:rFonts w:cs="Arial"/>
          <w:lang w:val="es-CO"/>
        </w:rPr>
      </w:pPr>
      <w:r w:rsidRPr="00714BDC">
        <w:rPr>
          <w:rFonts w:cs="Arial"/>
          <w:b/>
          <w:bCs/>
          <w:lang w:val="es-CO"/>
        </w:rPr>
        <w:t>539</w:t>
      </w:r>
      <w:r w:rsidRPr="00714BDC">
        <w:rPr>
          <w:rFonts w:cs="Arial"/>
          <w:lang w:val="es-CO"/>
        </w:rPr>
        <w:t xml:space="preserve"> municipios con aplicación del instrumento para la estimación de la inclusión de la niñez en los PDT, equivalentes al </w:t>
      </w:r>
      <w:r w:rsidRPr="00714BDC">
        <w:rPr>
          <w:rFonts w:cs="Arial"/>
          <w:b/>
          <w:bCs/>
          <w:lang w:val="es-CO"/>
        </w:rPr>
        <w:t>47,4%</w:t>
      </w:r>
      <w:r w:rsidRPr="00714BDC">
        <w:rPr>
          <w:rFonts w:cs="Arial"/>
          <w:lang w:val="es-CO"/>
        </w:rPr>
        <w:t xml:space="preserve"> sobre el total.</w:t>
      </w:r>
    </w:p>
    <w:p w:rsidR="005263A8" w:rsidRPr="005263A8" w:rsidRDefault="005263A8" w:rsidP="004146E3">
      <w:pPr>
        <w:spacing w:after="0" w:line="240" w:lineRule="auto"/>
        <w:contextualSpacing/>
        <w:jc w:val="both"/>
        <w:rPr>
          <w:rFonts w:cs="Arial"/>
          <w:lang w:val="es-CO"/>
        </w:rPr>
      </w:pPr>
    </w:p>
    <w:p w:rsidR="00622F24" w:rsidRDefault="00622F24" w:rsidP="004146E3">
      <w:pPr>
        <w:pStyle w:val="Prrafodelista"/>
        <w:numPr>
          <w:ilvl w:val="0"/>
          <w:numId w:val="38"/>
        </w:numPr>
        <w:spacing w:after="0" w:line="240" w:lineRule="auto"/>
        <w:ind w:left="360"/>
        <w:contextualSpacing/>
        <w:jc w:val="both"/>
        <w:rPr>
          <w:rFonts w:cs="Arial"/>
          <w:lang w:val="es-CO"/>
        </w:rPr>
      </w:pPr>
      <w:r w:rsidRPr="00714BDC">
        <w:rPr>
          <w:rFonts w:cs="Arial"/>
          <w:b/>
          <w:bCs/>
          <w:lang w:val="es-CO"/>
        </w:rPr>
        <w:t xml:space="preserve">658 </w:t>
      </w:r>
      <w:r w:rsidRPr="00714BDC">
        <w:rPr>
          <w:rFonts w:cs="Arial"/>
          <w:lang w:val="es-CO"/>
        </w:rPr>
        <w:t xml:space="preserve">Mesas de Infancia, Adolescencia y Familia realizadas (incluida la sesión departamental) para analizar el tema de inclusión de primera infancia, infancia, adolescencia y fortalecimiento familiar en los planes, equivalentes al </w:t>
      </w:r>
      <w:r w:rsidRPr="00714BDC">
        <w:rPr>
          <w:rFonts w:cs="Arial"/>
          <w:b/>
          <w:bCs/>
          <w:lang w:val="es-CO"/>
        </w:rPr>
        <w:t>59,6%</w:t>
      </w:r>
      <w:r w:rsidRPr="00714BDC">
        <w:rPr>
          <w:rFonts w:cs="Arial"/>
          <w:lang w:val="es-CO"/>
        </w:rPr>
        <w:t xml:space="preserve"> del total nacional.</w:t>
      </w:r>
    </w:p>
    <w:p w:rsidR="005263A8" w:rsidRPr="005263A8" w:rsidRDefault="005263A8" w:rsidP="004146E3">
      <w:pPr>
        <w:spacing w:after="0" w:line="240" w:lineRule="auto"/>
        <w:contextualSpacing/>
        <w:jc w:val="both"/>
        <w:rPr>
          <w:rFonts w:cs="Arial"/>
          <w:lang w:val="es-CO"/>
        </w:rPr>
      </w:pPr>
    </w:p>
    <w:p w:rsidR="00622F24" w:rsidRPr="00714BDC" w:rsidRDefault="00622F24" w:rsidP="004146E3">
      <w:pPr>
        <w:pStyle w:val="Prrafodelista"/>
        <w:numPr>
          <w:ilvl w:val="0"/>
          <w:numId w:val="38"/>
        </w:numPr>
        <w:spacing w:after="0" w:line="240" w:lineRule="auto"/>
        <w:ind w:left="360"/>
        <w:contextualSpacing/>
        <w:jc w:val="both"/>
        <w:rPr>
          <w:rFonts w:cs="Arial"/>
        </w:rPr>
      </w:pPr>
      <w:r w:rsidRPr="00714BDC">
        <w:rPr>
          <w:rFonts w:cs="Arial"/>
          <w:b/>
          <w:bCs/>
          <w:lang w:val="es-CO"/>
        </w:rPr>
        <w:t>774</w:t>
      </w:r>
      <w:r w:rsidRPr="00714BDC">
        <w:rPr>
          <w:rFonts w:cs="Arial"/>
          <w:lang w:val="es-CO"/>
        </w:rPr>
        <w:t xml:space="preserve"> entidades territoriales (incluyendo departamentos y municipios) en el primer semestre de 2016 realizaron Consejos de Política Social con el fin de revisar la inclusión de primera infancia, infancia, adolescencia y fortalecimiento familiar en los planes de desarrollo, equivalentes al </w:t>
      </w:r>
      <w:r w:rsidRPr="00714BDC">
        <w:rPr>
          <w:rFonts w:cs="Arial"/>
          <w:b/>
          <w:bCs/>
          <w:lang w:val="es-CO"/>
        </w:rPr>
        <w:t>70,1%</w:t>
      </w:r>
      <w:r w:rsidRPr="00714BDC">
        <w:rPr>
          <w:rFonts w:cs="Arial"/>
          <w:u w:val="single"/>
          <w:lang w:val="es-CO"/>
        </w:rPr>
        <w:t xml:space="preserve"> </w:t>
      </w:r>
      <w:r w:rsidRPr="00714BDC">
        <w:rPr>
          <w:rFonts w:cs="Arial"/>
          <w:lang w:val="es-CO"/>
        </w:rPr>
        <w:t>sobre el total nacional.</w:t>
      </w:r>
    </w:p>
    <w:p w:rsidR="00622F24" w:rsidRPr="00714BDC" w:rsidRDefault="00622F24" w:rsidP="00622F24">
      <w:pPr>
        <w:spacing w:after="0" w:line="240" w:lineRule="auto"/>
        <w:jc w:val="both"/>
        <w:rPr>
          <w:rFonts w:cs="Arial"/>
          <w:bCs/>
          <w:lang w:val="es-CO"/>
        </w:rPr>
      </w:pPr>
    </w:p>
    <w:p w:rsidR="00622F24" w:rsidRPr="00714BDC" w:rsidRDefault="00622F24" w:rsidP="00622F24">
      <w:pPr>
        <w:spacing w:after="0" w:line="240" w:lineRule="auto"/>
        <w:jc w:val="both"/>
        <w:rPr>
          <w:rFonts w:cs="Arial"/>
          <w:bCs/>
        </w:rPr>
      </w:pPr>
      <w:r w:rsidRPr="00714BDC">
        <w:rPr>
          <w:rFonts w:cs="Arial"/>
          <w:bCs/>
        </w:rPr>
        <w:t xml:space="preserve">Se realizó articulación con el Departamento de Prosperidad Social entorno a la incidencia en los planes de desarrollo territorial incluyendo los indicadores relacionados con pobreza extrema, a través de las fichas departamentales, las cuales se incluyeron en el kit de herramientas de los referentes del SNBF y el equipo del Convenio 1614 de 2015. De igual manera divulgó a los equipos de las dos entidades la necesidad de realizar un ejercicio de articulación territorial para que en los planes de desarrollo municipales, distritales y departamentales se incluyeran compromisos con la reducción de los índices de pobreza y la atención a la primera infancia, infancia, adolescencia y fortalecimiento familiar. </w:t>
      </w:r>
    </w:p>
    <w:p w:rsidR="00622F24" w:rsidRPr="00714BDC" w:rsidRDefault="00622F24" w:rsidP="00622F24">
      <w:pPr>
        <w:spacing w:after="0" w:line="240" w:lineRule="auto"/>
        <w:jc w:val="both"/>
        <w:rPr>
          <w:rFonts w:cs="Arial"/>
          <w:bCs/>
          <w:highlight w:val="green"/>
        </w:rPr>
      </w:pPr>
    </w:p>
    <w:p w:rsidR="00622F24" w:rsidRPr="00714BDC" w:rsidRDefault="00622F24" w:rsidP="00622F24">
      <w:pPr>
        <w:spacing w:after="0" w:line="240" w:lineRule="auto"/>
        <w:jc w:val="both"/>
        <w:rPr>
          <w:rFonts w:cs="Arial"/>
          <w:bCs/>
        </w:rPr>
      </w:pPr>
      <w:r w:rsidRPr="00714BDC">
        <w:rPr>
          <w:rFonts w:cs="Arial"/>
          <w:bCs/>
        </w:rPr>
        <w:t xml:space="preserve">Posterior al proceso de diagnóstico se realizaron otras acciones de articulación e incidencia con entidades territoriales: Se realizó la “Estrategia Fortalecida” cuyo objetivo fue acompañar entidades territoriales para desarrollar de manera pertinente los temas de la primera infancia, la infancia, la adolescencia y el fortalecimiento familiar en la formulación de un proyecto conjunto entre administraciones y comunidades étnicas del territorio, por medio de un proceso de </w:t>
      </w:r>
      <w:r w:rsidRPr="00714BDC">
        <w:rPr>
          <w:rFonts w:cs="Arial"/>
          <w:bCs/>
        </w:rPr>
        <w:lastRenderedPageBreak/>
        <w:t>concertación y construcción colectiva y se llegó a acuerdos sobre el planteamiento de objetivos y resultados de los proyectos.</w:t>
      </w:r>
    </w:p>
    <w:p w:rsidR="00622F24" w:rsidRPr="00714BDC" w:rsidRDefault="00622F24" w:rsidP="00622F24">
      <w:pPr>
        <w:spacing w:after="0" w:line="240" w:lineRule="auto"/>
        <w:jc w:val="both"/>
        <w:rPr>
          <w:rFonts w:cs="Arial"/>
          <w:bCs/>
          <w:highlight w:val="green"/>
        </w:rPr>
      </w:pPr>
    </w:p>
    <w:p w:rsidR="00622F24" w:rsidRPr="00714BDC" w:rsidRDefault="00622F24" w:rsidP="00622F24">
      <w:pPr>
        <w:spacing w:after="0" w:line="240" w:lineRule="auto"/>
        <w:jc w:val="both"/>
        <w:rPr>
          <w:rFonts w:cs="Arial"/>
          <w:bCs/>
          <w:lang w:val="es-CO"/>
        </w:rPr>
      </w:pPr>
      <w:r w:rsidRPr="00714BDC">
        <w:rPr>
          <w:rFonts w:cs="Arial"/>
          <w:bCs/>
        </w:rPr>
        <w:t>En relación con la población víctima del conflicto armado, se hizo acompañamiento a la construcción de las herramientas que el Ministerio del Interior utiliza para la construcción de los Planes de Atención Territorial, orientados técnica y metodológicamente para la inclusión del tema de primera infancia, infancia, adolescencia y fortalecimiento familiar. El producto de este trabajo fue una Cartilla Metodológica. Se focalizaron los departamentos de Putumayo, Casanare, Cauca, Chocó, Guaviare, Sucre y Magdalena para apoyar el proceso.</w:t>
      </w:r>
    </w:p>
    <w:p w:rsidR="00622F24" w:rsidRPr="00714BDC" w:rsidRDefault="00622F24" w:rsidP="00622F24">
      <w:pPr>
        <w:spacing w:after="0" w:line="240" w:lineRule="auto"/>
        <w:jc w:val="both"/>
        <w:rPr>
          <w:rFonts w:cs="Arial"/>
          <w:bCs/>
          <w:highlight w:val="green"/>
          <w:lang w:val="es-CO"/>
        </w:rPr>
      </w:pPr>
    </w:p>
    <w:p w:rsidR="00622F24" w:rsidRPr="00714BDC" w:rsidRDefault="00622F24" w:rsidP="00622F24">
      <w:pPr>
        <w:spacing w:after="0" w:line="240" w:lineRule="auto"/>
        <w:jc w:val="both"/>
        <w:rPr>
          <w:rFonts w:cs="Arial"/>
          <w:bCs/>
          <w:lang w:val="es-CO"/>
        </w:rPr>
      </w:pPr>
      <w:r w:rsidRPr="00714BDC">
        <w:rPr>
          <w:rFonts w:cs="Arial"/>
          <w:bCs/>
        </w:rPr>
        <w:t>En el marco del Comité Técnico del Sistema Nacional de Coordinación de Responsabilidad Penal para Adolescentes, se construyó el documento de “</w:t>
      </w:r>
      <w:r w:rsidRPr="00714BDC">
        <w:rPr>
          <w:rFonts w:cs="Arial"/>
          <w:bCs/>
          <w:i/>
        </w:rPr>
        <w:t>Recomendaciones para la Garantía de Derechos de Adolescentes en Conflicto con la Ley Penal, en la Formulación de Planes de Desarrollo de alcaldes y Gobernadores, para el Periodo 2016-2019”</w:t>
      </w:r>
      <w:r w:rsidRPr="00714BDC">
        <w:rPr>
          <w:rFonts w:cs="Arial"/>
          <w:bCs/>
        </w:rPr>
        <w:t xml:space="preserve">, el cual fue firmado por la Directora General del ICBF y el Ministro de Justicia y del Derecho y aprobado por los miembros del Sistema Nacional de Coordinación de Responsabilidad Penal para Adolescentes. El documento fue remitido, socializado y difundido por cada una de las entidades del ámbito nacional a los pares territoriales. </w:t>
      </w:r>
    </w:p>
    <w:p w:rsidR="00F7316B" w:rsidRDefault="00F7316B" w:rsidP="008543E2">
      <w:pPr>
        <w:ind w:left="708"/>
        <w:rPr>
          <w:b/>
          <w:bCs/>
        </w:rPr>
      </w:pPr>
    </w:p>
    <w:p w:rsidR="00622F24" w:rsidRPr="00714BDC" w:rsidRDefault="00622F24" w:rsidP="008543E2">
      <w:pPr>
        <w:ind w:left="708"/>
        <w:rPr>
          <w:b/>
          <w:bCs/>
        </w:rPr>
      </w:pPr>
      <w:r w:rsidRPr="00714BDC">
        <w:rPr>
          <w:b/>
          <w:bCs/>
        </w:rPr>
        <w:t xml:space="preserve">Política de Atención Integral a la Primera Infancia </w:t>
      </w:r>
    </w:p>
    <w:p w:rsidR="00622F24" w:rsidRPr="00714BDC" w:rsidRDefault="00622F24" w:rsidP="00622F24">
      <w:pPr>
        <w:autoSpaceDE w:val="0"/>
        <w:autoSpaceDN w:val="0"/>
        <w:adjustRightInd w:val="0"/>
        <w:spacing w:after="0" w:line="240" w:lineRule="auto"/>
        <w:contextualSpacing/>
        <w:jc w:val="both"/>
        <w:rPr>
          <w:rFonts w:cs="Arial"/>
          <w:iCs/>
          <w:lang w:val="es-MX"/>
        </w:rPr>
      </w:pPr>
      <w:r w:rsidRPr="00714BDC">
        <w:rPr>
          <w:rFonts w:cs="Arial"/>
          <w:iCs/>
        </w:rPr>
        <w:t xml:space="preserve">En el marco de la Articulación del SNBF, se ha venido trabajando en conjunto con la coordinación de la Comisión Intersectorial para la Primera Infancia con el fin de establecer las condiciones institucionales y financieras que hagan posible la sostenibilidad de la Política de Estado para el Desarrollo Integral de la Primera infancia </w:t>
      </w:r>
      <w:r w:rsidRPr="00714BDC">
        <w:rPr>
          <w:rFonts w:cs="Arial"/>
          <w:i/>
          <w:iCs/>
        </w:rPr>
        <w:t>De Cero a Siempre</w:t>
      </w:r>
      <w:r w:rsidRPr="00714BDC">
        <w:rPr>
          <w:rFonts w:cs="Arial"/>
          <w:iCs/>
        </w:rPr>
        <w:t xml:space="preserve"> (Ley 1804 de 2016) en los ámbitos nacional y territorial. En este sentido, se plantean retos puntuales relacionados con el mejoramiento y la articulación de la oferta institucional en los departamentos y los municipios alrededor de las atenciones definidas en la Ruta Integral de Atenciones – RIA - que expresen una intervención más coherente, sincrónica, coordinada y pertinente de los diversos actores gubernamentales y no gubernamentales con competencias, funciones o interés en torno al desarrollo integral en la primera infancia. Para ello el Plan Nacional de Desarrollo 2014 – 2018 “Todos por un Nuevo País”, estableció como meta del cuatrienio acompañar desde el SNBF a 350 entidades territoriales </w:t>
      </w:r>
      <w:r w:rsidRPr="00714BDC">
        <w:rPr>
          <w:rFonts w:cs="Arial"/>
          <w:iCs/>
          <w:lang w:val="es-MX"/>
        </w:rPr>
        <w:t xml:space="preserve">con el fin de que puedan contar con un acompañamiento para la implementación de la ruta integral de atenciones durante el cuatrienio; definiendo esta meta en coordinación entre la Comisión Intersectorial de Primera Infancia – CIPI y el Sistema Nacional de Bienestar Familiar. </w:t>
      </w:r>
    </w:p>
    <w:p w:rsidR="00622F24" w:rsidRPr="00714BDC" w:rsidRDefault="00622F24" w:rsidP="00622F24">
      <w:pPr>
        <w:autoSpaceDE w:val="0"/>
        <w:autoSpaceDN w:val="0"/>
        <w:adjustRightInd w:val="0"/>
        <w:spacing w:after="0" w:line="240" w:lineRule="auto"/>
        <w:contextualSpacing/>
        <w:jc w:val="both"/>
        <w:rPr>
          <w:rFonts w:cs="Arial"/>
          <w:b/>
          <w:iCs/>
        </w:rPr>
      </w:pPr>
    </w:p>
    <w:p w:rsidR="00622F24" w:rsidRPr="00714BDC" w:rsidRDefault="00622F24" w:rsidP="00622F24">
      <w:pPr>
        <w:pStyle w:val="Prrafodelista"/>
        <w:autoSpaceDE w:val="0"/>
        <w:autoSpaceDN w:val="0"/>
        <w:adjustRightInd w:val="0"/>
        <w:spacing w:after="0" w:line="240" w:lineRule="auto"/>
        <w:ind w:left="0"/>
        <w:jc w:val="both"/>
        <w:rPr>
          <w:rFonts w:cs="Arial"/>
          <w:iCs/>
        </w:rPr>
      </w:pPr>
      <w:r w:rsidRPr="00714BDC">
        <w:rPr>
          <w:rFonts w:cs="Arial"/>
          <w:iCs/>
        </w:rPr>
        <w:t>El proceso de gestión territorial implica el fortalecimiento de las capacidades de los agentes del orden nacional y territorial para la apropiación de los Fundamentos de la Política de Atención Integral a la Primera Infancia, así como para animar procesos de planeación, implementación y evaluación de políticas locales dirigidas a la primera infancia en coherencia con los lineamientos de la política del orden nacional.</w:t>
      </w:r>
    </w:p>
    <w:p w:rsidR="00622F24" w:rsidRPr="00714BDC" w:rsidRDefault="00622F24" w:rsidP="00622F24">
      <w:pPr>
        <w:pStyle w:val="Prrafodelista"/>
        <w:autoSpaceDE w:val="0"/>
        <w:autoSpaceDN w:val="0"/>
        <w:adjustRightInd w:val="0"/>
        <w:spacing w:after="0" w:line="240" w:lineRule="auto"/>
        <w:ind w:left="0"/>
        <w:jc w:val="both"/>
        <w:rPr>
          <w:rFonts w:cs="Arial"/>
          <w:iCs/>
        </w:rPr>
      </w:pPr>
    </w:p>
    <w:p w:rsidR="00622F24" w:rsidRPr="00714BDC" w:rsidRDefault="00622F24" w:rsidP="00622F24">
      <w:pPr>
        <w:pStyle w:val="Prrafodelista"/>
        <w:autoSpaceDE w:val="0"/>
        <w:autoSpaceDN w:val="0"/>
        <w:adjustRightInd w:val="0"/>
        <w:spacing w:after="0" w:line="240" w:lineRule="auto"/>
        <w:ind w:left="0"/>
        <w:jc w:val="both"/>
        <w:rPr>
          <w:rFonts w:cs="Arial"/>
          <w:iCs/>
        </w:rPr>
      </w:pPr>
      <w:r w:rsidRPr="00714BDC">
        <w:rPr>
          <w:rFonts w:cs="Arial"/>
          <w:iCs/>
        </w:rPr>
        <w:t xml:space="preserve">En 2016 y bajo el Convenio de Asociación No. 1297 de 2016, se han venido acompañando entidades territoriales, dando continuidad a las apoyadas en 2015, y es de resaltar que en el marco de la asistencia técnica brindada se ha logrado llegar a más entidades territoriales de las </w:t>
      </w:r>
      <w:r w:rsidRPr="00714BDC">
        <w:rPr>
          <w:rFonts w:cs="Arial"/>
          <w:iCs/>
        </w:rPr>
        <w:lastRenderedPageBreak/>
        <w:t>priorizadas para 2016. A 31 de octubre contamos con 263 en su proceso de formulación de RIA. Las acciones desarrolladas en el marco del fortalecimiento a la gestión territorial implican la sensibilización a los actores locales de las Mesas de Infancia, Adolescencia y Familia frente a los Fundamentos Políticos, Técnicos y de Gestión de la Política de Desarrollo Integral a la Primera Infancia, la socialización de las herramientas de planeación, la consolidación del documento de situación de los derechos de niños y niñas de primera infancia, el análisis e identificación de las atenciones establecidas en la RIA, teniendo en cuenta el enfoque diferencial y la priorización de acciones a desarrollar en primera infancia.</w:t>
      </w:r>
    </w:p>
    <w:p w:rsidR="00622F24" w:rsidRPr="00714BDC" w:rsidRDefault="00622F24" w:rsidP="00622F24">
      <w:pPr>
        <w:pStyle w:val="Prrafodelista"/>
        <w:autoSpaceDE w:val="0"/>
        <w:autoSpaceDN w:val="0"/>
        <w:adjustRightInd w:val="0"/>
        <w:spacing w:after="0" w:line="240" w:lineRule="auto"/>
        <w:ind w:left="0"/>
        <w:jc w:val="both"/>
        <w:rPr>
          <w:rFonts w:cs="Arial"/>
          <w:iCs/>
          <w:highlight w:val="green"/>
        </w:rPr>
      </w:pPr>
    </w:p>
    <w:p w:rsidR="00622F24" w:rsidRPr="00714BDC" w:rsidRDefault="00622F24" w:rsidP="00622F24">
      <w:pPr>
        <w:spacing w:after="0" w:line="240" w:lineRule="auto"/>
        <w:jc w:val="both"/>
        <w:rPr>
          <w:rFonts w:cs="Arial"/>
          <w:iCs/>
          <w:lang w:val="es-MX"/>
        </w:rPr>
      </w:pPr>
      <w:r w:rsidRPr="00714BDC">
        <w:rPr>
          <w:rFonts w:cs="Arial"/>
          <w:iCs/>
          <w:lang w:val="es-MX"/>
        </w:rPr>
        <w:t>Con el fin de lograr un fortalecimiento integral en los procesos de implementación de la estrategia y conseguir así la consolidación de la política de primera infancia, se propuso una intervención que abarcara las entidades territoriales priorizadas según lo establecido por la CIPI y la Dirección del SNBF</w:t>
      </w:r>
      <w:r w:rsidRPr="00714BDC">
        <w:rPr>
          <w:rStyle w:val="Refdenotaalpie"/>
          <w:rFonts w:cs="Arial"/>
          <w:iCs/>
          <w:lang w:val="es-MX"/>
        </w:rPr>
        <w:footnoteReference w:id="36"/>
      </w:r>
      <w:r w:rsidRPr="00714BDC">
        <w:rPr>
          <w:rFonts w:cs="Arial"/>
          <w:iCs/>
          <w:lang w:val="es-MX"/>
        </w:rPr>
        <w:t xml:space="preserve">. </w:t>
      </w:r>
    </w:p>
    <w:p w:rsidR="00622F24" w:rsidRPr="00714BDC" w:rsidRDefault="00622F24" w:rsidP="00622F24">
      <w:pPr>
        <w:spacing w:after="0" w:line="240" w:lineRule="auto"/>
        <w:jc w:val="both"/>
        <w:rPr>
          <w:rFonts w:cs="Arial"/>
          <w:iCs/>
          <w:highlight w:val="green"/>
          <w:lang w:val="es-MX"/>
        </w:rPr>
      </w:pPr>
    </w:p>
    <w:p w:rsidR="00622F24" w:rsidRPr="00714BDC" w:rsidRDefault="00622F24" w:rsidP="00622F24">
      <w:pPr>
        <w:pStyle w:val="Prrafodelista"/>
        <w:autoSpaceDE w:val="0"/>
        <w:autoSpaceDN w:val="0"/>
        <w:adjustRightInd w:val="0"/>
        <w:spacing w:after="0" w:line="240" w:lineRule="auto"/>
        <w:ind w:left="0"/>
        <w:jc w:val="both"/>
        <w:rPr>
          <w:rFonts w:cs="Arial"/>
          <w:iCs/>
        </w:rPr>
      </w:pPr>
      <w:r w:rsidRPr="00714BDC">
        <w:rPr>
          <w:rFonts w:cs="Arial"/>
          <w:iCs/>
        </w:rPr>
        <w:t xml:space="preserve">Adicional a estas acciones, la Dirección del SNBF ha participado activamente en el marco de la CIPI, en la construcción de distintos procesos para la garantía de la atención integral a la primera infancia. Algunos de estos son: </w:t>
      </w:r>
    </w:p>
    <w:p w:rsidR="00622F24" w:rsidRPr="00714BDC" w:rsidRDefault="00622F24" w:rsidP="00622F24">
      <w:pPr>
        <w:pStyle w:val="Prrafodelista"/>
        <w:autoSpaceDE w:val="0"/>
        <w:autoSpaceDN w:val="0"/>
        <w:adjustRightInd w:val="0"/>
        <w:spacing w:after="0" w:line="240" w:lineRule="auto"/>
        <w:ind w:left="0"/>
        <w:jc w:val="both"/>
        <w:rPr>
          <w:rFonts w:cs="Arial"/>
          <w:iCs/>
        </w:rPr>
      </w:pPr>
    </w:p>
    <w:p w:rsidR="00622F24"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Todas las sesiones de la Comisión Intersectorial de Primera Infancia y de su correspondiente Comité Técnico Ampliado.</w:t>
      </w:r>
    </w:p>
    <w:p w:rsidR="00540F07" w:rsidRPr="00714BDC" w:rsidRDefault="00540F07" w:rsidP="00540F07">
      <w:pPr>
        <w:pStyle w:val="Prrafodelista"/>
        <w:autoSpaceDE w:val="0"/>
        <w:autoSpaceDN w:val="0"/>
        <w:adjustRightInd w:val="0"/>
        <w:spacing w:after="0" w:line="240" w:lineRule="auto"/>
        <w:ind w:left="720"/>
        <w:contextualSpacing/>
        <w:jc w:val="both"/>
        <w:rPr>
          <w:rFonts w:cs="Arial"/>
          <w:iCs/>
        </w:rPr>
      </w:pPr>
    </w:p>
    <w:p w:rsidR="00622F24"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Liderazgo del Grupo de Trabajo de Fortalecimiento Territorial y Cooperación Técnica el cual se reúne cada 20 días con los representantes de las distintas entidades que hacen parte de la CIPI, para construir técnicamente las orientaciones para el acompañamiento a los entes territoriales.</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 xml:space="preserve">Construcción del plan de acción intersectorial 2016-2018 de la Política de Estado para el Desarrollo Integral de la Primera infancia </w:t>
      </w:r>
      <w:r w:rsidRPr="00714BDC">
        <w:rPr>
          <w:rFonts w:cs="Arial"/>
          <w:i/>
          <w:iCs/>
        </w:rPr>
        <w:t>De Cero a Siempre</w:t>
      </w:r>
      <w:r w:rsidRPr="00714BDC">
        <w:rPr>
          <w:rFonts w:cs="Arial"/>
          <w:iCs/>
        </w:rPr>
        <w:t xml:space="preserve"> (Ley 1804 de 2016).</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Reglamentación de la Ley 1804 de 2016 (Educación inicial, Sistemas de información, Modalidades propias, Foniñez).</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Pr="00540F07"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rPr>
        <w:t>Construcción de la Agenda Intersectorial de Evaluación y Gestión del Conocimiento.</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Pr="00540F07"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rPr>
        <w:t>Ajuste a los lineamientos y manuales operativos de las diferentes modalidades de atención en educación inicial a la primera infancia del ICBF.</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 xml:space="preserve">Orientación para la construcción de la modalidad propia e intercultural. </w:t>
      </w:r>
    </w:p>
    <w:p w:rsidR="00540F07" w:rsidRPr="00540F07" w:rsidRDefault="00540F07" w:rsidP="00540F07">
      <w:pPr>
        <w:autoSpaceDE w:val="0"/>
        <w:autoSpaceDN w:val="0"/>
        <w:adjustRightInd w:val="0"/>
        <w:spacing w:after="0" w:line="240" w:lineRule="auto"/>
        <w:contextualSpacing/>
        <w:jc w:val="both"/>
        <w:rPr>
          <w:rFonts w:cs="Arial"/>
          <w:iCs/>
        </w:rPr>
      </w:pPr>
    </w:p>
    <w:p w:rsidR="00622F24" w:rsidRPr="00714BDC" w:rsidRDefault="00622F24" w:rsidP="00D712DC">
      <w:pPr>
        <w:pStyle w:val="Prrafodelista"/>
        <w:numPr>
          <w:ilvl w:val="0"/>
          <w:numId w:val="25"/>
        </w:numPr>
        <w:autoSpaceDE w:val="0"/>
        <w:autoSpaceDN w:val="0"/>
        <w:adjustRightInd w:val="0"/>
        <w:spacing w:after="0" w:line="240" w:lineRule="auto"/>
        <w:contextualSpacing/>
        <w:jc w:val="both"/>
        <w:rPr>
          <w:rFonts w:cs="Arial"/>
          <w:iCs/>
        </w:rPr>
      </w:pPr>
      <w:r w:rsidRPr="00714BDC">
        <w:rPr>
          <w:rFonts w:cs="Arial"/>
          <w:iCs/>
        </w:rPr>
        <w:t>Gestión de alertas en el Sistema de Seguimiento Niño a Niño.</w:t>
      </w:r>
    </w:p>
    <w:p w:rsidR="00F7316B" w:rsidRDefault="00F7316B" w:rsidP="008543E2">
      <w:pPr>
        <w:ind w:firstLine="708"/>
        <w:rPr>
          <w:b/>
          <w:bCs/>
        </w:rPr>
      </w:pPr>
    </w:p>
    <w:p w:rsidR="00540F07" w:rsidRDefault="00540F07" w:rsidP="008543E2">
      <w:pPr>
        <w:ind w:firstLine="708"/>
        <w:rPr>
          <w:b/>
          <w:bCs/>
        </w:rPr>
      </w:pPr>
    </w:p>
    <w:p w:rsidR="00622F24" w:rsidRPr="00714BDC" w:rsidRDefault="00622F24" w:rsidP="008543E2">
      <w:pPr>
        <w:ind w:firstLine="708"/>
        <w:rPr>
          <w:b/>
          <w:bCs/>
        </w:rPr>
      </w:pPr>
      <w:r w:rsidRPr="00714BDC">
        <w:rPr>
          <w:b/>
          <w:bCs/>
        </w:rPr>
        <w:lastRenderedPageBreak/>
        <w:t>Política Nacional de Infancia y Adolescencia</w:t>
      </w:r>
    </w:p>
    <w:p w:rsidR="00622F24" w:rsidRPr="00714BDC" w:rsidRDefault="00622F24" w:rsidP="00622F24">
      <w:pPr>
        <w:pStyle w:val="Prrafodelista"/>
        <w:autoSpaceDE w:val="0"/>
        <w:autoSpaceDN w:val="0"/>
        <w:adjustRightInd w:val="0"/>
        <w:spacing w:after="0" w:line="240" w:lineRule="auto"/>
        <w:ind w:left="0"/>
        <w:jc w:val="both"/>
        <w:rPr>
          <w:rFonts w:cs="Arial"/>
          <w:bCs/>
        </w:rPr>
      </w:pPr>
      <w:r w:rsidRPr="00714BDC">
        <w:rPr>
          <w:rFonts w:cs="Arial"/>
          <w:bCs/>
        </w:rPr>
        <w:t xml:space="preserve">El Plan Nacional de Desarrollo 2014-2018 estableció el compromiso de consolidar la Política Nacional de Atención Integral a la Primera Infancia y de formular una Política de Infancia y Adolescencia que dé continuidad a los logros alcanzados por la Estrategia “De Cero a Siempre”. En el Plan Estratégico del ICBF, el liderazgo de esta actividad está en cabeza de la Dirección de Niñez y Adolescencia y para la Dirección del SNBF se definió una actividad de apoyo en lo de su competencia. </w:t>
      </w:r>
    </w:p>
    <w:p w:rsidR="00622F24" w:rsidRPr="00714BDC" w:rsidRDefault="00622F24" w:rsidP="00622F24">
      <w:pPr>
        <w:pStyle w:val="Prrafodelista"/>
        <w:autoSpaceDE w:val="0"/>
        <w:autoSpaceDN w:val="0"/>
        <w:adjustRightInd w:val="0"/>
        <w:spacing w:after="0" w:line="240" w:lineRule="auto"/>
        <w:ind w:left="0"/>
        <w:jc w:val="both"/>
        <w:rPr>
          <w:rFonts w:cs="Arial"/>
          <w:bCs/>
        </w:rPr>
      </w:pPr>
    </w:p>
    <w:p w:rsidR="00622F24" w:rsidRPr="00714BDC" w:rsidRDefault="00622F24" w:rsidP="00622F24">
      <w:pPr>
        <w:pStyle w:val="Prrafodelista"/>
        <w:autoSpaceDE w:val="0"/>
        <w:autoSpaceDN w:val="0"/>
        <w:adjustRightInd w:val="0"/>
        <w:spacing w:after="0" w:line="240" w:lineRule="auto"/>
        <w:ind w:left="0"/>
        <w:jc w:val="both"/>
        <w:rPr>
          <w:rFonts w:cs="Arial"/>
          <w:bCs/>
        </w:rPr>
      </w:pPr>
      <w:r w:rsidRPr="00714BDC">
        <w:rPr>
          <w:rFonts w:cs="Arial"/>
          <w:bCs/>
        </w:rPr>
        <w:t xml:space="preserve">Durante el año 2016 la Dirección de Niñez avanzó en la construcción del documento, ejercicio acompañado desde la Dirección del SNBF en lo referente a la facilitación de la coordinación con instancias como la Comisión Intersectorial para la Atención Integral de Primera Infancia y en llevar los avances al Comité Ejecutivo del Sistema Nacional de Bienestar Familiar. </w:t>
      </w:r>
    </w:p>
    <w:p w:rsidR="00622F24" w:rsidRPr="00714BDC" w:rsidRDefault="00622F24" w:rsidP="00622F24">
      <w:pPr>
        <w:pStyle w:val="Prrafodelista"/>
        <w:autoSpaceDE w:val="0"/>
        <w:autoSpaceDN w:val="0"/>
        <w:adjustRightInd w:val="0"/>
        <w:spacing w:after="0" w:line="240" w:lineRule="auto"/>
        <w:ind w:left="0"/>
        <w:jc w:val="both"/>
        <w:rPr>
          <w:rFonts w:cs="Arial"/>
          <w:bCs/>
        </w:rPr>
      </w:pPr>
    </w:p>
    <w:p w:rsidR="00622F24" w:rsidRPr="00714BDC" w:rsidRDefault="00622F24" w:rsidP="00622F24">
      <w:pPr>
        <w:pStyle w:val="Prrafodelista"/>
        <w:autoSpaceDE w:val="0"/>
        <w:autoSpaceDN w:val="0"/>
        <w:adjustRightInd w:val="0"/>
        <w:spacing w:after="0" w:line="240" w:lineRule="auto"/>
        <w:ind w:left="0"/>
        <w:jc w:val="both"/>
        <w:rPr>
          <w:rFonts w:cs="Arial"/>
          <w:bCs/>
        </w:rPr>
      </w:pPr>
      <w:r w:rsidRPr="00714BDC">
        <w:rPr>
          <w:rFonts w:cs="Arial"/>
          <w:bCs/>
        </w:rPr>
        <w:t xml:space="preserve">Además, durante la fase de participación, recolección de insumos y validación del documento base, propuesto por la Dirección de Niñez y Adolescencia, y en el marco del Convenio celebrado por el ICBF (Dirección de Niñez y Adolescencia y Dirección de Familia y Comunidades) con la Corporación Somos Más, se realizaron los encuentros y consultas regionales para enriquecer el documento y se recogió la voz de los niños, niñas y adolescentes con enfoque diferencial (afro, étnico, discapacidad, SRPA, protección, etc.) al igual que la de adultos y cuidadores, así como de autoridades indígenas, desplegando también un esquema de consulta virtual que recoja los aportes de todos en el proceso. En este proceso la Dirección del SNBF facilitó su esquema operativo del nivel nacional para la convocatoria y la participación activa de agentes e instancias y la instancia del Comité Ejecutivo del SNBF que ha sesionado en tres ocasiones con el tema central de discusión del documento y ha brindado en el marco de la sesión y por escrito la retroalimentación al documento y al proceso en general. </w:t>
      </w:r>
    </w:p>
    <w:p w:rsidR="00622F24" w:rsidRPr="00714BDC" w:rsidRDefault="00622F24" w:rsidP="00F15CFE"/>
    <w:p w:rsidR="00622F24" w:rsidRPr="00714BDC" w:rsidRDefault="00622F24" w:rsidP="00F15CFE">
      <w:pPr>
        <w:ind w:left="708"/>
        <w:jc w:val="both"/>
        <w:rPr>
          <w:b/>
        </w:rPr>
      </w:pPr>
      <w:r w:rsidRPr="00714BDC">
        <w:rPr>
          <w:b/>
        </w:rPr>
        <w:t>Participación en la coordinación de Políticas Nacionales dirigidas a Niños, Niñas y Adolescentes</w:t>
      </w:r>
    </w:p>
    <w:p w:rsidR="00622F24" w:rsidRPr="00714BDC" w:rsidRDefault="00622F24" w:rsidP="00D712DC">
      <w:pPr>
        <w:pStyle w:val="Prrafodelista"/>
        <w:numPr>
          <w:ilvl w:val="0"/>
          <w:numId w:val="39"/>
        </w:numPr>
        <w:autoSpaceDE w:val="0"/>
        <w:autoSpaceDN w:val="0"/>
        <w:adjustRightInd w:val="0"/>
        <w:spacing w:after="0" w:line="240" w:lineRule="auto"/>
        <w:contextualSpacing/>
        <w:jc w:val="both"/>
        <w:rPr>
          <w:rFonts w:cs="Arial"/>
          <w:iCs/>
          <w:lang w:val="es-CO"/>
        </w:rPr>
      </w:pPr>
      <w:r w:rsidRPr="00714BDC">
        <w:rPr>
          <w:rFonts w:cs="Arial"/>
          <w:b/>
          <w:iCs/>
        </w:rPr>
        <w:t>Línea de Política Pública para la</w:t>
      </w:r>
      <w:r w:rsidRPr="00714BDC">
        <w:rPr>
          <w:rFonts w:cs="Arial"/>
          <w:iCs/>
        </w:rPr>
        <w:t xml:space="preserve"> </w:t>
      </w:r>
      <w:r w:rsidRPr="00714BDC">
        <w:rPr>
          <w:rFonts w:cs="Arial"/>
          <w:b/>
          <w:iCs/>
        </w:rPr>
        <w:t xml:space="preserve">Prevención y Erradicación de Trabajo Infantil y la Protección al Adolescente Trabajador: </w:t>
      </w:r>
      <w:r w:rsidRPr="00714BDC">
        <w:rPr>
          <w:rFonts w:cs="Arial"/>
          <w:iCs/>
        </w:rPr>
        <w:t xml:space="preserve">durante 2016 se elaboró </w:t>
      </w:r>
      <w:r w:rsidRPr="00714BDC">
        <w:rPr>
          <w:rFonts w:cs="Arial"/>
          <w:iCs/>
          <w:lang w:val="es-CO"/>
        </w:rPr>
        <w:t>un documento preliminar de política pública por parte del Ministerio de Trabajo, ICBF y el apoyo técnico de la OIT, que incluye el ejercicio de consulta desarrollado en todos los ámbitos, con la participación de entidades públicas, privadas, sindicatos, gremios, academia, niños, niñas, adolescentes y familias, a través de foros, talleres presenciales, encuesta virtual a delegados del CIETI departamental y municipal, entre otros. De igual manera se realizó una propuesta de diseño del instrumento de identificación, registro y caracterización del trabajo infantil, el cual permitirá la actualización del SIRITI.</w:t>
      </w:r>
    </w:p>
    <w:p w:rsidR="00622F24" w:rsidRPr="00714BDC" w:rsidRDefault="00622F24" w:rsidP="00622F24">
      <w:pPr>
        <w:pStyle w:val="Prrafodelista"/>
        <w:autoSpaceDE w:val="0"/>
        <w:autoSpaceDN w:val="0"/>
        <w:adjustRightInd w:val="0"/>
        <w:spacing w:after="0" w:line="240" w:lineRule="auto"/>
        <w:ind w:left="720"/>
        <w:contextualSpacing/>
        <w:jc w:val="both"/>
        <w:rPr>
          <w:rFonts w:cs="Arial"/>
          <w:iCs/>
          <w:lang w:val="es-CO"/>
        </w:rPr>
      </w:pPr>
    </w:p>
    <w:p w:rsidR="00622F24" w:rsidRPr="00714BDC" w:rsidRDefault="00622F24" w:rsidP="00D712DC">
      <w:pPr>
        <w:pStyle w:val="Prrafodelista"/>
        <w:numPr>
          <w:ilvl w:val="0"/>
          <w:numId w:val="39"/>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b/>
          <w:lang w:eastAsia="es-CO"/>
        </w:rPr>
        <w:t>Estrategia de articulación interinstitucional e intercultural para el abordaje integral a la violencia sexual y de género contra niñas, niños y adolescentes, mujeres, familias y comunidades en pueblos indígenas</w:t>
      </w:r>
      <w:r w:rsidRPr="00714BDC">
        <w:rPr>
          <w:rFonts w:eastAsia="Times New Roman" w:cs="Arial"/>
          <w:lang w:eastAsia="es-CO"/>
        </w:rPr>
        <w:t xml:space="preserve">: ha logrado avances en la articulación de agentes del Sistema Nacional de Bienestar Familiar en una mesa técnica con participación de la Organización Nacional Indígena de Colombia ONIC, la Organización </w:t>
      </w:r>
      <w:r w:rsidRPr="00714BDC">
        <w:rPr>
          <w:rFonts w:eastAsia="Times New Roman" w:cs="Arial"/>
          <w:lang w:eastAsia="es-CO"/>
        </w:rPr>
        <w:lastRenderedPageBreak/>
        <w:t>de los pueblos indígenas de la Amazonia Colombiana, Gobierno Mayor, el Ministerio de Salud y Protección Social, el Ministerio del Interior, el Instituto Colombiano de Bienestar Familiar, la Consejería Presidencial para la Equidad de la Mujer, la Fiscalía General de la Nación, el Ministerio de Cultura, el Instituto de Medicina Legal e Investigación Forense, la Unidad de Atención y Reparación Integral a las víctimas –UARIV, el Ministerio de Educación y UNICEF. La secretaria técnica es adelantada por la Dirección del SNBF, en conjunto con la Consejería Presidencial para los Derechos humanos. Para ejercicios de análisis que permitan identificar las oportunidades y retos en los procesos de articulación entre los sistemas propios de justicia, protección y salud y los de las instituciones de gobierno, hemos contado con la participación del Consejo Superior de la Judicatura. En 2016 se trabajó en fortalecer la articulación del abordaje integral a la violencia sexual y de género, y la capacidad socio-organizativa como agentes del SNBF de las Organizaciones Indígenas, empoderando a las Direcciones Regionales con tres convenios de asociación en Vaupés, Municipio de Mitú – Zonales de Yapú y Cuduyari (Convenio 063 de 2016); en Casanare - Resguardo Caño Mochuelo (Convenio 144 de 2016); y en Cauca: Pueblo Totoro (Convenio 477 de 2016). Lo anterior ha posibilitado aprendizajes en lógica de prevención, mínimos para una atención integral, barreras comunitarias e institucionales y rutas de nivel comunitario de los pueblos indígenas. Además, se está construyendo un documento de orientaciones interinstitucionales e interculturales para el abordaje integral de la violencia sexual y de género con comunidad indígenas, en el cual se incluyen bases conceptuales y normativas de la política nacional y territorial, diagnóstico y antecedentes; acciones y metodologías institucionales y comunitarias, así como rutas institucionales en las líneas de prevención, detección y atención; y un glosario.</w:t>
      </w:r>
    </w:p>
    <w:p w:rsidR="00622F24" w:rsidRPr="00714BDC" w:rsidRDefault="00622F24" w:rsidP="00622F24">
      <w:pPr>
        <w:pStyle w:val="Prrafodelista"/>
        <w:autoSpaceDE w:val="0"/>
        <w:autoSpaceDN w:val="0"/>
        <w:adjustRightInd w:val="0"/>
        <w:spacing w:after="0" w:line="240" w:lineRule="auto"/>
        <w:ind w:left="720"/>
        <w:contextualSpacing/>
        <w:jc w:val="both"/>
        <w:rPr>
          <w:rFonts w:eastAsia="Times New Roman" w:cs="Arial"/>
          <w:lang w:eastAsia="es-CO"/>
        </w:rPr>
      </w:pPr>
    </w:p>
    <w:p w:rsidR="00622F24" w:rsidRPr="00714BDC" w:rsidRDefault="00622F24" w:rsidP="00D712DC">
      <w:pPr>
        <w:pStyle w:val="Prrafodelista"/>
        <w:numPr>
          <w:ilvl w:val="0"/>
          <w:numId w:val="41"/>
        </w:numPr>
        <w:spacing w:after="0" w:line="240" w:lineRule="auto"/>
        <w:ind w:right="47"/>
        <w:contextualSpacing/>
        <w:jc w:val="both"/>
        <w:rPr>
          <w:rFonts w:eastAsia="Times New Roman" w:cs="Arial"/>
          <w:lang w:eastAsia="es-CO"/>
        </w:rPr>
      </w:pPr>
      <w:r w:rsidRPr="00714BDC">
        <w:rPr>
          <w:rFonts w:eastAsia="Times New Roman" w:cs="Arial"/>
          <w:b/>
          <w:lang w:eastAsia="es-CO"/>
        </w:rPr>
        <w:t>Política Nacional para el Apoyo y Fortalecimiento a las Familias.</w:t>
      </w:r>
      <w:r w:rsidRPr="00714BDC">
        <w:rPr>
          <w:rFonts w:eastAsia="Times New Roman" w:cs="Arial"/>
          <w:lang w:eastAsia="es-CO"/>
        </w:rPr>
        <w:t xml:space="preserve"> Se participó activamente en la fase final de la formulación de la Política de apoyo y fortalecimiento a las familias, liderada por el Sector Salud, que fue validada en el marco del Comité Ejecutivo del SNBF. Igualmente, se inició su implementación territorial a partir del proceso de socialización en 5 foros regionales en las ciudades de Montería, Bucaramanga, Pereira, Popayán y Bogotá. A partir de este ejercicio se dejaron las bases para el proceso de plan de acción de la política que recoja las necesidades regionales y a su vez permita que el territorio reconozca sus capacidades de implementación y los recursos con los que cuenta.</w:t>
      </w:r>
    </w:p>
    <w:p w:rsidR="00622F24" w:rsidRPr="00714BDC" w:rsidRDefault="00622F24" w:rsidP="00622F24">
      <w:pPr>
        <w:pStyle w:val="Prrafodelista"/>
        <w:spacing w:after="0" w:line="240" w:lineRule="auto"/>
        <w:ind w:left="720" w:right="47"/>
        <w:contextualSpacing/>
        <w:jc w:val="both"/>
        <w:rPr>
          <w:rFonts w:eastAsia="Times New Roman" w:cs="Arial"/>
          <w:lang w:eastAsia="es-CO"/>
        </w:rPr>
      </w:pPr>
    </w:p>
    <w:p w:rsidR="00622F24" w:rsidRPr="00714BDC" w:rsidRDefault="00622F24" w:rsidP="00D712DC">
      <w:pPr>
        <w:pStyle w:val="Prrafodelista"/>
        <w:numPr>
          <w:ilvl w:val="0"/>
          <w:numId w:val="41"/>
        </w:numPr>
        <w:spacing w:after="0" w:line="240" w:lineRule="auto"/>
        <w:ind w:right="47"/>
        <w:jc w:val="both"/>
        <w:rPr>
          <w:rFonts w:eastAsia="Times New Roman" w:cs="Arial"/>
          <w:lang w:eastAsia="es-CO"/>
        </w:rPr>
      </w:pPr>
      <w:r w:rsidRPr="00714BDC">
        <w:rPr>
          <w:rFonts w:eastAsia="Times New Roman" w:cs="Arial"/>
          <w:b/>
          <w:lang w:eastAsia="es-CO"/>
        </w:rPr>
        <w:t>Política Nacional de Habitante de Calle</w:t>
      </w:r>
      <w:r w:rsidRPr="00714BDC">
        <w:rPr>
          <w:rFonts w:eastAsia="Times New Roman" w:cs="Arial"/>
          <w:lang w:eastAsia="es-CO"/>
        </w:rPr>
        <w:t xml:space="preserve">. Se retomó el proceso de formulación de la política de habitante de calle, a cargo del Ministerio de Salud, con la finalidad de consagrar especial protección a los niños, niñas y adolescentes que se encuentren en esta situación y en el que se aporta como insumo al documento el enfoque poblacional de infancia y el diferencial como un aspecto relevante a considerar en este proceso de formulación. </w:t>
      </w:r>
    </w:p>
    <w:p w:rsidR="00622F24" w:rsidRPr="00714BDC" w:rsidRDefault="00622F24" w:rsidP="00622F24">
      <w:pPr>
        <w:spacing w:after="0" w:line="240" w:lineRule="auto"/>
        <w:ind w:right="47"/>
        <w:jc w:val="both"/>
        <w:rPr>
          <w:rFonts w:eastAsia="Times New Roman" w:cs="Arial"/>
          <w:lang w:eastAsia="es-CO"/>
        </w:rPr>
      </w:pPr>
    </w:p>
    <w:p w:rsidR="00622F24" w:rsidRPr="00714BDC" w:rsidRDefault="00622F24" w:rsidP="00D712DC">
      <w:pPr>
        <w:pStyle w:val="Prrafodelista"/>
        <w:numPr>
          <w:ilvl w:val="0"/>
          <w:numId w:val="41"/>
        </w:numPr>
        <w:autoSpaceDE w:val="0"/>
        <w:autoSpaceDN w:val="0"/>
        <w:adjustRightInd w:val="0"/>
        <w:spacing w:after="0" w:line="240" w:lineRule="auto"/>
        <w:ind w:right="47"/>
        <w:jc w:val="both"/>
        <w:rPr>
          <w:rFonts w:eastAsia="Times New Roman" w:cs="Arial"/>
          <w:lang w:eastAsia="es-CO"/>
        </w:rPr>
      </w:pPr>
      <w:r w:rsidRPr="00714BDC">
        <w:rPr>
          <w:rFonts w:eastAsia="Times New Roman" w:cs="Arial"/>
          <w:b/>
          <w:lang w:eastAsia="es-CO"/>
        </w:rPr>
        <w:t>Política de salud mental.</w:t>
      </w:r>
      <w:r w:rsidRPr="00714BDC">
        <w:rPr>
          <w:rFonts w:eastAsia="Times New Roman" w:cs="Arial"/>
          <w:lang w:eastAsia="es-CO"/>
        </w:rPr>
        <w:t xml:space="preserve"> Se enviaron comentarios al documento de la “Política nacional de Salud Mental”, El proceso de construcción de la política ha sido liderado por el Ministerio de Salud y Protección Social con la participación de diferentes entidades como el ICBF.</w:t>
      </w:r>
    </w:p>
    <w:p w:rsidR="00622F24" w:rsidRPr="00714BDC" w:rsidRDefault="00622F24" w:rsidP="00D330D0">
      <w:pPr>
        <w:rPr>
          <w:lang w:eastAsia="es-CO"/>
        </w:rPr>
      </w:pPr>
    </w:p>
    <w:p w:rsidR="00622F24" w:rsidRPr="00714BDC" w:rsidRDefault="00622F24" w:rsidP="00D330D0">
      <w:pPr>
        <w:ind w:firstLine="708"/>
        <w:rPr>
          <w:b/>
          <w:bCs/>
        </w:rPr>
      </w:pPr>
      <w:r w:rsidRPr="00714BDC">
        <w:rPr>
          <w:b/>
          <w:bCs/>
        </w:rPr>
        <w:lastRenderedPageBreak/>
        <w:t>Participación en instancias intersectoriales</w:t>
      </w:r>
    </w:p>
    <w:p w:rsidR="00622F24" w:rsidRPr="00714BDC" w:rsidRDefault="00622F24" w:rsidP="00622F24">
      <w:pPr>
        <w:spacing w:after="0" w:line="240" w:lineRule="auto"/>
        <w:jc w:val="both"/>
        <w:rPr>
          <w:rFonts w:cs="Arial"/>
          <w:bCs/>
          <w:lang w:eastAsia="es-MX"/>
        </w:rPr>
      </w:pPr>
      <w:r w:rsidRPr="00714BDC">
        <w:rPr>
          <w:rFonts w:cs="Arial"/>
          <w:bCs/>
          <w:lang w:eastAsia="es-MX"/>
        </w:rPr>
        <w:t>El Decreto 936 de 2013 y el Manual Operativo del SNBF señalan como parte de las instancias de desarrollo técnico del SNBF a aquellas comisiones, comités o mesas intersectoriales que coordinan políticas dirigidos a los niños, niñas y adolescentes o mesas de coordinación de otros sistemas administrativos con los cuales debe tener relación el SNBF. En ese sentido, la Dirección del SNBF participó durante 2016 en 16 instancias formales con el fin de realizar la articulación de los procesos que en ellas se lideran con los procesos relacionados con Comité Ejecutivo del SNBF y el Consejo Nacional de Política Social. Es importante resaltar que la participación en dichas instancias y otras de carácter técnico no formalizadas se hace de la mano con las áreas misionales del ICBF puesto que allí se tienen compromisos desde el punto de vista de la oferta institucional. A continuación, se señalan las instancias formales en las cuales se participa y los principales productos de 2016:</w:t>
      </w:r>
    </w:p>
    <w:p w:rsidR="00622F24" w:rsidRPr="00714BDC" w:rsidRDefault="00622F24" w:rsidP="00622F24">
      <w:pPr>
        <w:spacing w:after="0" w:line="240" w:lineRule="auto"/>
        <w:jc w:val="both"/>
        <w:rPr>
          <w:rFonts w:cs="Arial"/>
        </w:rPr>
      </w:pPr>
    </w:p>
    <w:tbl>
      <w:tblPr>
        <w:tblStyle w:val="Tabladecuadrcula6concolores1"/>
        <w:tblW w:w="892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696"/>
        <w:gridCol w:w="1531"/>
        <w:gridCol w:w="5699"/>
      </w:tblGrid>
      <w:tr w:rsidR="00622F24" w:rsidRPr="005263A8" w:rsidTr="00540F07">
        <w:trPr>
          <w:cnfStyle w:val="100000000000" w:firstRow="1" w:lastRow="0" w:firstColumn="0" w:lastColumn="0" w:oddVBand="0" w:evenVBand="0" w:oddHBand="0" w:evenHBand="0" w:firstRowFirstColumn="0" w:firstRowLastColumn="0" w:lastRowFirstColumn="0" w:lastRowLastColumn="0"/>
          <w:trHeight w:val="198"/>
          <w:tblHeader/>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shd w:val="clear" w:color="auto" w:fill="76923C" w:themeFill="accent3" w:themeFillShade="BF"/>
            <w:vAlign w:val="center"/>
            <w:hideMark/>
          </w:tcPr>
          <w:p w:rsidR="00622F24" w:rsidRPr="005263A8" w:rsidRDefault="00622F24" w:rsidP="008A2A9F">
            <w:pPr>
              <w:spacing w:after="0" w:line="240" w:lineRule="auto"/>
              <w:jc w:val="center"/>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Nombre de la Instancia</w:t>
            </w:r>
          </w:p>
        </w:tc>
        <w:tc>
          <w:tcPr>
            <w:tcW w:w="1531" w:type="dxa"/>
            <w:tcBorders>
              <w:bottom w:val="none" w:sz="0" w:space="0" w:color="auto"/>
            </w:tcBorders>
            <w:shd w:val="clear" w:color="auto" w:fill="76923C" w:themeFill="accent3" w:themeFillShade="BF"/>
            <w:vAlign w:val="center"/>
            <w:hideMark/>
          </w:tcPr>
          <w:p w:rsidR="00622F24" w:rsidRPr="005263A8" w:rsidRDefault="00622F24" w:rsidP="008A2A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Población Objetivo</w:t>
            </w:r>
          </w:p>
        </w:tc>
        <w:tc>
          <w:tcPr>
            <w:tcW w:w="5699" w:type="dxa"/>
            <w:tcBorders>
              <w:bottom w:val="none" w:sz="0" w:space="0" w:color="auto"/>
            </w:tcBorders>
            <w:shd w:val="clear" w:color="auto" w:fill="76923C" w:themeFill="accent3" w:themeFillShade="BF"/>
            <w:vAlign w:val="center"/>
            <w:hideMark/>
          </w:tcPr>
          <w:p w:rsidR="00622F24" w:rsidRPr="005263A8" w:rsidRDefault="00622F24" w:rsidP="008A2A9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Cs w:val="0"/>
                <w:iCs/>
                <w:color w:val="FFFFFF" w:themeColor="background1"/>
                <w:sz w:val="16"/>
                <w:szCs w:val="16"/>
                <w:lang w:eastAsia="es-CO"/>
              </w:rPr>
            </w:pPr>
            <w:r w:rsidRPr="005263A8">
              <w:rPr>
                <w:rFonts w:cs="Arial"/>
                <w:bCs w:val="0"/>
                <w:iCs/>
                <w:color w:val="FFFFFF" w:themeColor="background1"/>
                <w:sz w:val="16"/>
                <w:szCs w:val="16"/>
                <w:lang w:eastAsia="es-CO"/>
              </w:rPr>
              <w:t xml:space="preserve">Avances y aportes para la Articulación Nacional del SNBF </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Comisión Intersectorial de Seguridad Alimentaria y Nutricional – CISAN (Ministerio de Salud y Protección Social)</w:t>
            </w:r>
          </w:p>
        </w:tc>
        <w:tc>
          <w:tcPr>
            <w:tcW w:w="1531" w:type="dxa"/>
            <w:shd w:val="clear" w:color="auto" w:fill="FFFFFF" w:themeFill="background1"/>
            <w:vAlign w:val="center"/>
            <w:hideMark/>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Toda la población en general</w:t>
            </w:r>
          </w:p>
        </w:tc>
        <w:tc>
          <w:tcPr>
            <w:tcW w:w="5699" w:type="dxa"/>
            <w:shd w:val="clear" w:color="auto" w:fill="FFFFFF" w:themeFill="background1"/>
            <w:vAlign w:val="center"/>
            <w:hideMark/>
          </w:tcPr>
          <w:p w:rsidR="00622F24" w:rsidRPr="005263A8" w:rsidRDefault="00622F24" w:rsidP="00D712DC">
            <w:pPr>
              <w:numPr>
                <w:ilvl w:val="0"/>
                <w:numId w:val="22"/>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Plan de trabajo del Grupo Técnico de la Comisión Intersectorial de SAN.</w:t>
            </w:r>
          </w:p>
          <w:p w:rsidR="00622F24" w:rsidRPr="005263A8" w:rsidRDefault="00622F24" w:rsidP="00D712DC">
            <w:pPr>
              <w:numPr>
                <w:ilvl w:val="0"/>
                <w:numId w:val="22"/>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Aportes al proyecto de Ley por el cual se crea el sistema nacional para la garantía progresiva del derecho a la alimentación.</w:t>
            </w:r>
          </w:p>
          <w:p w:rsidR="00622F24" w:rsidRPr="005263A8" w:rsidRDefault="00622F24" w:rsidP="00D712DC">
            <w:pPr>
              <w:numPr>
                <w:ilvl w:val="0"/>
                <w:numId w:val="22"/>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Aportes en el proceso de reformulación de la política SAN.</w:t>
            </w:r>
          </w:p>
          <w:p w:rsidR="00622F24" w:rsidRPr="005263A8" w:rsidRDefault="00622F24" w:rsidP="00D712DC">
            <w:pPr>
              <w:numPr>
                <w:ilvl w:val="0"/>
                <w:numId w:val="22"/>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Definición de acciones de trabajo conjunto con el MEN en relación con el Programa de Alimentación Escolar. </w:t>
            </w:r>
          </w:p>
          <w:p w:rsidR="00622F24" w:rsidRPr="005263A8" w:rsidRDefault="00622F24" w:rsidP="00D712DC">
            <w:pPr>
              <w:numPr>
                <w:ilvl w:val="0"/>
                <w:numId w:val="22"/>
              </w:numPr>
              <w:spacing w:after="0" w:line="240" w:lineRule="auto"/>
              <w:ind w:left="176" w:hanging="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articulación entre la Comisión intersectorial de Primera Infancia y la CISAN.</w:t>
            </w:r>
          </w:p>
        </w:tc>
      </w:tr>
      <w:tr w:rsidR="00622F24" w:rsidRPr="005263A8" w:rsidTr="00540F07">
        <w:trPr>
          <w:trHeight w:val="70"/>
          <w:jc w:val="center"/>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Comité Interinstitucional para la erradicación del Trabajo Infantil y la Protección del Menor Trabajador</w:t>
            </w:r>
          </w:p>
        </w:tc>
        <w:tc>
          <w:tcPr>
            <w:tcW w:w="1531" w:type="dxa"/>
            <w:vAlign w:val="center"/>
            <w:hideMark/>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vAlign w:val="center"/>
            <w:hideMark/>
          </w:tcPr>
          <w:p w:rsidR="00622F24" w:rsidRPr="005263A8" w:rsidRDefault="00622F24" w:rsidP="00D712DC">
            <w:pPr>
              <w:numPr>
                <w:ilvl w:val="0"/>
                <w:numId w:val="2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color w:val="auto"/>
                <w:sz w:val="16"/>
                <w:szCs w:val="16"/>
                <w:lang w:eastAsia="es-CO"/>
              </w:rPr>
              <w:t>Plan de Acción del SNBF 2016 – 2018 elaborado conjuntamente con el Ministerio del Trabajo y la OIT.</w:t>
            </w:r>
          </w:p>
          <w:p w:rsidR="00622F24" w:rsidRPr="005263A8" w:rsidRDefault="00622F24" w:rsidP="00D712DC">
            <w:pPr>
              <w:pStyle w:val="Prrafodelista"/>
              <w:numPr>
                <w:ilvl w:val="0"/>
                <w:numId w:val="23"/>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color w:val="auto"/>
                <w:sz w:val="16"/>
                <w:szCs w:val="16"/>
                <w:lang w:eastAsia="es-CO"/>
              </w:rPr>
              <w:t>Plan de acción con Ecuador para la prevención y erradicación del trabajo infantil en el marco de la Comisión Técnica Binacional de Lucha Contra la Minería Ilegal</w:t>
            </w:r>
            <w:r w:rsidRPr="005263A8">
              <w:rPr>
                <w:rFonts w:cs="Arial"/>
                <w:bCs/>
                <w:color w:val="auto"/>
                <w:sz w:val="16"/>
                <w:szCs w:val="16"/>
              </w:rPr>
              <w:t>.</w:t>
            </w:r>
          </w:p>
          <w:p w:rsidR="00622F24" w:rsidRPr="005263A8" w:rsidRDefault="00622F24" w:rsidP="00D712DC">
            <w:pPr>
              <w:pStyle w:val="Prrafodelista"/>
              <w:numPr>
                <w:ilvl w:val="0"/>
                <w:numId w:val="23"/>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bCs/>
                <w:color w:val="auto"/>
                <w:sz w:val="16"/>
                <w:szCs w:val="16"/>
              </w:rPr>
            </w:pPr>
            <w:r w:rsidRPr="005263A8">
              <w:rPr>
                <w:rFonts w:cs="Arial"/>
                <w:bCs/>
                <w:color w:val="auto"/>
                <w:sz w:val="16"/>
                <w:szCs w:val="16"/>
                <w:lang w:val="es-CO"/>
              </w:rPr>
              <w:t xml:space="preserve">Elaboración y ajuste a la propuesta de Decreto No. </w:t>
            </w:r>
            <w:r w:rsidRPr="005263A8">
              <w:rPr>
                <w:rFonts w:cs="Arial"/>
                <w:bCs/>
                <w:color w:val="auto"/>
                <w:sz w:val="16"/>
                <w:szCs w:val="16"/>
              </w:rPr>
              <w:t xml:space="preserve">859 de 1995, en la que se </w:t>
            </w:r>
            <w:r w:rsidRPr="005263A8">
              <w:rPr>
                <w:rFonts w:cs="Arial"/>
                <w:bCs/>
                <w:color w:val="auto"/>
                <w:sz w:val="16"/>
                <w:szCs w:val="16"/>
                <w:lang w:val="es-CO"/>
              </w:rPr>
              <w:t xml:space="preserve">solicitó que la Secretaría Técnica del CIETI sea compartida Ministerio de Trabajo – ICBF, considerando que desde la competencia de cada una de las instituciones se complemente la atención a los niños, niñas, adolescentes en riesgo o en situación de trabajo infantil y las familias. </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104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 xml:space="preserve">Comisión Intersectorial para la Atención Integral de la Primera Infancia </w:t>
            </w:r>
          </w:p>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(Coordinación de la Estrategia – Presidencia de la República)</w:t>
            </w:r>
          </w:p>
        </w:tc>
        <w:tc>
          <w:tcPr>
            <w:tcW w:w="1531" w:type="dxa"/>
            <w:shd w:val="clear" w:color="auto" w:fill="FFFFFF" w:themeFill="background1"/>
            <w:vAlign w:val="center"/>
            <w:hideMark/>
          </w:tcPr>
          <w:p w:rsidR="00622F24" w:rsidRPr="005263A8" w:rsidRDefault="00622F24" w:rsidP="005263A8">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Primera </w:t>
            </w:r>
            <w:r w:rsidR="005263A8">
              <w:rPr>
                <w:rFonts w:cs="Arial"/>
                <w:color w:val="auto"/>
                <w:sz w:val="16"/>
                <w:szCs w:val="16"/>
                <w:lang w:eastAsia="es-CO"/>
              </w:rPr>
              <w:t>I</w:t>
            </w:r>
            <w:r w:rsidRPr="005263A8">
              <w:rPr>
                <w:rFonts w:cs="Arial"/>
                <w:color w:val="auto"/>
                <w:sz w:val="16"/>
                <w:szCs w:val="16"/>
                <w:lang w:eastAsia="es-CO"/>
              </w:rPr>
              <w:t>nfancia</w:t>
            </w:r>
          </w:p>
        </w:tc>
        <w:tc>
          <w:tcPr>
            <w:tcW w:w="5699" w:type="dxa"/>
            <w:shd w:val="clear" w:color="auto" w:fill="FFFFFF" w:themeFill="background1"/>
            <w:vAlign w:val="center"/>
            <w:hideMark/>
          </w:tcPr>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Promulgación de la Ley 1804 de 2016. Política de Estado para el Desarrollo Integral de la Primera Infancia De Cero a Siempre.</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Construcción del plan de acción intersectorial 2016-2018 de la Política.</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Acciones de asistencia y cooperación para la inclusión técnica y financiera de los asuntos de primera infancia en los planes de desarrollo departamentales y municipales.</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Elaboración del "Lineamiento técnico de la Estrategia de Cero a Siempre relacionado con las violencias asociadas al conflicto armado a las que están expuestos los niños y niñas en primera infancia y su abordaje en el marco de la atención integral".</w:t>
            </w:r>
            <w:r w:rsidRPr="005263A8" w:rsidDel="00BB646D">
              <w:rPr>
                <w:rFonts w:cs="Arial"/>
                <w:color w:val="auto"/>
                <w:sz w:val="16"/>
                <w:szCs w:val="16"/>
                <w:lang w:eastAsia="es-CO"/>
              </w:rPr>
              <w:t xml:space="preserve"> </w:t>
            </w:r>
            <w:r w:rsidRPr="005263A8">
              <w:rPr>
                <w:rFonts w:cs="Arial"/>
                <w:color w:val="auto"/>
                <w:sz w:val="16"/>
                <w:szCs w:val="16"/>
                <w:lang w:eastAsia="es-CO"/>
              </w:rPr>
              <w:t>136 Políticas públicas en primera infancia municipales formuladas con el equipo de la Dirección del SNBF (81 con acuerdo municipal).</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286 entes territoriales con asistencia técnica en la implementación de la Ruta Integral de Atención – RIA -.</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Alianza Público Privada para la Primera Infancia. Convenio de Asociación No. 1297 de 2016.</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Generación y fortalecimiento de capacidades en el nivel nacional y territorial para la implementación de la Política. </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Equipo constituido del nivel nacional de cooperación y fortalecimiento técnico para la implementación de la estrategia en el marco del SNBF. </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Socialización de la herramienta CHIP, para la inversión efectiva de los recursos Conpes 3861 “Distribución de los recursos del Sistema General de Participaciones para la atención integral de la primera infancia, </w:t>
            </w:r>
            <w:r w:rsidRPr="005263A8">
              <w:rPr>
                <w:rFonts w:cs="Arial"/>
                <w:color w:val="auto"/>
                <w:sz w:val="16"/>
                <w:szCs w:val="16"/>
                <w:lang w:eastAsia="es-CO"/>
              </w:rPr>
              <w:lastRenderedPageBreak/>
              <w:t>vigencia 2016, y orientaciones para su inversión” y la correcta alimentación de la herramienta por parte de los municipios</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Orientaciones y recomendaciones metodológicas para la construcción e implementación concertada de modalidades propias e interculturales de educación inicial con grupos étnicos en el marco de la atención integral a la primera infancia. Esta vigencia se trabajó con las comunidades del Consejo Comunitario Los Riscales, Cabildo Arhuaco, Cabildo Embera, Consejo Comunitario Orika, Cabildo Misak, Raizal Youth Organization, Cabildo Zenu, Consejo Comunitario ASOCASAN, ASOPARUPA y el Cabildo Kamentsa.</w:t>
            </w:r>
          </w:p>
          <w:p w:rsidR="00622F24" w:rsidRPr="005263A8" w:rsidRDefault="00622F24" w:rsidP="00D712DC">
            <w:pPr>
              <w:pStyle w:val="Prrafodelista"/>
              <w:numPr>
                <w:ilvl w:val="0"/>
                <w:numId w:val="30"/>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Estrategia de acompañamiento para el fortalecimiento de gestión de la Política de Primera Infancia en perspectiva de respeto y reconocimiento de la diversidad.</w:t>
            </w:r>
          </w:p>
        </w:tc>
      </w:tr>
      <w:tr w:rsidR="00622F24" w:rsidRPr="005263A8" w:rsidTr="00540F07">
        <w:trPr>
          <w:trHeight w:val="945"/>
          <w:jc w:val="center"/>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lastRenderedPageBreak/>
              <w:t>Comité Nacional Interinstitucional de Prevención y Erradicación de la Explotación Sexual</w:t>
            </w:r>
          </w:p>
        </w:tc>
        <w:tc>
          <w:tcPr>
            <w:tcW w:w="1531" w:type="dxa"/>
            <w:vAlign w:val="center"/>
            <w:hideMark/>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vAlign w:val="center"/>
            <w:hideMark/>
          </w:tcPr>
          <w:p w:rsidR="00622F24" w:rsidRPr="005263A8" w:rsidRDefault="00622F24" w:rsidP="00D712DC">
            <w:pPr>
              <w:pStyle w:val="Prrafodelista"/>
              <w:numPr>
                <w:ilvl w:val="0"/>
                <w:numId w:val="24"/>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Plan de Acción del SNBF 2016 – 2018 elaborado conjuntamente con el Ministerio del Trabajo.</w:t>
            </w:r>
          </w:p>
          <w:p w:rsidR="00622F24" w:rsidRPr="005263A8" w:rsidRDefault="00622F24" w:rsidP="00D712DC">
            <w:pPr>
              <w:pStyle w:val="Prrafodelista"/>
              <w:numPr>
                <w:ilvl w:val="0"/>
                <w:numId w:val="24"/>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decreto por medio del cual “Por el cual se reglamenta el funcionamiento del Fondo contra la Explotación Sexual de Niños, Niñas y Adolescentes, adscrito al Instituto Colombiano de Bienestar Familiar, y se dictan otras disposiciones”.</w:t>
            </w:r>
          </w:p>
          <w:p w:rsidR="00622F24" w:rsidRPr="005263A8" w:rsidRDefault="00622F24" w:rsidP="00D712DC">
            <w:pPr>
              <w:pStyle w:val="Prrafodelista"/>
              <w:numPr>
                <w:ilvl w:val="0"/>
                <w:numId w:val="24"/>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Documento de línea de política pública para la prevención y erradicación de la explotación sexual comercial de niños, niñas y adolescentes (ESCNNA) 2016-2026.</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rsidR="00622F24" w:rsidRPr="005263A8" w:rsidRDefault="00622F24" w:rsidP="008A2A9F">
            <w:pPr>
              <w:spacing w:after="0" w:line="240" w:lineRule="auto"/>
              <w:jc w:val="both"/>
              <w:rPr>
                <w:rFonts w:cs="Arial"/>
                <w:b w:val="0"/>
                <w:color w:val="auto"/>
                <w:sz w:val="16"/>
                <w:szCs w:val="16"/>
              </w:rPr>
            </w:pPr>
            <w:r w:rsidRPr="005263A8">
              <w:rPr>
                <w:rFonts w:cs="Arial"/>
                <w:b w:val="0"/>
                <w:color w:val="auto"/>
                <w:sz w:val="16"/>
                <w:szCs w:val="16"/>
              </w:rPr>
              <w:t>Mesa de seguimiento a la situación de la niñez indígena</w:t>
            </w:r>
          </w:p>
        </w:tc>
        <w:tc>
          <w:tcPr>
            <w:tcW w:w="1531" w:type="dxa"/>
            <w:shd w:val="clear" w:color="auto" w:fill="FFFFFF" w:themeFill="background1"/>
            <w:vAlign w:val="center"/>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 de los pueblos indígenas</w:t>
            </w:r>
          </w:p>
        </w:tc>
        <w:tc>
          <w:tcPr>
            <w:tcW w:w="5699" w:type="dxa"/>
            <w:shd w:val="clear" w:color="auto" w:fill="FFFFFF" w:themeFill="background1"/>
            <w:vAlign w:val="center"/>
          </w:tcPr>
          <w:p w:rsidR="00622F24" w:rsidRPr="005263A8" w:rsidRDefault="00622F24" w:rsidP="00D712DC">
            <w:pPr>
              <w:pStyle w:val="Prrafodelista"/>
              <w:numPr>
                <w:ilvl w:val="0"/>
                <w:numId w:val="36"/>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 xml:space="preserve">Materialización de acciones por parte del ICBF como ente rector del SNBF en materia de fortalecimiento técnico organizativo y familiar a las Autoridades Indígenas de asociación de cabildos y autoridades tradicionales unión de indígenas de Guainía y Vichada -ASOCAUNIGUVI- Pueblos Piapoco, Puinave, Sikuane (Convenio 1575 de 2016) </w:t>
            </w:r>
          </w:p>
          <w:p w:rsidR="00622F24" w:rsidRPr="005263A8" w:rsidRDefault="00622F24" w:rsidP="00D712DC">
            <w:pPr>
              <w:pStyle w:val="Prrafodelista"/>
              <w:numPr>
                <w:ilvl w:val="0"/>
                <w:numId w:val="36"/>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Desarrollo de mecanismos de atención integral y con enfoque diferencial étnico, a los niños, niñas y adolescentes indígenas víctimas de violencia sexual con el pueblo Totoró en Cauca, y con el pueblo Embera en Tierralta, departamento de Córdoba.</w:t>
            </w:r>
          </w:p>
          <w:p w:rsidR="00622F24" w:rsidRPr="005263A8" w:rsidRDefault="00622F24" w:rsidP="00D712DC">
            <w:pPr>
              <w:pStyle w:val="Prrafodelista"/>
              <w:numPr>
                <w:ilvl w:val="0"/>
                <w:numId w:val="36"/>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rPr>
            </w:pPr>
            <w:r w:rsidRPr="005263A8">
              <w:rPr>
                <w:rFonts w:cs="Arial"/>
                <w:bCs/>
                <w:color w:val="auto"/>
                <w:sz w:val="16"/>
                <w:szCs w:val="16"/>
              </w:rPr>
              <w:t>Propuesta de formalización de la Mesa de Seguimiento a la situación de la niñez indígena, y reformulación del alcance de la mesa.</w:t>
            </w:r>
          </w:p>
        </w:tc>
      </w:tr>
      <w:tr w:rsidR="00622F24" w:rsidRPr="005263A8" w:rsidTr="00540F07">
        <w:trPr>
          <w:trHeight w:val="945"/>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rPr>
              <w:t>Mesa de Seguimiento a la Implementación de la Política Pública de Niñez y Adolescencia Afro, Negra, Raizal y Palanquera.</w:t>
            </w:r>
          </w:p>
        </w:tc>
        <w:tc>
          <w:tcPr>
            <w:tcW w:w="1531" w:type="dxa"/>
            <w:vAlign w:val="center"/>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Primera Infancia, Infancia y Adolescencia </w:t>
            </w:r>
            <w:r w:rsidRPr="005263A8">
              <w:rPr>
                <w:rFonts w:cs="Arial"/>
                <w:color w:val="auto"/>
                <w:sz w:val="16"/>
                <w:szCs w:val="16"/>
              </w:rPr>
              <w:t>Afro, Negra, Raizal y Palanquera.</w:t>
            </w:r>
          </w:p>
        </w:tc>
        <w:tc>
          <w:tcPr>
            <w:tcW w:w="5699" w:type="dxa"/>
            <w:vAlign w:val="center"/>
          </w:tcPr>
          <w:p w:rsidR="00622F24" w:rsidRPr="005263A8" w:rsidRDefault="00622F24" w:rsidP="00D712DC">
            <w:pPr>
              <w:pStyle w:val="Prrafodelista"/>
              <w:numPr>
                <w:ilvl w:val="0"/>
                <w:numId w:val="28"/>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bCs/>
                <w:color w:val="auto"/>
                <w:sz w:val="16"/>
                <w:szCs w:val="16"/>
              </w:rPr>
              <w:t>Reformulación del alcance, objetivos, funciones y conformación de la Mesa de Seguimiento a la implementación de la política pública de niñez y adolescencia afro, negra, raizal y palenquera de manera conjunta con los diferentes agentes que asisten a esta instancia.</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rsidR="00622F24" w:rsidRPr="005263A8" w:rsidRDefault="00622F24" w:rsidP="008A2A9F">
            <w:pPr>
              <w:spacing w:after="0" w:line="240" w:lineRule="auto"/>
              <w:jc w:val="both"/>
              <w:rPr>
                <w:rFonts w:cs="Arial"/>
                <w:b w:val="0"/>
                <w:color w:val="auto"/>
                <w:sz w:val="16"/>
                <w:szCs w:val="16"/>
              </w:rPr>
            </w:pPr>
            <w:r w:rsidRPr="005263A8">
              <w:rPr>
                <w:rFonts w:cs="Arial"/>
                <w:b w:val="0"/>
                <w:color w:val="auto"/>
                <w:sz w:val="16"/>
                <w:szCs w:val="16"/>
              </w:rPr>
              <w:t>Mesa Nacional de Gasto Público en Niñez</w:t>
            </w:r>
          </w:p>
        </w:tc>
        <w:tc>
          <w:tcPr>
            <w:tcW w:w="1531" w:type="dxa"/>
            <w:shd w:val="clear" w:color="auto" w:fill="FFFFFF" w:themeFill="background1"/>
            <w:vAlign w:val="center"/>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y Adolescencia</w:t>
            </w:r>
          </w:p>
        </w:tc>
        <w:tc>
          <w:tcPr>
            <w:tcW w:w="5699" w:type="dxa"/>
            <w:shd w:val="clear" w:color="auto" w:fill="FFFFFF" w:themeFill="background1"/>
            <w:vAlign w:val="center"/>
          </w:tcPr>
          <w:p w:rsidR="00622F24" w:rsidRPr="005263A8" w:rsidRDefault="00622F24" w:rsidP="00D712DC">
            <w:pPr>
              <w:pStyle w:val="Prrafodelista"/>
              <w:numPr>
                <w:ilvl w:val="1"/>
                <w:numId w:val="43"/>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5263A8">
              <w:rPr>
                <w:rFonts w:cs="Arial"/>
                <w:color w:val="auto"/>
                <w:sz w:val="16"/>
                <w:szCs w:val="16"/>
              </w:rPr>
              <w:t>Avances en definición de la metodología de identificación del gasto en niñez y lineamientos para su elaboración.</w:t>
            </w:r>
          </w:p>
          <w:p w:rsidR="00622F24" w:rsidRPr="005263A8" w:rsidRDefault="00622F24" w:rsidP="00D712DC">
            <w:pPr>
              <w:pStyle w:val="Prrafodelista"/>
              <w:numPr>
                <w:ilvl w:val="1"/>
                <w:numId w:val="43"/>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rPr>
            </w:pPr>
            <w:r w:rsidRPr="005263A8">
              <w:rPr>
                <w:rFonts w:cs="Arial"/>
                <w:color w:val="auto"/>
                <w:sz w:val="16"/>
                <w:szCs w:val="16"/>
              </w:rPr>
              <w:t>Se acordó la participación del DNP en el Seminario Internacional “Hacia una mejor inversión en la infancia” en el marco de los Objetivos de Desarrollo Sostenible, en el cual se presentó por parte de la delegación Colombiana la Política de Estado para el Desarrollo Integral de la Primera Infancia.</w:t>
            </w:r>
          </w:p>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auto"/>
                <w:sz w:val="16"/>
                <w:szCs w:val="16"/>
                <w:lang w:val="es-MX"/>
              </w:rPr>
            </w:pPr>
          </w:p>
        </w:tc>
      </w:tr>
      <w:tr w:rsidR="00622F24" w:rsidRPr="005263A8" w:rsidTr="00540F07">
        <w:trPr>
          <w:trHeight w:val="419"/>
          <w:jc w:val="center"/>
        </w:trPr>
        <w:tc>
          <w:tcPr>
            <w:cnfStyle w:val="001000000000" w:firstRow="0" w:lastRow="0" w:firstColumn="1" w:lastColumn="0" w:oddVBand="0" w:evenVBand="0" w:oddHBand="0" w:evenHBand="0" w:firstRowFirstColumn="0" w:firstRowLastColumn="0" w:lastRowFirstColumn="0" w:lastRowLastColumn="0"/>
            <w:tcW w:w="8926" w:type="dxa"/>
            <w:gridSpan w:val="3"/>
            <w:shd w:val="clear" w:color="auto" w:fill="E2EFDA"/>
            <w:vAlign w:val="center"/>
          </w:tcPr>
          <w:p w:rsidR="00622F24" w:rsidRPr="005263A8" w:rsidRDefault="00622F24" w:rsidP="008A2A9F">
            <w:pPr>
              <w:spacing w:after="0" w:line="240" w:lineRule="auto"/>
              <w:jc w:val="center"/>
              <w:rPr>
                <w:rFonts w:cs="Arial"/>
                <w:color w:val="auto"/>
                <w:sz w:val="16"/>
                <w:szCs w:val="16"/>
                <w:lang w:eastAsia="es-CO"/>
              </w:rPr>
            </w:pPr>
            <w:r w:rsidRPr="00717DE1">
              <w:rPr>
                <w:rFonts w:cs="Arial"/>
                <w:color w:val="auto"/>
                <w:sz w:val="16"/>
                <w:szCs w:val="16"/>
                <w:lang w:eastAsia="es-CO"/>
              </w:rPr>
              <w:t>Mesas o Instancias de Participación</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Nacional de Participación de niños, niñas, adolescentes y jóvenes</w:t>
            </w:r>
          </w:p>
        </w:tc>
        <w:tc>
          <w:tcPr>
            <w:tcW w:w="1531" w:type="dxa"/>
            <w:shd w:val="clear" w:color="auto" w:fill="FFFFFF" w:themeFill="background1"/>
            <w:vAlign w:val="center"/>
            <w:hideMark/>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Primera infancia, Infancia, Adolescencia y Juventud</w:t>
            </w:r>
          </w:p>
        </w:tc>
        <w:tc>
          <w:tcPr>
            <w:tcW w:w="5699" w:type="dxa"/>
            <w:shd w:val="clear" w:color="auto" w:fill="FFFFFF" w:themeFill="background1"/>
            <w:vAlign w:val="center"/>
            <w:hideMark/>
          </w:tcPr>
          <w:p w:rsidR="00622F24" w:rsidRPr="005263A8" w:rsidRDefault="00622F24" w:rsidP="00D712DC">
            <w:pPr>
              <w:pStyle w:val="Prrafodelista"/>
              <w:numPr>
                <w:ilvl w:val="0"/>
                <w:numId w:val="27"/>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Promoción de la participación de niños, niñas y adolescentes en la formulación de los planes de desarrollo territoriales y diseño y construcción de herramientas metodológicas.</w:t>
            </w:r>
          </w:p>
          <w:p w:rsidR="00622F24" w:rsidRPr="005263A8" w:rsidRDefault="00622F24" w:rsidP="00D712DC">
            <w:pPr>
              <w:pStyle w:val="Prrafodelista"/>
              <w:numPr>
                <w:ilvl w:val="0"/>
                <w:numId w:val="27"/>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Propuesta de inclusión temática y de apoyo técnico al Consejo Nacional de Participación (Ley 1757 de 2015) por parte de la Mesa Nacional de Participación de Niños, Niñas, Adolescentes y Jóvenes, y propuesta de resolución para definir el mecanismo de representación de niños, niñas y adolescentes en esta instancia. </w:t>
            </w:r>
          </w:p>
          <w:p w:rsidR="00622F24" w:rsidRPr="005263A8" w:rsidRDefault="00622F24" w:rsidP="00D712DC">
            <w:pPr>
              <w:pStyle w:val="Prrafodelista"/>
              <w:numPr>
                <w:ilvl w:val="0"/>
                <w:numId w:val="27"/>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lastRenderedPageBreak/>
              <w:t xml:space="preserve">Diseño y diligenciamiento de matriz de gestión del conocimiento y creación de una base de datos tanto de experiencias de participación como de documentos técnicos y metodológicos. </w:t>
            </w:r>
          </w:p>
          <w:p w:rsidR="00622F24" w:rsidRPr="005263A8" w:rsidRDefault="00622F24" w:rsidP="00D712DC">
            <w:pPr>
              <w:pStyle w:val="Prrafodelista"/>
              <w:numPr>
                <w:ilvl w:val="0"/>
                <w:numId w:val="27"/>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Desarrollo de metodologías de trabajo con adultos sobre la participación de niños, niñas y adolescentes, e insumos para el fortalecimiento de los procesos de conformación y el fortalecimiento de las mesas de participación de niños, niñas y adolescentes. </w:t>
            </w:r>
          </w:p>
          <w:p w:rsidR="00622F24" w:rsidRPr="005263A8" w:rsidRDefault="00622F24" w:rsidP="00D712DC">
            <w:pPr>
              <w:pStyle w:val="Prrafodelista"/>
              <w:numPr>
                <w:ilvl w:val="0"/>
                <w:numId w:val="27"/>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resolución para formalización de esta instancia como escenario técnico del SNBF.</w:t>
            </w:r>
          </w:p>
        </w:tc>
      </w:tr>
      <w:tr w:rsidR="00622F24" w:rsidRPr="005263A8" w:rsidTr="00540F07">
        <w:trPr>
          <w:trHeight w:val="419"/>
          <w:jc w:val="center"/>
        </w:trPr>
        <w:tc>
          <w:tcPr>
            <w:cnfStyle w:val="001000000000" w:firstRow="0" w:lastRow="0" w:firstColumn="1" w:lastColumn="0" w:oddVBand="0" w:evenVBand="0" w:oddHBand="0" w:evenHBand="0" w:firstRowFirstColumn="0" w:firstRowLastColumn="0" w:lastRowFirstColumn="0" w:lastRowLastColumn="0"/>
            <w:tcW w:w="8926" w:type="dxa"/>
            <w:gridSpan w:val="3"/>
            <w:shd w:val="clear" w:color="auto" w:fill="E2EFDA"/>
            <w:vAlign w:val="center"/>
          </w:tcPr>
          <w:p w:rsidR="00622F24" w:rsidRPr="005263A8" w:rsidRDefault="00622F24" w:rsidP="008A2A9F">
            <w:pPr>
              <w:spacing w:after="0" w:line="240" w:lineRule="auto"/>
              <w:jc w:val="center"/>
              <w:rPr>
                <w:rFonts w:cs="Arial"/>
                <w:color w:val="auto"/>
                <w:sz w:val="16"/>
                <w:szCs w:val="16"/>
                <w:lang w:eastAsia="es-CO"/>
              </w:rPr>
            </w:pPr>
            <w:r w:rsidRPr="00717DE1">
              <w:rPr>
                <w:rFonts w:cs="Arial"/>
                <w:color w:val="auto"/>
                <w:sz w:val="16"/>
                <w:szCs w:val="16"/>
                <w:lang w:eastAsia="es-CO"/>
              </w:rPr>
              <w:lastRenderedPageBreak/>
              <w:t>Mesas o Instancias de otros Sistemas</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Consejo Nacional de Discapacidad</w:t>
            </w:r>
          </w:p>
        </w:tc>
        <w:tc>
          <w:tcPr>
            <w:tcW w:w="1531" w:type="dxa"/>
            <w:shd w:val="clear" w:color="auto" w:fill="FFFFFF" w:themeFill="background1"/>
            <w:vAlign w:val="center"/>
            <w:hideMark/>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Población con discapacidad</w:t>
            </w:r>
          </w:p>
        </w:tc>
        <w:tc>
          <w:tcPr>
            <w:tcW w:w="5699" w:type="dxa"/>
            <w:shd w:val="clear" w:color="auto" w:fill="FFFFFF" w:themeFill="background1"/>
            <w:vAlign w:val="center"/>
            <w:hideMark/>
          </w:tcPr>
          <w:p w:rsidR="00622F24" w:rsidRPr="005263A8" w:rsidRDefault="00622F24" w:rsidP="008A2A9F">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6"/>
                <w:szCs w:val="16"/>
              </w:rPr>
            </w:pPr>
            <w:r w:rsidRPr="005263A8">
              <w:rPr>
                <w:rFonts w:ascii="Arial" w:hAnsi="Arial" w:cs="Arial"/>
                <w:color w:val="auto"/>
                <w:sz w:val="16"/>
                <w:szCs w:val="16"/>
              </w:rPr>
              <w:t xml:space="preserve">Propuesta de programa de atención a familias de personas con discapacidad en situación de vulnerabilidad. </w:t>
            </w:r>
          </w:p>
          <w:p w:rsidR="00622F24" w:rsidRPr="005263A8" w:rsidRDefault="00622F24" w:rsidP="008A2A9F">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val="es-CO" w:eastAsia="es-CO"/>
              </w:rPr>
            </w:pPr>
            <w:r w:rsidRPr="005263A8">
              <w:rPr>
                <w:rFonts w:cs="Arial"/>
                <w:color w:val="auto"/>
                <w:sz w:val="16"/>
                <w:szCs w:val="16"/>
                <w:lang w:val="es-CO" w:eastAsia="es-CO"/>
              </w:rPr>
              <w:t>Aportes a la Resolución “Por la cual se reglamenta el Decreto 2297 de 2015 y se dictan otras disposiciones”. Participación en las sesiones del Consejo Nacional de Discapacidad.</w:t>
            </w:r>
            <w:r w:rsidRPr="005263A8">
              <w:rPr>
                <w:rFonts w:cs="Arial"/>
                <w:b/>
                <w:bCs/>
                <w:color w:val="auto"/>
                <w:sz w:val="16"/>
                <w:szCs w:val="16"/>
              </w:rPr>
              <w:t xml:space="preserve"> </w:t>
            </w:r>
            <w:r w:rsidRPr="005263A8">
              <w:rPr>
                <w:rFonts w:cs="Arial"/>
                <w:color w:val="auto"/>
                <w:sz w:val="16"/>
                <w:szCs w:val="16"/>
                <w:lang w:val="es-CO" w:eastAsia="es-CO"/>
              </w:rPr>
              <w:t>En proceso la preparación del Estado colombiano de cara a la sustentación del primer informe presentado ante la ONU referente a la aplicación de la Convención sobre los derechos de las personas con discapacidad.</w:t>
            </w:r>
          </w:p>
          <w:p w:rsidR="00622F24" w:rsidRPr="005263A8" w:rsidRDefault="00622F24" w:rsidP="008A2A9F">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val="es-CO" w:eastAsia="es-CO"/>
              </w:rPr>
              <w:t>Socialización de Agendas Territoriales Conjuntas construidas por representantes de las organizaciones de personas con discapacidad, ante las instancias del Sistema Nacional de Discapacidad, en 12 departamentos.</w:t>
            </w:r>
          </w:p>
        </w:tc>
      </w:tr>
      <w:tr w:rsidR="00622F24" w:rsidRPr="005263A8" w:rsidTr="00540F07">
        <w:trPr>
          <w:trHeight w:val="533"/>
          <w:jc w:val="center"/>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Sistema Nacional de Coordinación de Respo</w:t>
            </w:r>
            <w:r w:rsidR="005263A8">
              <w:rPr>
                <w:rFonts w:cs="Arial"/>
                <w:b w:val="0"/>
                <w:color w:val="auto"/>
                <w:sz w:val="16"/>
                <w:szCs w:val="16"/>
                <w:lang w:eastAsia="es-CO"/>
              </w:rPr>
              <w:t>nsabili</w:t>
            </w:r>
            <w:r w:rsidRPr="005263A8">
              <w:rPr>
                <w:rFonts w:cs="Arial"/>
                <w:b w:val="0"/>
                <w:color w:val="auto"/>
                <w:sz w:val="16"/>
                <w:szCs w:val="16"/>
                <w:lang w:eastAsia="es-CO"/>
              </w:rPr>
              <w:t>dad Penal para Adolescentes</w:t>
            </w:r>
          </w:p>
        </w:tc>
        <w:tc>
          <w:tcPr>
            <w:tcW w:w="1531" w:type="dxa"/>
            <w:vAlign w:val="center"/>
            <w:hideMark/>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vAlign w:val="center"/>
            <w:hideMark/>
          </w:tcPr>
          <w:p w:rsidR="00622F24" w:rsidRPr="005263A8" w:rsidRDefault="00622F24" w:rsidP="00D712DC">
            <w:pPr>
              <w:pStyle w:val="Sinespaciado"/>
              <w:numPr>
                <w:ilvl w:val="0"/>
                <w:numId w:val="29"/>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Aprobación del plan de acción del SNCRPA.</w:t>
            </w:r>
          </w:p>
          <w:p w:rsidR="00622F24" w:rsidRPr="005263A8" w:rsidRDefault="00622F24" w:rsidP="00D712DC">
            <w:pPr>
              <w:pStyle w:val="Sinespaciado"/>
              <w:numPr>
                <w:ilvl w:val="0"/>
                <w:numId w:val="29"/>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Aprobación del </w:t>
            </w:r>
            <w:r w:rsidRPr="005263A8">
              <w:rPr>
                <w:rFonts w:cs="Arial"/>
                <w:bCs/>
                <w:color w:val="auto"/>
                <w:sz w:val="16"/>
                <w:szCs w:val="16"/>
              </w:rPr>
              <w:t>documento de “</w:t>
            </w:r>
            <w:r w:rsidRPr="005263A8">
              <w:rPr>
                <w:rFonts w:cs="Arial"/>
                <w:bCs/>
                <w:i/>
                <w:color w:val="auto"/>
                <w:sz w:val="16"/>
                <w:szCs w:val="16"/>
              </w:rPr>
              <w:t>Recomendaciones para la Garantía de Derechos de Adolescentes en Conflicto con la Ley Penal, en la Formulación de Planes de Desarrollo de alcaldes y Gobernadores, para el Periodo 2016-2019”</w:t>
            </w:r>
            <w:r w:rsidRPr="005263A8">
              <w:rPr>
                <w:rFonts w:cs="Arial"/>
                <w:bCs/>
                <w:color w:val="auto"/>
                <w:sz w:val="16"/>
                <w:szCs w:val="16"/>
              </w:rPr>
              <w:t>, para la inclusión de la temática del Sistema de Responsabilidad Penal para Adolescentes y de prevención de delincuencia juvenil en los planes de desarrollo territoriales y remisión a las diferentes entidades territoriales.</w:t>
            </w:r>
          </w:p>
          <w:p w:rsidR="00622F24" w:rsidRPr="005263A8" w:rsidRDefault="00622F24" w:rsidP="00D712DC">
            <w:pPr>
              <w:pStyle w:val="Sinespaciado"/>
              <w:numPr>
                <w:ilvl w:val="0"/>
                <w:numId w:val="29"/>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Revisión y observaciones al “Programa de seguimiento Judicial de tratamiento de drogas en el SRPA - PROSAT-", el cual valora la viabilidad de medidas alternativas a la privación de libertad en el SRPA, en los casos donde existe relación entre consumo de SPA y comisión de delitos menores.</w:t>
            </w:r>
          </w:p>
          <w:p w:rsidR="00622F24" w:rsidRPr="005263A8" w:rsidRDefault="00622F24" w:rsidP="00D712DC">
            <w:pPr>
              <w:pStyle w:val="Sinespaciado"/>
              <w:numPr>
                <w:ilvl w:val="0"/>
                <w:numId w:val="29"/>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Consolidación del espacio como instancia de coordinación del SRPA a nivel nacional.</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Comité Técnico del SNCRPA</w:t>
            </w:r>
          </w:p>
        </w:tc>
        <w:tc>
          <w:tcPr>
            <w:tcW w:w="1531" w:type="dxa"/>
            <w:shd w:val="clear" w:color="auto" w:fill="FFFFFF" w:themeFill="background1"/>
            <w:vAlign w:val="center"/>
          </w:tcPr>
          <w:p w:rsidR="00622F24" w:rsidRPr="005263A8" w:rsidRDefault="00622F24"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shd w:val="clear" w:color="auto" w:fill="FFFFFF" w:themeFill="background1"/>
            <w:vAlign w:val="center"/>
          </w:tcPr>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Discusión y ajustes al plan de acción del SNCRA.</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Elaboración y difusión del documento de “Recomendaciones para la Garantía de Derechos de Adolescentes en Conflicto con la Ley Penal, en la Formulación de Planes de Desarrollo de alcaldes y Gobernadores, para el Periodo 2016-2019”, para la inclusión de la temática del Sistema de Responsabilidad Penal para Adolescentes y de prevención de delincuencia juvenil en los planes de desarrollo territoriales.</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Análisis y aprobación a la implementación del Decreto No. 2383 de 2015, “por el cual se reglamenta la prestación del servicio educativo en el marco del Sistema de Responsabilidad Penal para Adolescentes y se adiciona al Decreto 1075 de 2015 -Único Reglamentario del Sector Educación”</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Definición de estrategias y metodologías de trabajo a partir de las mesas técnicas y temáticas del SRPA.</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Impulsar la socialización en las regiones de las propuestas de articulación interinstitucional en materia de garantía de los derechos a la salud y a la educación. </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Consolidación del comité como una instancia de coordinación técnica del SRPA a nivel nacional a partir de una mayor presencia y dinámica institucional.</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Acompañamiento a la instalación de 27 Comités Departamentales del Sistema de Coordinación del SRPA, creados mediante el Decreto 1885 de 2015 y a la construcción y aprobación de doce (12) planes de acción de los Comités Departamentales. Como resultado de esta acción se destaca el fortalecimiento de las políticas públicas territoriales y el </w:t>
            </w:r>
            <w:r w:rsidRPr="005263A8">
              <w:rPr>
                <w:rFonts w:cs="Arial"/>
                <w:color w:val="auto"/>
                <w:sz w:val="16"/>
                <w:szCs w:val="16"/>
                <w:lang w:eastAsia="es-CO"/>
              </w:rPr>
              <w:lastRenderedPageBreak/>
              <w:t xml:space="preserve">avance en el reconocimiento y legitimación de las instancias de coordinación nacional en el ámbito local. </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Análisis estadístico de ingresos y reincidencias en el Sistema de Responsabilidad Penal para Adolescentes teniendo en cuenta como fuentes el Instituto Colombiano de Bienestar Familiar, la Policía de Infancia y Adolescencia, la Fiscalía General de la Nación y el Consejo Superior de la Judicatura. Lo anterior con el fin de articular acciones para fortalecer los sistemas de información y facilitar las tomas de decisiones que se requieran en materia de garantía de derechos de la población adolescente y joven en conflicto con la ley penal.</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Elaboración de un documento de inventario de investigaciones y artículos indexados desarrollados en materia del Sistema de Responsabilidad Penal para Adolescentes con categorías de análisis, generado en el marco del Subcomité de Fortalecimiento Técnico del SNCRPA. </w:t>
            </w:r>
          </w:p>
          <w:p w:rsidR="00622F24" w:rsidRPr="005263A8" w:rsidRDefault="00622F24" w:rsidP="00D712DC">
            <w:pPr>
              <w:pStyle w:val="Sinespaciado"/>
              <w:numPr>
                <w:ilvl w:val="0"/>
                <w:numId w:val="31"/>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Liderazgo en el Subcomité de Articulación Nación – Territorio del SNCRPA, el cual sesionó cinco (5) veces y a través del cual se elaboró un documento borrador que refleja la articulación entre los diferentes sistemas administrativos para la garantía de derechos de los adolescentes y jóvenes en conflicto con la ley penal”. Actualmente el documento está para presentar a la Subdirectora de Articulación Nacional para su revisión y ajustes (según corresponda).</w:t>
            </w:r>
          </w:p>
        </w:tc>
      </w:tr>
      <w:tr w:rsidR="00622F24" w:rsidRPr="005263A8" w:rsidTr="00540F07">
        <w:trPr>
          <w:trHeight w:val="533"/>
          <w:jc w:val="center"/>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lastRenderedPageBreak/>
              <w:t>Mesa Técnica de Cultura para el Sistema de Responsabilidad Penal para Adolescentes</w:t>
            </w:r>
          </w:p>
        </w:tc>
        <w:tc>
          <w:tcPr>
            <w:tcW w:w="1531" w:type="dxa"/>
            <w:vAlign w:val="center"/>
            <w:hideMark/>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Adolescentes y jóvenes en conflicto con la ley penal</w:t>
            </w:r>
          </w:p>
        </w:tc>
        <w:tc>
          <w:tcPr>
            <w:tcW w:w="5699" w:type="dxa"/>
            <w:vAlign w:val="center"/>
            <w:hideMark/>
          </w:tcPr>
          <w:p w:rsidR="00622F24" w:rsidRPr="005263A8" w:rsidRDefault="00622F24" w:rsidP="00D712DC">
            <w:pPr>
              <w:pStyle w:val="Sinespaciado"/>
              <w:numPr>
                <w:ilvl w:val="0"/>
                <w:numId w:val="35"/>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Para la vigencia 2016, se cuenta con la minuta del convenio tripartito entre el Instituto Colombiano de Bienestar Familiar, el Ministerio de Cultura y Entre las Artes, con el objeto de “</w:t>
            </w:r>
            <w:r w:rsidRPr="005263A8">
              <w:rPr>
                <w:rFonts w:cs="Arial"/>
                <w:i/>
                <w:color w:val="auto"/>
                <w:sz w:val="16"/>
                <w:szCs w:val="16"/>
                <w:lang w:eastAsia="es-CO"/>
              </w:rPr>
              <w:t>aunar recursos humanos, administrativos, financieros y de asistencia técnica para desarrollar los componentes operativos, pedagógicos y de seguimiento del “Curso Laboratorio de Formación para la Creación Artística para el SRPA”, en diez (10) Regionales del ICBF</w:t>
            </w:r>
            <w:r w:rsidRPr="005263A8">
              <w:rPr>
                <w:rFonts w:cs="Arial"/>
                <w:color w:val="auto"/>
                <w:sz w:val="16"/>
                <w:szCs w:val="16"/>
                <w:lang w:eastAsia="es-CO"/>
              </w:rPr>
              <w:t>: Atlántico, Boyacá, Caldas, Meta, Santander, Tolima, y hacer seguimiento a los procesos adelantados en las Regionales que participaron en el proceso del Curso de Laboratorios de Creación Colectiva durante la vigencia 2015: Bogotá, Bolívar, Valle del Cauca y Antioquia.</w:t>
            </w:r>
          </w:p>
          <w:p w:rsidR="00622F24" w:rsidRPr="005263A8" w:rsidRDefault="00622F24" w:rsidP="00D712DC">
            <w:pPr>
              <w:pStyle w:val="Sinespaciado"/>
              <w:numPr>
                <w:ilvl w:val="0"/>
                <w:numId w:val="35"/>
              </w:numPr>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Acompañamiento en el Comité Técnico del Convenio No. 1311 de 2016, suscrito entre el ICBF, Ministerio de Cultura y la Asociación Mutual entre las Artes.</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hideMark/>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técnica del Programa Nacional Casas de Justicia y Centros de Convivencia</w:t>
            </w:r>
          </w:p>
        </w:tc>
        <w:tc>
          <w:tcPr>
            <w:tcW w:w="1531" w:type="dxa"/>
            <w:shd w:val="clear" w:color="auto" w:fill="FFFFFF" w:themeFill="background1"/>
            <w:vAlign w:val="center"/>
            <w:hideMark/>
          </w:tcPr>
          <w:p w:rsidR="00622F24" w:rsidRPr="005263A8" w:rsidRDefault="005263A8"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Pr>
                <w:rFonts w:cs="Arial"/>
                <w:color w:val="auto"/>
                <w:sz w:val="16"/>
                <w:szCs w:val="16"/>
                <w:lang w:eastAsia="es-CO"/>
              </w:rPr>
              <w:t>Niños, Niñas y A</w:t>
            </w:r>
            <w:r w:rsidR="00622F24" w:rsidRPr="005263A8">
              <w:rPr>
                <w:rFonts w:cs="Arial"/>
                <w:color w:val="auto"/>
                <w:sz w:val="16"/>
                <w:szCs w:val="16"/>
                <w:lang w:eastAsia="es-CO"/>
              </w:rPr>
              <w:t>dolescentes</w:t>
            </w:r>
          </w:p>
        </w:tc>
        <w:tc>
          <w:tcPr>
            <w:tcW w:w="5699" w:type="dxa"/>
            <w:shd w:val="clear" w:color="auto" w:fill="FFFFFF" w:themeFill="background1"/>
            <w:vAlign w:val="center"/>
            <w:hideMark/>
          </w:tcPr>
          <w:p w:rsidR="00622F24" w:rsidRPr="005263A8" w:rsidRDefault="00622F24" w:rsidP="00D712DC">
            <w:pPr>
              <w:pStyle w:val="Sinespaciado"/>
              <w:numPr>
                <w:ilvl w:val="0"/>
                <w:numId w:val="32"/>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Se logró convocar a todas las entidades participantes en las Casas de Justicia y Centros de Convivencia, luego de diez (10) años de no funcionamiento.</w:t>
            </w:r>
          </w:p>
          <w:p w:rsidR="00622F24" w:rsidRPr="005263A8" w:rsidRDefault="00622F24" w:rsidP="00D712DC">
            <w:pPr>
              <w:pStyle w:val="Sinespaciado"/>
              <w:numPr>
                <w:ilvl w:val="0"/>
                <w:numId w:val="32"/>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Preparación del Comité Nacional de Casas de Justicia y Centros de Convivencia.</w:t>
            </w:r>
          </w:p>
          <w:p w:rsidR="00622F24" w:rsidRPr="005263A8" w:rsidRDefault="00622F24" w:rsidP="00D712DC">
            <w:pPr>
              <w:pStyle w:val="Sinespaciado"/>
              <w:numPr>
                <w:ilvl w:val="0"/>
                <w:numId w:val="32"/>
              </w:numPr>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Articulación del Programa Nacional Casas de Justicia y Centros de Convivencia con el Sistema de Responsabilidad Penal para Adolescentes, a través del Comité Técnico del SNCRPA. </w:t>
            </w:r>
          </w:p>
        </w:tc>
      </w:tr>
      <w:tr w:rsidR="00622F24" w:rsidRPr="005263A8" w:rsidTr="00540F07">
        <w:trPr>
          <w:trHeight w:val="883"/>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rsidR="00622F24" w:rsidRPr="005263A8" w:rsidRDefault="00622F24" w:rsidP="008A2A9F">
            <w:pPr>
              <w:pStyle w:val="Sinespaciado"/>
              <w:jc w:val="both"/>
              <w:rPr>
                <w:rFonts w:cs="Arial"/>
                <w:b w:val="0"/>
                <w:color w:val="auto"/>
                <w:sz w:val="16"/>
                <w:szCs w:val="16"/>
              </w:rPr>
            </w:pPr>
            <w:r w:rsidRPr="005263A8">
              <w:rPr>
                <w:rFonts w:cs="Arial"/>
                <w:b w:val="0"/>
                <w:color w:val="auto"/>
                <w:sz w:val="16"/>
                <w:szCs w:val="16"/>
              </w:rPr>
              <w:t>Comisión Intersectorial de la Política Pública Nacional de Equidad de Género para las Mujeres.</w:t>
            </w:r>
          </w:p>
          <w:p w:rsidR="00622F24" w:rsidRPr="005263A8" w:rsidRDefault="00622F24" w:rsidP="008A2A9F">
            <w:pPr>
              <w:pStyle w:val="Sinespaciado"/>
              <w:jc w:val="both"/>
              <w:rPr>
                <w:rFonts w:cs="Arial"/>
                <w:b w:val="0"/>
                <w:color w:val="auto"/>
                <w:sz w:val="16"/>
                <w:szCs w:val="16"/>
              </w:rPr>
            </w:pPr>
          </w:p>
        </w:tc>
        <w:tc>
          <w:tcPr>
            <w:tcW w:w="1531" w:type="dxa"/>
            <w:vAlign w:val="center"/>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auto"/>
                <w:sz w:val="16"/>
                <w:szCs w:val="16"/>
                <w:lang w:eastAsia="es-CO"/>
              </w:rPr>
            </w:pPr>
          </w:p>
        </w:tc>
        <w:tc>
          <w:tcPr>
            <w:tcW w:w="5699" w:type="dxa"/>
            <w:vAlign w:val="center"/>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auto"/>
                <w:sz w:val="16"/>
                <w:szCs w:val="16"/>
                <w:lang w:val="es-CO" w:eastAsia="es-CO"/>
              </w:rPr>
            </w:pPr>
            <w:r w:rsidRPr="005263A8">
              <w:rPr>
                <w:rFonts w:cs="Arial"/>
                <w:color w:val="auto"/>
                <w:sz w:val="16"/>
                <w:szCs w:val="16"/>
                <w:lang w:eastAsia="es-CO"/>
              </w:rPr>
              <w:t>Trabajo conceptual para la formulación e implementación Mecanismo de articulación para la atención integral a las violencias de género, que recoge los mandatos legales y jurisprudenciales de: Ley 1146 de 2007, Ley 1257 de 2008, Ley 1719 de 2014, Ley 1753 de 2015, Auto 009 de 2015.</w:t>
            </w:r>
          </w:p>
        </w:tc>
      </w:tr>
      <w:tr w:rsidR="00622F24" w:rsidRPr="005263A8" w:rsidTr="00540F07">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Mesa Intra e Intersectorial para dar respuesta integral a los asuntos relacionados con las sustancias psicoactivas SPA</w:t>
            </w:r>
          </w:p>
        </w:tc>
        <w:tc>
          <w:tcPr>
            <w:tcW w:w="1531" w:type="dxa"/>
            <w:shd w:val="clear" w:color="auto" w:fill="FFFFFF" w:themeFill="background1"/>
            <w:vAlign w:val="center"/>
          </w:tcPr>
          <w:p w:rsidR="00622F24" w:rsidRPr="005263A8" w:rsidRDefault="005263A8" w:rsidP="008A2A9F">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Pr>
                <w:rFonts w:cs="Arial"/>
                <w:color w:val="auto"/>
                <w:sz w:val="16"/>
                <w:szCs w:val="16"/>
                <w:lang w:eastAsia="es-CO"/>
              </w:rPr>
              <w:t>Niños, Niñas y A</w:t>
            </w:r>
            <w:r w:rsidR="00622F24" w:rsidRPr="005263A8">
              <w:rPr>
                <w:rFonts w:cs="Arial"/>
                <w:color w:val="auto"/>
                <w:sz w:val="16"/>
                <w:szCs w:val="16"/>
                <w:lang w:eastAsia="es-CO"/>
              </w:rPr>
              <w:t>dolescentes</w:t>
            </w:r>
          </w:p>
        </w:tc>
        <w:tc>
          <w:tcPr>
            <w:tcW w:w="5699" w:type="dxa"/>
            <w:shd w:val="clear" w:color="auto" w:fill="FFFFFF" w:themeFill="background1"/>
            <w:vAlign w:val="center"/>
          </w:tcPr>
          <w:p w:rsidR="00622F24" w:rsidRPr="005263A8" w:rsidRDefault="00622F24" w:rsidP="00D712DC">
            <w:pPr>
              <w:pStyle w:val="Prrafodelista"/>
              <w:numPr>
                <w:ilvl w:val="0"/>
                <w:numId w:val="34"/>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Se ha logrado definir acciones para ser seguidas en el plan de acción del ICBF con el Ministerio de Salud que demarcan el plan de trabajo de la mesa.</w:t>
            </w:r>
          </w:p>
          <w:p w:rsidR="00622F24" w:rsidRPr="005263A8" w:rsidRDefault="00622F24" w:rsidP="00D712DC">
            <w:pPr>
              <w:pStyle w:val="Prrafodelista"/>
              <w:numPr>
                <w:ilvl w:val="0"/>
                <w:numId w:val="34"/>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Se realizan talleres regionales organizados por el MSPS para prevención del consumo de sustancias psicoactivas. </w:t>
            </w:r>
          </w:p>
        </w:tc>
      </w:tr>
      <w:tr w:rsidR="00622F24" w:rsidRPr="005263A8" w:rsidTr="00540F07">
        <w:trPr>
          <w:trHeight w:val="533"/>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rsidR="00622F24" w:rsidRPr="005263A8" w:rsidRDefault="00622F24" w:rsidP="008A2A9F">
            <w:pPr>
              <w:spacing w:after="0" w:line="240" w:lineRule="auto"/>
              <w:jc w:val="both"/>
              <w:rPr>
                <w:rFonts w:cs="Arial"/>
                <w:b w:val="0"/>
                <w:color w:val="auto"/>
                <w:sz w:val="16"/>
                <w:szCs w:val="16"/>
                <w:lang w:eastAsia="es-CO"/>
              </w:rPr>
            </w:pPr>
            <w:r w:rsidRPr="005263A8">
              <w:rPr>
                <w:rFonts w:cs="Arial"/>
                <w:b w:val="0"/>
                <w:color w:val="auto"/>
                <w:sz w:val="16"/>
                <w:szCs w:val="16"/>
                <w:lang w:eastAsia="es-CO"/>
              </w:rPr>
              <w:t xml:space="preserve">Mesa de Entornos Saludables </w:t>
            </w:r>
          </w:p>
        </w:tc>
        <w:tc>
          <w:tcPr>
            <w:tcW w:w="1531" w:type="dxa"/>
            <w:vAlign w:val="center"/>
          </w:tcPr>
          <w:p w:rsidR="00622F24" w:rsidRPr="005263A8" w:rsidRDefault="00622F24" w:rsidP="008A2A9F">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p>
        </w:tc>
        <w:tc>
          <w:tcPr>
            <w:tcW w:w="5699" w:type="dxa"/>
            <w:vAlign w:val="center"/>
          </w:tcPr>
          <w:p w:rsidR="00622F24" w:rsidRPr="005263A8" w:rsidRDefault="00622F24" w:rsidP="00D712DC">
            <w:pPr>
              <w:pStyle w:val="Prrafodelista"/>
              <w:numPr>
                <w:ilvl w:val="0"/>
                <w:numId w:val="33"/>
              </w:num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En el marco de esta mesa se promueve la acción intersectorial para promover Entonos Saludables; </w:t>
            </w:r>
          </w:p>
          <w:p w:rsidR="00622F24" w:rsidRPr="005263A8" w:rsidRDefault="00622F24" w:rsidP="00D712DC">
            <w:pPr>
              <w:pStyle w:val="Prrafodelista"/>
              <w:numPr>
                <w:ilvl w:val="0"/>
                <w:numId w:val="33"/>
              </w:num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 xml:space="preserve">Materiales y propuestas de acción desarrollados por el MSPS </w:t>
            </w:r>
          </w:p>
          <w:p w:rsidR="00622F24" w:rsidRPr="005263A8" w:rsidRDefault="00622F24" w:rsidP="00D712DC">
            <w:pPr>
              <w:pStyle w:val="Prrafodelista"/>
              <w:numPr>
                <w:ilvl w:val="0"/>
                <w:numId w:val="33"/>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Arial"/>
                <w:color w:val="auto"/>
                <w:sz w:val="16"/>
                <w:szCs w:val="16"/>
                <w:lang w:eastAsia="es-CO"/>
              </w:rPr>
            </w:pPr>
            <w:r w:rsidRPr="005263A8">
              <w:rPr>
                <w:rFonts w:cs="Arial"/>
                <w:color w:val="auto"/>
                <w:sz w:val="16"/>
                <w:szCs w:val="16"/>
                <w:lang w:eastAsia="es-CO"/>
              </w:rPr>
              <w:t>Propuesta de acción intersectorial.</w:t>
            </w:r>
          </w:p>
        </w:tc>
      </w:tr>
    </w:tbl>
    <w:p w:rsidR="007C502E" w:rsidRPr="00540F07" w:rsidRDefault="00540F07" w:rsidP="00D330D0">
      <w:pPr>
        <w:rPr>
          <w:sz w:val="14"/>
          <w:szCs w:val="14"/>
        </w:rPr>
      </w:pPr>
      <w:r>
        <w:rPr>
          <w:b/>
          <w:sz w:val="12"/>
          <w:szCs w:val="12"/>
        </w:rPr>
        <w:t xml:space="preserve">       </w:t>
      </w:r>
      <w:r w:rsidR="00F7316B" w:rsidRPr="00540F07">
        <w:rPr>
          <w:b/>
          <w:sz w:val="14"/>
          <w:szCs w:val="14"/>
        </w:rPr>
        <w:t>Fuente:</w:t>
      </w:r>
      <w:r w:rsidR="00F7316B" w:rsidRPr="00540F07">
        <w:rPr>
          <w:sz w:val="14"/>
          <w:szCs w:val="14"/>
        </w:rPr>
        <w:t xml:space="preserve"> SNBF</w:t>
      </w:r>
    </w:p>
    <w:p w:rsidR="00622F24" w:rsidRPr="00D330D0" w:rsidRDefault="00622F24" w:rsidP="00D330D0">
      <w:pPr>
        <w:rPr>
          <w:b/>
        </w:rPr>
      </w:pPr>
      <w:r w:rsidRPr="00D330D0">
        <w:rPr>
          <w:b/>
        </w:rPr>
        <w:lastRenderedPageBreak/>
        <w:t>Seguimiento a temas relacionados con niñez</w:t>
      </w:r>
    </w:p>
    <w:p w:rsidR="00622F24" w:rsidRPr="00714BDC" w:rsidRDefault="00622F24" w:rsidP="00622F24">
      <w:pPr>
        <w:autoSpaceDE w:val="0"/>
        <w:autoSpaceDN w:val="0"/>
        <w:adjustRightInd w:val="0"/>
        <w:spacing w:after="0" w:line="240" w:lineRule="auto"/>
        <w:jc w:val="both"/>
        <w:rPr>
          <w:rFonts w:cs="Arial"/>
          <w:iCs/>
        </w:rPr>
      </w:pPr>
      <w:r w:rsidRPr="00714BDC">
        <w:rPr>
          <w:rFonts w:cs="Arial"/>
          <w:iCs/>
        </w:rPr>
        <w:t>Como parte de las responsabilidades de la Dirección del Sistema Nacional de Bienestar Familiar en relación con el seguimiento a temas relacionados con niñez, se revisaron y formularon ajustes a propuestas normativas y de política pública tales como:</w:t>
      </w:r>
    </w:p>
    <w:p w:rsidR="00622F24" w:rsidRPr="00714BDC" w:rsidRDefault="00622F24" w:rsidP="00622F24">
      <w:pPr>
        <w:autoSpaceDE w:val="0"/>
        <w:autoSpaceDN w:val="0"/>
        <w:adjustRightInd w:val="0"/>
        <w:spacing w:after="0" w:line="240" w:lineRule="auto"/>
        <w:jc w:val="both"/>
        <w:rPr>
          <w:rFonts w:cs="Arial"/>
          <w:iCs/>
        </w:rPr>
      </w:pPr>
    </w:p>
    <w:p w:rsidR="00622F24" w:rsidRPr="00C65253" w:rsidRDefault="00622F24" w:rsidP="00D712DC">
      <w:pPr>
        <w:pStyle w:val="Prrafodelista"/>
        <w:numPr>
          <w:ilvl w:val="0"/>
          <w:numId w:val="124"/>
        </w:numPr>
        <w:autoSpaceDE w:val="0"/>
        <w:autoSpaceDN w:val="0"/>
        <w:adjustRightInd w:val="0"/>
        <w:spacing w:after="0" w:line="240" w:lineRule="auto"/>
        <w:contextualSpacing/>
        <w:jc w:val="both"/>
        <w:rPr>
          <w:rFonts w:eastAsia="Times New Roman" w:cs="Arial"/>
          <w:lang w:eastAsia="es-CO"/>
        </w:rPr>
      </w:pPr>
      <w:r w:rsidRPr="00714BDC">
        <w:rPr>
          <w:rFonts w:cs="Arial"/>
          <w:lang w:eastAsia="es-CO"/>
        </w:rPr>
        <w:t>Elaboración de un documento CONPES de Prevención del Delito en Adolescentes y Jóvenes, como herramienta de Política Pública, con el apoyo técnico del Departamento Nacional de Planeación – DNP y del ICBF (Direcciones de Familia y Comunidades, Niñez y Adolescencia, Protección), en el cual se definen acciones y estrategias, con base en los estándares contenidos en instrumentos de derecho internacional y nacional que desarrollan el enfoque de la protección integral. Actualmente el documento se encuentra en revisión y aprobación por parte del Departamento Nacional de Planeación.</w:t>
      </w:r>
    </w:p>
    <w:p w:rsidR="00C65253" w:rsidRPr="00714BDC" w:rsidRDefault="00C65253" w:rsidP="00C65253">
      <w:pPr>
        <w:pStyle w:val="Prrafodelista"/>
        <w:autoSpaceDE w:val="0"/>
        <w:autoSpaceDN w:val="0"/>
        <w:adjustRightInd w:val="0"/>
        <w:spacing w:after="0" w:line="240" w:lineRule="auto"/>
        <w:ind w:left="720"/>
        <w:contextualSpacing/>
        <w:jc w:val="both"/>
        <w:rPr>
          <w:rFonts w:eastAsia="Times New Roman" w:cs="Arial"/>
          <w:lang w:eastAsia="es-CO"/>
        </w:rPr>
      </w:pPr>
    </w:p>
    <w:p w:rsidR="00622F24" w:rsidRDefault="00622F24" w:rsidP="00D712DC">
      <w:pPr>
        <w:pStyle w:val="Prrafodelista"/>
        <w:numPr>
          <w:ilvl w:val="0"/>
          <w:numId w:val="124"/>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lang w:eastAsia="es-CO"/>
        </w:rPr>
        <w:t>El Plan Nacional de Desarrollo señaló como compromisos la elaboración e incorporación del capítulo de infancia y juventud en el marco de la Ley Gitana y la creación de una estrategia de atención integral a la infancia, juventud y familias de la Población Rrom. En 2016 se analizó el Censo Rrom elaborado por el Ministerio de Interior. Se compararon estas cifras con las del Censo DANE 2005 y se elaboró un informe donde se presentan las características poblacionales arrojadas por este proceso, que permiten aclarar la población que debe atenderse en el marco de la formulación de esta Ley Gitana.</w:t>
      </w:r>
    </w:p>
    <w:p w:rsidR="005263A8" w:rsidRPr="00714BDC" w:rsidRDefault="005263A8" w:rsidP="005263A8">
      <w:pPr>
        <w:pStyle w:val="Prrafodelista"/>
        <w:autoSpaceDE w:val="0"/>
        <w:autoSpaceDN w:val="0"/>
        <w:adjustRightInd w:val="0"/>
        <w:spacing w:after="0" w:line="240" w:lineRule="auto"/>
        <w:ind w:left="720"/>
        <w:contextualSpacing/>
        <w:jc w:val="both"/>
        <w:rPr>
          <w:rFonts w:eastAsia="Times New Roman" w:cs="Arial"/>
          <w:lang w:eastAsia="es-CO"/>
        </w:rPr>
      </w:pPr>
    </w:p>
    <w:p w:rsidR="00622F24" w:rsidRDefault="00622F24" w:rsidP="00D712DC">
      <w:pPr>
        <w:pStyle w:val="Prrafodelista"/>
        <w:numPr>
          <w:ilvl w:val="0"/>
          <w:numId w:val="124"/>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lang w:eastAsia="es-CO"/>
        </w:rPr>
        <w:t>Se dio concepto sobre el Proyecto de Ley 018 de 2015 por el cual se promueve el acceso al trabajo de las personas con discapacidad y se dictan otras disposiciones.</w:t>
      </w:r>
    </w:p>
    <w:p w:rsidR="005263A8" w:rsidRPr="005263A8" w:rsidRDefault="005263A8" w:rsidP="005263A8">
      <w:pPr>
        <w:autoSpaceDE w:val="0"/>
        <w:autoSpaceDN w:val="0"/>
        <w:adjustRightInd w:val="0"/>
        <w:spacing w:after="0" w:line="240" w:lineRule="auto"/>
        <w:contextualSpacing/>
        <w:jc w:val="both"/>
        <w:rPr>
          <w:rFonts w:eastAsia="Times New Roman" w:cs="Arial"/>
          <w:lang w:eastAsia="es-CO"/>
        </w:rPr>
      </w:pPr>
    </w:p>
    <w:p w:rsidR="00622F24" w:rsidRPr="00714BDC" w:rsidRDefault="00622F24" w:rsidP="00D712DC">
      <w:pPr>
        <w:pStyle w:val="Prrafodelista"/>
        <w:numPr>
          <w:ilvl w:val="0"/>
          <w:numId w:val="124"/>
        </w:numPr>
        <w:autoSpaceDE w:val="0"/>
        <w:autoSpaceDN w:val="0"/>
        <w:adjustRightInd w:val="0"/>
        <w:spacing w:after="0" w:line="240" w:lineRule="auto"/>
        <w:contextualSpacing/>
        <w:jc w:val="both"/>
        <w:rPr>
          <w:rFonts w:eastAsia="Times New Roman" w:cs="Arial"/>
          <w:lang w:eastAsia="es-CO"/>
        </w:rPr>
      </w:pPr>
      <w:r w:rsidRPr="00714BDC">
        <w:rPr>
          <w:rFonts w:eastAsia="Times New Roman" w:cs="Arial"/>
          <w:lang w:eastAsia="es-CO"/>
        </w:rPr>
        <w:t>Se dio concepto sobre el Proyecto de Ley 241 de 2016 por el cual se crea el sistema de búsqueda de niños, niñas y adolescentes desaparecidos y se dictan otras disposiciones.</w:t>
      </w:r>
    </w:p>
    <w:p w:rsidR="00622F24" w:rsidRPr="00714BDC" w:rsidRDefault="00622F24" w:rsidP="00622F24">
      <w:pPr>
        <w:pStyle w:val="Prrafodelista"/>
        <w:autoSpaceDE w:val="0"/>
        <w:autoSpaceDN w:val="0"/>
        <w:adjustRightInd w:val="0"/>
        <w:spacing w:after="0" w:line="240" w:lineRule="auto"/>
        <w:ind w:left="0"/>
        <w:jc w:val="both"/>
        <w:rPr>
          <w:rFonts w:cs="Arial"/>
          <w:iCs/>
        </w:rPr>
      </w:pPr>
    </w:p>
    <w:p w:rsidR="00622F24" w:rsidRDefault="00622F24" w:rsidP="00622F24">
      <w:pPr>
        <w:pStyle w:val="Prrafodelista"/>
        <w:autoSpaceDE w:val="0"/>
        <w:autoSpaceDN w:val="0"/>
        <w:adjustRightInd w:val="0"/>
        <w:spacing w:after="0" w:line="240" w:lineRule="auto"/>
        <w:ind w:left="0"/>
        <w:jc w:val="both"/>
        <w:rPr>
          <w:rFonts w:cs="Arial"/>
          <w:iCs/>
        </w:rPr>
      </w:pPr>
      <w:r w:rsidRPr="00714BDC">
        <w:rPr>
          <w:rFonts w:cs="Arial"/>
          <w:iCs/>
        </w:rPr>
        <w:t>En el marco del Comité Ejecutivo del SNBF se han revisado y brindado recomendaciones sobre los s</w:t>
      </w:r>
      <w:r w:rsidR="002A7F86">
        <w:rPr>
          <w:rFonts w:cs="Arial"/>
          <w:iCs/>
        </w:rPr>
        <w:t>iguientes proyectos normativos:</w:t>
      </w:r>
    </w:p>
    <w:p w:rsidR="002A7F86" w:rsidRPr="00714BDC" w:rsidRDefault="002A7F86" w:rsidP="00622F24">
      <w:pPr>
        <w:pStyle w:val="Prrafodelista"/>
        <w:autoSpaceDE w:val="0"/>
        <w:autoSpaceDN w:val="0"/>
        <w:adjustRightInd w:val="0"/>
        <w:spacing w:after="0" w:line="240" w:lineRule="auto"/>
        <w:ind w:left="0"/>
        <w:jc w:val="both"/>
        <w:rPr>
          <w:rFonts w:cs="Arial"/>
          <w:iCs/>
        </w:rPr>
      </w:pPr>
    </w:p>
    <w:p w:rsidR="00622F24" w:rsidRPr="002A7F86" w:rsidRDefault="00622F24" w:rsidP="00D712DC">
      <w:pPr>
        <w:pStyle w:val="Prrafodelista"/>
        <w:numPr>
          <w:ilvl w:val="0"/>
          <w:numId w:val="26"/>
        </w:numPr>
        <w:spacing w:after="0" w:line="240" w:lineRule="auto"/>
        <w:ind w:left="709"/>
        <w:contextualSpacing/>
        <w:jc w:val="both"/>
        <w:rPr>
          <w:rFonts w:cs="Arial"/>
          <w:bCs/>
        </w:rPr>
      </w:pPr>
      <w:r w:rsidRPr="00714BDC">
        <w:rPr>
          <w:rFonts w:cs="Arial"/>
        </w:rPr>
        <w:t>Propuesta de modificación del decreto “Por medio del cual se subroga el Capítulo 6 del Título 7, Parte 2, Libro 2 del Decreto Único Reglamentario del Sector Trabajo 1072 de 2015” –Foniñez.</w:t>
      </w:r>
    </w:p>
    <w:p w:rsidR="002A7F86" w:rsidRPr="00714BDC" w:rsidRDefault="002A7F86" w:rsidP="002A7F86">
      <w:pPr>
        <w:pStyle w:val="Prrafodelista"/>
        <w:spacing w:after="0" w:line="240" w:lineRule="auto"/>
        <w:ind w:left="709"/>
        <w:contextualSpacing/>
        <w:jc w:val="both"/>
        <w:rPr>
          <w:rFonts w:cs="Arial"/>
          <w:bCs/>
        </w:rPr>
      </w:pPr>
    </w:p>
    <w:p w:rsidR="00622F24" w:rsidRPr="00714BDC" w:rsidRDefault="00622F24" w:rsidP="00D712DC">
      <w:pPr>
        <w:pStyle w:val="Prrafodelista"/>
        <w:numPr>
          <w:ilvl w:val="0"/>
          <w:numId w:val="26"/>
        </w:numPr>
        <w:spacing w:after="0" w:line="240" w:lineRule="auto"/>
        <w:ind w:left="709"/>
        <w:contextualSpacing/>
        <w:jc w:val="both"/>
        <w:rPr>
          <w:rFonts w:cs="Arial"/>
        </w:rPr>
      </w:pPr>
      <w:r w:rsidRPr="00714BDC">
        <w:rPr>
          <w:rFonts w:cs="Arial"/>
        </w:rPr>
        <w:t>Propuesta de modificación de la conformación y funcionamiento de la Comisión Nacional Intersectorial para la Promoción y Garantía de los Derechos Sexuales y Reproductivos.</w:t>
      </w:r>
    </w:p>
    <w:p w:rsidR="00622F24" w:rsidRPr="00714BDC" w:rsidRDefault="00622F24" w:rsidP="002B7F8B"/>
    <w:p w:rsidR="00622F24" w:rsidRPr="00714BDC" w:rsidRDefault="00622F24" w:rsidP="002B7F8B">
      <w:pPr>
        <w:ind w:firstLine="708"/>
        <w:rPr>
          <w:b/>
        </w:rPr>
      </w:pPr>
      <w:r w:rsidRPr="00714BDC">
        <w:rPr>
          <w:b/>
        </w:rPr>
        <w:t>Componente De Fortalecimiento Técnico</w:t>
      </w:r>
    </w:p>
    <w:p w:rsidR="00622F24" w:rsidRPr="00714BDC" w:rsidRDefault="00622F24" w:rsidP="00D712DC">
      <w:pPr>
        <w:pStyle w:val="Sinespaciado"/>
        <w:numPr>
          <w:ilvl w:val="0"/>
          <w:numId w:val="40"/>
        </w:numPr>
        <w:jc w:val="both"/>
        <w:rPr>
          <w:rFonts w:cs="Arial"/>
          <w:b/>
          <w:lang w:val="es-MX" w:eastAsia="es-CO"/>
        </w:rPr>
      </w:pPr>
      <w:r w:rsidRPr="00714BDC">
        <w:rPr>
          <w:rFonts w:cs="Arial"/>
          <w:b/>
          <w:lang w:val="es-MX" w:eastAsia="es-CO"/>
        </w:rPr>
        <w:t xml:space="preserve">Ámbito Nacional </w:t>
      </w:r>
    </w:p>
    <w:p w:rsidR="00622F24" w:rsidRPr="00714BDC" w:rsidRDefault="00622F24" w:rsidP="00622F24">
      <w:pPr>
        <w:pStyle w:val="Sinespaciado"/>
        <w:ind w:left="720"/>
        <w:jc w:val="both"/>
        <w:rPr>
          <w:rFonts w:cs="Arial"/>
          <w:b/>
          <w:lang w:val="es-MX" w:eastAsia="es-CO"/>
        </w:rPr>
      </w:pPr>
    </w:p>
    <w:p w:rsidR="00622F24" w:rsidRPr="00714BDC" w:rsidRDefault="00622F24" w:rsidP="00622F24">
      <w:pPr>
        <w:pStyle w:val="Sinespaciado"/>
        <w:jc w:val="both"/>
        <w:rPr>
          <w:rFonts w:cs="Arial"/>
          <w:lang w:val="es-MX" w:eastAsia="es-CO"/>
        </w:rPr>
      </w:pPr>
      <w:r w:rsidRPr="00714BDC">
        <w:rPr>
          <w:rFonts w:cs="Arial"/>
          <w:lang w:val="es-MX" w:eastAsia="es-CO"/>
        </w:rPr>
        <w:t xml:space="preserve">Desde la estrategia de articulación sectorial se generan procesos tendientes al fortalecimiento técnico de los agentes del SNBF en temas relacionados con derechos de la niñez. A </w:t>
      </w:r>
      <w:r w:rsidR="002B7F8B" w:rsidRPr="00714BDC">
        <w:rPr>
          <w:rFonts w:cs="Arial"/>
          <w:lang w:val="es-MX" w:eastAsia="es-CO"/>
        </w:rPr>
        <w:t>continuación,</w:t>
      </w:r>
      <w:r w:rsidRPr="00714BDC">
        <w:rPr>
          <w:rFonts w:cs="Arial"/>
          <w:lang w:val="es-MX" w:eastAsia="es-CO"/>
        </w:rPr>
        <w:t xml:space="preserve"> se describen los principales procesos llevados a cabo en este componente: </w:t>
      </w:r>
    </w:p>
    <w:tbl>
      <w:tblPr>
        <w:tblStyle w:val="Tablaconcuadrcula"/>
        <w:tblW w:w="9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744"/>
        <w:gridCol w:w="1653"/>
        <w:gridCol w:w="2835"/>
        <w:gridCol w:w="2835"/>
      </w:tblGrid>
      <w:tr w:rsidR="00622F24" w:rsidRPr="00717DE1" w:rsidTr="009B308B">
        <w:trPr>
          <w:tblHeader/>
          <w:jc w:val="center"/>
        </w:trPr>
        <w:tc>
          <w:tcPr>
            <w:tcW w:w="1744" w:type="dxa"/>
            <w:shd w:val="clear" w:color="auto" w:fill="76923C" w:themeFill="accent3" w:themeFillShade="BF"/>
            <w:vAlign w:val="center"/>
          </w:tcPr>
          <w:p w:rsidR="00622F24" w:rsidRPr="00717DE1" w:rsidRDefault="00622F24" w:rsidP="008A2A9F">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lastRenderedPageBreak/>
              <w:t>Agente del SNBF</w:t>
            </w:r>
          </w:p>
        </w:tc>
        <w:tc>
          <w:tcPr>
            <w:tcW w:w="1653" w:type="dxa"/>
            <w:shd w:val="clear" w:color="auto" w:fill="76923C" w:themeFill="accent3" w:themeFillShade="BF"/>
            <w:vAlign w:val="center"/>
          </w:tcPr>
          <w:p w:rsidR="00622F24" w:rsidRPr="00717DE1" w:rsidRDefault="00717DE1" w:rsidP="008A2A9F">
            <w:pPr>
              <w:pStyle w:val="Sinespaciado"/>
              <w:jc w:val="center"/>
              <w:rPr>
                <w:rFonts w:cs="Arial"/>
                <w:b/>
                <w:color w:val="FFFFFF" w:themeColor="background1"/>
                <w:sz w:val="16"/>
                <w:szCs w:val="16"/>
                <w:lang w:val="es-MX" w:eastAsia="es-CO"/>
              </w:rPr>
            </w:pPr>
            <w:r>
              <w:rPr>
                <w:rFonts w:cs="Arial"/>
                <w:b/>
                <w:color w:val="FFFFFF" w:themeColor="background1"/>
                <w:sz w:val="16"/>
                <w:szCs w:val="16"/>
                <w:lang w:val="es-MX" w:eastAsia="es-CO"/>
              </w:rPr>
              <w:t>Tipo de Proceso de Fortalecimiento T</w:t>
            </w:r>
            <w:r w:rsidR="00622F24" w:rsidRPr="00717DE1">
              <w:rPr>
                <w:rFonts w:cs="Arial"/>
                <w:b/>
                <w:color w:val="FFFFFF" w:themeColor="background1"/>
                <w:sz w:val="16"/>
                <w:szCs w:val="16"/>
                <w:lang w:val="es-MX" w:eastAsia="es-CO"/>
              </w:rPr>
              <w:t>écnico</w:t>
            </w:r>
          </w:p>
        </w:tc>
        <w:tc>
          <w:tcPr>
            <w:tcW w:w="2835" w:type="dxa"/>
            <w:shd w:val="clear" w:color="auto" w:fill="76923C" w:themeFill="accent3" w:themeFillShade="BF"/>
            <w:vAlign w:val="center"/>
          </w:tcPr>
          <w:p w:rsidR="00622F24" w:rsidRPr="00717DE1" w:rsidRDefault="00622F24" w:rsidP="00717DE1">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t>Objetivo</w:t>
            </w:r>
            <w:r w:rsidR="00717DE1">
              <w:rPr>
                <w:rFonts w:cs="Arial"/>
                <w:b/>
                <w:color w:val="FFFFFF" w:themeColor="background1"/>
                <w:sz w:val="16"/>
                <w:szCs w:val="16"/>
                <w:lang w:val="es-MX" w:eastAsia="es-CO"/>
              </w:rPr>
              <w:t xml:space="preserve"> </w:t>
            </w:r>
            <w:r w:rsidRPr="00717DE1">
              <w:rPr>
                <w:rFonts w:cs="Arial"/>
                <w:b/>
                <w:color w:val="FFFFFF" w:themeColor="background1"/>
                <w:sz w:val="16"/>
                <w:szCs w:val="16"/>
                <w:lang w:val="es-MX" w:eastAsia="es-CO"/>
              </w:rPr>
              <w:t>/</w:t>
            </w:r>
            <w:r w:rsidR="00717DE1">
              <w:rPr>
                <w:rFonts w:cs="Arial"/>
                <w:b/>
                <w:color w:val="FFFFFF" w:themeColor="background1"/>
                <w:sz w:val="16"/>
                <w:szCs w:val="16"/>
                <w:lang w:val="es-MX" w:eastAsia="es-CO"/>
              </w:rPr>
              <w:t xml:space="preserve"> C</w:t>
            </w:r>
            <w:r w:rsidRPr="00717DE1">
              <w:rPr>
                <w:rFonts w:cs="Arial"/>
                <w:b/>
                <w:color w:val="FFFFFF" w:themeColor="background1"/>
                <w:sz w:val="16"/>
                <w:szCs w:val="16"/>
                <w:lang w:val="es-MX" w:eastAsia="es-CO"/>
              </w:rPr>
              <w:t>ontenido</w:t>
            </w:r>
          </w:p>
        </w:tc>
        <w:tc>
          <w:tcPr>
            <w:tcW w:w="2835" w:type="dxa"/>
            <w:shd w:val="clear" w:color="auto" w:fill="76923C" w:themeFill="accent3" w:themeFillShade="BF"/>
            <w:vAlign w:val="center"/>
          </w:tcPr>
          <w:p w:rsidR="00622F24" w:rsidRPr="00717DE1" w:rsidRDefault="00622F24" w:rsidP="008A2A9F">
            <w:pPr>
              <w:pStyle w:val="Sinespaciado"/>
              <w:jc w:val="center"/>
              <w:rPr>
                <w:rFonts w:cs="Arial"/>
                <w:b/>
                <w:color w:val="FFFFFF" w:themeColor="background1"/>
                <w:sz w:val="16"/>
                <w:szCs w:val="16"/>
                <w:lang w:val="es-MX" w:eastAsia="es-CO"/>
              </w:rPr>
            </w:pPr>
            <w:r w:rsidRPr="00717DE1">
              <w:rPr>
                <w:rFonts w:cs="Arial"/>
                <w:b/>
                <w:color w:val="FFFFFF" w:themeColor="background1"/>
                <w:sz w:val="16"/>
                <w:szCs w:val="16"/>
                <w:lang w:val="es-MX" w:eastAsia="es-CO"/>
              </w:rPr>
              <w:t>Beneficiarios</w:t>
            </w:r>
          </w:p>
        </w:tc>
      </w:tr>
      <w:tr w:rsidR="00622F24" w:rsidRPr="00717DE1" w:rsidTr="009B308B">
        <w:trPr>
          <w:jc w:val="center"/>
        </w:trPr>
        <w:tc>
          <w:tcPr>
            <w:tcW w:w="1744" w:type="dxa"/>
            <w:vAlign w:val="center"/>
          </w:tcPr>
          <w:p w:rsidR="00622F24" w:rsidRPr="00717DE1" w:rsidRDefault="00622F24" w:rsidP="008A2A9F">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Ejército Nacional y Policía Nacional.</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CO" w:eastAsia="es-CO"/>
              </w:rPr>
              <w:t>Diplomado en derechos de infancia, adolescencia, juventud y familia</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 xml:space="preserve">Formación en </w:t>
            </w:r>
            <w:r w:rsidRPr="00717DE1">
              <w:rPr>
                <w:rFonts w:cs="Arial"/>
                <w:sz w:val="16"/>
                <w:szCs w:val="16"/>
                <w:lang w:val="es-CO" w:eastAsia="es-CO"/>
              </w:rPr>
              <w:t>derechos de infancia, adolescencia, juventud y familia.</w:t>
            </w:r>
          </w:p>
        </w:tc>
        <w:tc>
          <w:tcPr>
            <w:tcW w:w="2835" w:type="dxa"/>
            <w:vAlign w:val="center"/>
          </w:tcPr>
          <w:p w:rsidR="00622F24" w:rsidRPr="00717DE1" w:rsidRDefault="00622F24" w:rsidP="008A2A9F">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250 integrantes del Grupo de Acción Integral del Ejército Nacional y Oficiales y Suboficiales de la Policía Nacional.</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Prosperidad Social</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CO" w:eastAsia="es-CO"/>
              </w:rPr>
              <w:t>Módulos de formación</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eastAsia="es-CO"/>
              </w:rPr>
              <w:t>Formación en derechos de infancia, adolescencia, juventud y familia, como</w:t>
            </w:r>
          </w:p>
        </w:tc>
        <w:tc>
          <w:tcPr>
            <w:tcW w:w="2835" w:type="dxa"/>
            <w:vAlign w:val="center"/>
          </w:tcPr>
          <w:p w:rsidR="00622F24" w:rsidRPr="00717DE1" w:rsidRDefault="00622F24" w:rsidP="008A2A9F">
            <w:pPr>
              <w:autoSpaceDE w:val="0"/>
              <w:autoSpaceDN w:val="0"/>
              <w:adjustRightInd w:val="0"/>
              <w:spacing w:after="0" w:line="240" w:lineRule="auto"/>
              <w:jc w:val="both"/>
              <w:rPr>
                <w:rFonts w:cs="Arial"/>
                <w:sz w:val="16"/>
                <w:szCs w:val="16"/>
                <w:lang w:val="es-CO" w:eastAsia="es-CO"/>
              </w:rPr>
            </w:pPr>
            <w:r w:rsidRPr="00717DE1">
              <w:rPr>
                <w:rFonts w:cs="Arial"/>
                <w:sz w:val="16"/>
                <w:szCs w:val="16"/>
                <w:lang w:val="es-CO" w:eastAsia="es-CO"/>
              </w:rPr>
              <w:t xml:space="preserve">200 cogestores de la Red Unidos </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Prosperidad social</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Diplomado virtual</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CO" w:eastAsia="es-CO"/>
              </w:rPr>
              <w:t>Formación en derechos de infancia, adolescencia, juventud y familia</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CO" w:eastAsia="es-CO"/>
              </w:rPr>
              <w:t>194 cogestores sociales y profesionales de acompañamiento de la Red Unidos, pertenecientes a los proyectos de vivienda gratuita,</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eastAsia="es-CO"/>
              </w:rPr>
            </w:pPr>
            <w:r w:rsidRPr="00717DE1">
              <w:rPr>
                <w:rFonts w:cs="Arial"/>
                <w:sz w:val="16"/>
                <w:szCs w:val="16"/>
                <w:lang w:eastAsia="es-CO"/>
              </w:rPr>
              <w:t>Registraduría Nacional del Estado Civil</w:t>
            </w:r>
          </w:p>
          <w:p w:rsidR="00622F24" w:rsidRPr="00717DE1" w:rsidRDefault="00622F24" w:rsidP="008A2A9F">
            <w:pPr>
              <w:pStyle w:val="Sinespaciado"/>
              <w:jc w:val="both"/>
              <w:rPr>
                <w:rFonts w:cs="Arial"/>
                <w:sz w:val="16"/>
                <w:szCs w:val="16"/>
                <w:lang w:val="es-MX" w:eastAsia="es-CO"/>
              </w:rPr>
            </w:pPr>
            <w:r w:rsidRPr="00717DE1">
              <w:rPr>
                <w:rFonts w:cs="Arial"/>
                <w:sz w:val="16"/>
                <w:szCs w:val="16"/>
                <w:lang w:eastAsia="es-CO"/>
              </w:rPr>
              <w:t>ICBF</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Talleres regionales</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bCs/>
                <w:sz w:val="16"/>
                <w:szCs w:val="16"/>
              </w:rPr>
              <w:t>Capacitación y actualización de normas de registro civil, identificación y protección de datos.</w:t>
            </w:r>
          </w:p>
        </w:tc>
        <w:tc>
          <w:tcPr>
            <w:tcW w:w="2835" w:type="dxa"/>
            <w:vAlign w:val="center"/>
          </w:tcPr>
          <w:p w:rsidR="00622F24" w:rsidRPr="00717DE1" w:rsidRDefault="00622F24" w:rsidP="008A2A9F">
            <w:pPr>
              <w:autoSpaceDE w:val="0"/>
              <w:autoSpaceDN w:val="0"/>
              <w:adjustRightInd w:val="0"/>
              <w:spacing w:after="0" w:line="240" w:lineRule="auto"/>
              <w:jc w:val="both"/>
              <w:rPr>
                <w:rFonts w:cs="Arial"/>
                <w:sz w:val="16"/>
                <w:szCs w:val="16"/>
                <w:lang w:val="es-CO" w:eastAsia="es-CO"/>
              </w:rPr>
            </w:pPr>
            <w:r w:rsidRPr="00717DE1">
              <w:rPr>
                <w:rFonts w:cs="Arial"/>
                <w:bCs/>
                <w:sz w:val="16"/>
                <w:szCs w:val="16"/>
              </w:rPr>
              <w:t xml:space="preserve">250 funcionarios, entre Defensores de Familia, Comisarios de Familia, Notarios, Registradores Municipales y Auxiliares. </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eastAsia="es-CO"/>
              </w:rPr>
              <w:t>Fiscalía General de la Nación, la Defensoría del Pueblo y UNICEF</w:t>
            </w:r>
          </w:p>
        </w:tc>
        <w:tc>
          <w:tcPr>
            <w:tcW w:w="1653" w:type="dxa"/>
            <w:vAlign w:val="center"/>
          </w:tcPr>
          <w:p w:rsidR="00622F24" w:rsidRPr="00717DE1" w:rsidRDefault="00622F24" w:rsidP="008A2A9F">
            <w:pPr>
              <w:pStyle w:val="Sinespaciado"/>
              <w:jc w:val="both"/>
              <w:rPr>
                <w:rFonts w:cs="Arial"/>
                <w:sz w:val="16"/>
                <w:szCs w:val="16"/>
                <w:lang w:val="es-MX" w:eastAsia="es-CO"/>
              </w:rPr>
            </w:pP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eastAsia="es-CO"/>
              </w:rPr>
              <w:t>Generar procesos conjuntos de formación dirigidos a los operadores judiciales del SRPA,</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eastAsia="es-CO"/>
              </w:rPr>
              <w:t>(16) Cursos de Formación Interinstitucional para el Sistema de Responsabilidad Penal para Adolescentes desarrollados</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Ministerio de Salud y Protección Social</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Talleres regionales</w:t>
            </w:r>
          </w:p>
        </w:tc>
        <w:tc>
          <w:tcPr>
            <w:tcW w:w="2835" w:type="dxa"/>
            <w:vAlign w:val="center"/>
          </w:tcPr>
          <w:p w:rsidR="00622F24" w:rsidRPr="00717DE1" w:rsidRDefault="00622F24" w:rsidP="008A2A9F">
            <w:pPr>
              <w:spacing w:after="0" w:line="240" w:lineRule="auto"/>
              <w:jc w:val="both"/>
              <w:rPr>
                <w:rFonts w:cs="Arial"/>
                <w:sz w:val="16"/>
                <w:szCs w:val="16"/>
                <w:lang w:val="es-CO" w:eastAsia="es-CO"/>
              </w:rPr>
            </w:pPr>
            <w:r w:rsidRPr="00717DE1">
              <w:rPr>
                <w:rFonts w:cs="Arial"/>
                <w:sz w:val="16"/>
                <w:szCs w:val="16"/>
                <w:lang w:val="es-CO" w:eastAsia="es-CO"/>
              </w:rPr>
              <w:t xml:space="preserve">Generar esquemas de articulación territorial, conocimiento y delimitación de competencias del sector protección y salud, generación de vínculos y procesos de confianza que permiten un trabajo articulado en territorio y consolidan los procesos de garantía del derecho a la salud de niños, niñas y adolescentes, especialmente los niños en protección del ICBF. </w:t>
            </w:r>
          </w:p>
        </w:tc>
        <w:tc>
          <w:tcPr>
            <w:tcW w:w="2835" w:type="dxa"/>
            <w:vAlign w:val="center"/>
          </w:tcPr>
          <w:p w:rsidR="00622F24" w:rsidRPr="00717DE1" w:rsidRDefault="00622F24" w:rsidP="008A2A9F">
            <w:pPr>
              <w:spacing w:after="0" w:line="240" w:lineRule="auto"/>
              <w:jc w:val="both"/>
              <w:rPr>
                <w:rFonts w:cs="Arial"/>
                <w:sz w:val="16"/>
                <w:szCs w:val="16"/>
                <w:lang w:val="es-MX" w:eastAsia="es-CO"/>
              </w:rPr>
            </w:pPr>
            <w:r w:rsidRPr="00717DE1">
              <w:rPr>
                <w:rFonts w:cs="Arial"/>
                <w:sz w:val="16"/>
                <w:szCs w:val="16"/>
                <w:lang w:val="es-MX" w:eastAsia="es-CO"/>
              </w:rPr>
              <w:t>240 participantes en 6 talleres, en las ciudades: Bogotá, Bucaramanga, Medellín, Cali, Cartagena y Cundinamarca</w:t>
            </w:r>
            <w:r w:rsidRPr="00717DE1">
              <w:rPr>
                <w:rFonts w:cs="Arial"/>
                <w:sz w:val="16"/>
                <w:szCs w:val="16"/>
              </w:rPr>
              <w:t>. C</w:t>
            </w:r>
            <w:r w:rsidRPr="00717DE1">
              <w:rPr>
                <w:rFonts w:cs="Arial"/>
                <w:sz w:val="16"/>
                <w:szCs w:val="16"/>
                <w:lang w:val="es-MX" w:eastAsia="es-CO"/>
              </w:rPr>
              <w:t>on Enlaces de salud del ICBF</w:t>
            </w:r>
          </w:p>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Referentes del SNBF</w:t>
            </w:r>
          </w:p>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Referentes del Ministerio de Salud departamentales y municipales</w:t>
            </w:r>
          </w:p>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Secretarios de Salud</w:t>
            </w:r>
          </w:p>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Operadores de SRPA y de servicios de protección.</w:t>
            </w:r>
          </w:p>
        </w:tc>
      </w:tr>
      <w:tr w:rsidR="00622F24" w:rsidRPr="00717DE1" w:rsidTr="009B308B">
        <w:trPr>
          <w:jc w:val="center"/>
        </w:trPr>
        <w:tc>
          <w:tcPr>
            <w:tcW w:w="1744"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Ministerio de Salud y Protección Social</w:t>
            </w:r>
          </w:p>
        </w:tc>
        <w:tc>
          <w:tcPr>
            <w:tcW w:w="1653"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Foros</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CO" w:eastAsia="es-CO"/>
              </w:rPr>
              <w:t>Socializar la Política de Apoyo y Fortalecimiento a las Familias y elaborar estrategias de implementación e incorporación en los territorios, con participación de los diferentes actores involucrados.</w:t>
            </w:r>
          </w:p>
        </w:tc>
        <w:tc>
          <w:tcPr>
            <w:tcW w:w="2835" w:type="dxa"/>
            <w:vAlign w:val="center"/>
          </w:tcPr>
          <w:p w:rsidR="00622F24" w:rsidRPr="00717DE1" w:rsidRDefault="00622F24" w:rsidP="008A2A9F">
            <w:pPr>
              <w:pStyle w:val="Sinespaciado"/>
              <w:jc w:val="both"/>
              <w:rPr>
                <w:rFonts w:cs="Arial"/>
                <w:sz w:val="16"/>
                <w:szCs w:val="16"/>
                <w:lang w:val="es-MX" w:eastAsia="es-CO"/>
              </w:rPr>
            </w:pPr>
            <w:r w:rsidRPr="00717DE1">
              <w:rPr>
                <w:rFonts w:cs="Arial"/>
                <w:sz w:val="16"/>
                <w:szCs w:val="16"/>
                <w:lang w:val="es-MX" w:eastAsia="es-CO"/>
              </w:rPr>
              <w:t xml:space="preserve">373 participantes en (5) Foros en </w:t>
            </w:r>
            <w:r w:rsidRPr="00717DE1">
              <w:rPr>
                <w:rFonts w:cs="Arial"/>
                <w:sz w:val="16"/>
                <w:szCs w:val="16"/>
                <w:lang w:val="es-CO" w:eastAsia="es-CO"/>
              </w:rPr>
              <w:t xml:space="preserve">Montería, Bucaramanga, Pereira, Popayán y Bogotá, con la participación de </w:t>
            </w:r>
            <w:r w:rsidRPr="00717DE1">
              <w:rPr>
                <w:rFonts w:cs="Arial"/>
                <w:sz w:val="16"/>
                <w:szCs w:val="16"/>
                <w:lang w:val="es-MX" w:eastAsia="es-CO"/>
              </w:rPr>
              <w:t xml:space="preserve">los responsables de la política de familia en las secretarías departamentales y municipales de salud, educación, desarrollo social o gobierno, prosperidad social, ICBF, academia y sociedad civil organizada, de los departamentos, Ciudades Capitales y municipios de las entidades territoriales convocadas en cada territorio. </w:t>
            </w:r>
          </w:p>
        </w:tc>
      </w:tr>
    </w:tbl>
    <w:p w:rsidR="00C65253" w:rsidRDefault="00C65253" w:rsidP="00C65253">
      <w:pPr>
        <w:pStyle w:val="Sinespaciado"/>
        <w:ind w:left="720"/>
        <w:jc w:val="both"/>
        <w:rPr>
          <w:rFonts w:cs="Arial"/>
          <w:b/>
          <w:lang w:val="es-MX" w:eastAsia="es-CO"/>
        </w:rPr>
      </w:pPr>
    </w:p>
    <w:p w:rsidR="00622F24" w:rsidRPr="00714BDC" w:rsidRDefault="00622F24" w:rsidP="00D712DC">
      <w:pPr>
        <w:pStyle w:val="Sinespaciado"/>
        <w:numPr>
          <w:ilvl w:val="0"/>
          <w:numId w:val="40"/>
        </w:numPr>
        <w:jc w:val="both"/>
        <w:rPr>
          <w:rFonts w:cs="Arial"/>
          <w:b/>
          <w:lang w:val="es-MX" w:eastAsia="es-CO"/>
        </w:rPr>
      </w:pPr>
      <w:r w:rsidRPr="00714BDC">
        <w:rPr>
          <w:rFonts w:cs="Arial"/>
          <w:b/>
          <w:lang w:val="es-MX" w:eastAsia="es-CO"/>
        </w:rPr>
        <w:t xml:space="preserve">Ámbito Territorial </w:t>
      </w:r>
    </w:p>
    <w:p w:rsidR="00622F24" w:rsidRPr="00714BDC" w:rsidRDefault="00622F24" w:rsidP="00622F24">
      <w:pPr>
        <w:pStyle w:val="Sinespaciado"/>
        <w:jc w:val="both"/>
        <w:rPr>
          <w:rFonts w:cs="Arial"/>
          <w:highlight w:val="cyan"/>
          <w:lang w:val="es-MX" w:eastAsia="es-CO"/>
        </w:rPr>
      </w:pPr>
    </w:p>
    <w:p w:rsidR="00622F24" w:rsidRPr="00714BDC" w:rsidRDefault="00622F24" w:rsidP="00622F24">
      <w:pPr>
        <w:spacing w:after="0" w:line="240" w:lineRule="auto"/>
        <w:jc w:val="both"/>
        <w:rPr>
          <w:rFonts w:cs="Arial"/>
          <w:lang w:val="es-CO" w:eastAsia="es-CO"/>
        </w:rPr>
      </w:pPr>
      <w:r w:rsidRPr="00714BDC">
        <w:rPr>
          <w:rFonts w:cs="Arial"/>
          <w:lang w:val="es-CO" w:eastAsia="es-CO"/>
        </w:rPr>
        <w:t xml:space="preserve">En relación con procesos de asistencia técnica territorial, además del acompañamiento en la formulación de los Planes de Desarrollo Territorial 2016-2019, se acompañaron 263 entes territoriales para la gestión de las políticas de primera infancia con desarrollos metodológicos que han facilitado a los territorios el acercamiento y abordaje de los fundamentos políticos, técnicos y de gestión de la atención integral a la primera infancia, con avances heterogéneos que responden a las particularidades de cada territorio. </w:t>
      </w:r>
    </w:p>
    <w:p w:rsidR="00622F24" w:rsidRPr="00714BDC" w:rsidRDefault="00622F24" w:rsidP="00622F24">
      <w:pPr>
        <w:spacing w:after="0" w:line="240" w:lineRule="auto"/>
        <w:jc w:val="both"/>
        <w:rPr>
          <w:rFonts w:cs="Arial"/>
          <w:lang w:val="es-CO" w:eastAsia="es-CO"/>
        </w:rPr>
      </w:pPr>
    </w:p>
    <w:p w:rsidR="00622F24" w:rsidRPr="00714BDC" w:rsidRDefault="00622F24" w:rsidP="00622F24">
      <w:pPr>
        <w:spacing w:after="0" w:line="240" w:lineRule="auto"/>
        <w:jc w:val="both"/>
        <w:rPr>
          <w:rFonts w:cs="Arial"/>
          <w:lang w:val="es-CO" w:eastAsia="es-CO"/>
        </w:rPr>
      </w:pPr>
      <w:r w:rsidRPr="00714BDC">
        <w:rPr>
          <w:rFonts w:cs="Arial"/>
          <w:lang w:val="es-CO" w:eastAsia="es-CO"/>
        </w:rPr>
        <w:lastRenderedPageBreak/>
        <w:t xml:space="preserve">Adicionalmente, se decidió asumir un acompañamiento permanente con entidades territoriales priorizadas por la Dirección en cuanto a intervenciones integrales, dadas sus características de marginalidad y riesgo permanente frente a la vulneración de derechos de los niños, niñas y adolescentes. A continuación se relevan las acciones en el Departamento de Chocó y La Guajira: </w:t>
      </w:r>
    </w:p>
    <w:p w:rsidR="00622F24" w:rsidRPr="00714BDC" w:rsidRDefault="00622F24" w:rsidP="00622F24">
      <w:pPr>
        <w:spacing w:after="0" w:line="240" w:lineRule="auto"/>
        <w:jc w:val="both"/>
        <w:rPr>
          <w:rFonts w:cs="Arial"/>
          <w:highlight w:val="green"/>
          <w:lang w:val="es-CO" w:eastAsia="es-CO"/>
        </w:rPr>
      </w:pPr>
    </w:p>
    <w:p w:rsidR="00622F24" w:rsidRPr="00714BDC" w:rsidRDefault="00622F24" w:rsidP="00622F24">
      <w:pPr>
        <w:spacing w:after="0" w:line="240" w:lineRule="auto"/>
        <w:jc w:val="both"/>
        <w:rPr>
          <w:rFonts w:cs="Arial"/>
          <w:lang w:val="es-CO" w:eastAsia="es-CO"/>
        </w:rPr>
      </w:pPr>
      <w:r w:rsidRPr="00714BDC">
        <w:rPr>
          <w:rFonts w:cs="Arial"/>
          <w:b/>
          <w:lang w:val="es-CO" w:eastAsia="es-CO"/>
        </w:rPr>
        <w:t>Bajo Baudó Departamento de Chocó</w:t>
      </w:r>
      <w:r w:rsidRPr="00714BDC">
        <w:rPr>
          <w:rFonts w:cs="Arial"/>
          <w:lang w:val="es-CO" w:eastAsia="es-CO"/>
        </w:rPr>
        <w:t>: El SNBF viene realizando fortalecimiento a los equipos territoriales, en todo lo relacionado con las capacidades institucionales para la gestión de los consejos de política social, mesas de infancia y adolescencia, política pública dirigidas a Niños, Niñas y Adolescentes. Es así que, durante los últimos meses, se sostuvieron una serie de reuniones con la entidad territorial del Bajo Baudó y la Armada Nacional, en las cuales se sociali</w:t>
      </w:r>
      <w:r w:rsidR="00D62C15">
        <w:rPr>
          <w:rFonts w:cs="Arial"/>
          <w:lang w:val="es-CO" w:eastAsia="es-CO"/>
        </w:rPr>
        <w:t>z</w:t>
      </w:r>
      <w:r w:rsidRPr="00714BDC">
        <w:rPr>
          <w:rFonts w:cs="Arial"/>
          <w:lang w:val="es-CO" w:eastAsia="es-CO"/>
        </w:rPr>
        <w:t xml:space="preserve">aron las problemáticas de toda la población en especial la relacionada con la niñez y adolescencia. Además, se ha evidenciado que en el municipio se están presentando reclutamientos y demás hechos victimizantes, la Armada Nacional y la Alcaldía están emprendiendo diferentes acciones para mitigar el riesgo y buscando apoyo con diferentes entidades del orden nacional para que en coordinación con el SNBF y la Oficina de Cooperación y Convenios se realicen acciones articuladas y pertinentes en el municipio. </w:t>
      </w:r>
    </w:p>
    <w:p w:rsidR="00622F24" w:rsidRPr="00714BDC" w:rsidRDefault="00622F24" w:rsidP="00622F24">
      <w:pPr>
        <w:spacing w:after="0" w:line="240" w:lineRule="auto"/>
        <w:jc w:val="both"/>
        <w:rPr>
          <w:rFonts w:cs="Arial"/>
          <w:lang w:val="es-CO" w:eastAsia="es-CO"/>
        </w:rPr>
      </w:pPr>
    </w:p>
    <w:p w:rsidR="00622F24" w:rsidRPr="00714BDC" w:rsidRDefault="00622F24" w:rsidP="00622F24">
      <w:pPr>
        <w:spacing w:after="0" w:line="240" w:lineRule="auto"/>
        <w:jc w:val="both"/>
        <w:rPr>
          <w:rFonts w:cs="Arial"/>
          <w:lang w:val="es-CO" w:eastAsia="es-CO"/>
        </w:rPr>
      </w:pPr>
      <w:r w:rsidRPr="00714BDC">
        <w:rPr>
          <w:rFonts w:cs="Arial"/>
          <w:b/>
          <w:lang w:val="es-CO" w:eastAsia="es-CO"/>
        </w:rPr>
        <w:t>La Guajira:</w:t>
      </w:r>
      <w:r w:rsidRPr="00714BDC">
        <w:rPr>
          <w:rFonts w:cs="Arial"/>
          <w:lang w:val="es-CO" w:eastAsia="es-CO"/>
        </w:rPr>
        <w:t xml:space="preserve"> En el marco del convenio suscrito entre el ICBF, SAVE THE CHILDREN y UNICEF, se acompañó tanto a la administración local como a las comunidades étnicas de los municipios de Uribia y Manaure, a través de la implementación de lo que se denomina la Estrategia Fortalecida, la cual está orientada a generar un proceso de fortalecimiento de capacidades en las administraciones municipales y autoridades étnicas, brindando acompañamiento técnico a fin de asegurar procesos locales sostenibles que propendan por la protección integral de los niños, niñas, adolescentes y la familia, y que se deriven del Plan de Desarrollo Territorial- PDT.</w:t>
      </w:r>
    </w:p>
    <w:p w:rsidR="00622F24" w:rsidRPr="00714BDC" w:rsidRDefault="00622F24" w:rsidP="00622F24">
      <w:pPr>
        <w:spacing w:after="0" w:line="240" w:lineRule="auto"/>
        <w:jc w:val="both"/>
        <w:rPr>
          <w:rFonts w:cs="Arial"/>
          <w:lang w:val="es-CO" w:eastAsia="es-CO"/>
        </w:rPr>
      </w:pPr>
    </w:p>
    <w:p w:rsidR="00622F24" w:rsidRPr="00714BDC" w:rsidRDefault="00622F24" w:rsidP="00622F24">
      <w:pPr>
        <w:spacing w:after="0" w:line="240" w:lineRule="auto"/>
        <w:jc w:val="both"/>
        <w:rPr>
          <w:rFonts w:cs="Arial"/>
          <w:lang w:val="es-CO" w:eastAsia="es-CO"/>
        </w:rPr>
      </w:pPr>
      <w:r w:rsidRPr="00714BDC">
        <w:rPr>
          <w:rFonts w:cs="Arial"/>
          <w:lang w:val="es-CO" w:eastAsia="es-CO"/>
        </w:rPr>
        <w:t>En este sentido, se abrieron espacios de interacción y construcción colectiva entre la administración municipal y los grupos étnicos, para la instalación de capacidades locales mediante el acompañamiento técnico para la formulación de un proyecto del tema de su interés, que propenda por la protección integral de niños, niñas y adolescentes y la familia. Lo anterior, reconociendo las características propias del territorio y de las comunidades étnicas para la definición de atenciones institucionales con criterios de pertinencia y flexibilidad, que conlleven al fortalecimiento de las relaciones entre las administraciones locales y las autoridades tradicionales.</w:t>
      </w:r>
    </w:p>
    <w:p w:rsidR="00622F24" w:rsidRPr="00714BDC" w:rsidRDefault="00622F24" w:rsidP="00622F24">
      <w:pPr>
        <w:spacing w:after="0" w:line="240" w:lineRule="auto"/>
        <w:jc w:val="both"/>
        <w:rPr>
          <w:rFonts w:cs="Arial"/>
          <w:lang w:val="es-CO" w:eastAsia="es-CO"/>
        </w:rPr>
      </w:pPr>
    </w:p>
    <w:p w:rsidR="00622F24" w:rsidRPr="00714BDC" w:rsidRDefault="00622F24" w:rsidP="00622F24">
      <w:pPr>
        <w:spacing w:after="0" w:line="240" w:lineRule="auto"/>
        <w:jc w:val="both"/>
        <w:rPr>
          <w:rFonts w:cs="Arial"/>
          <w:lang w:val="es-CO" w:eastAsia="es-CO"/>
        </w:rPr>
      </w:pPr>
      <w:r w:rsidRPr="00714BDC">
        <w:rPr>
          <w:rFonts w:cs="Arial"/>
          <w:lang w:val="es-CO" w:eastAsia="es-CO"/>
        </w:rPr>
        <w:t>Este espacio de articulación no solo tiene como objetivo estructurar los proyectos o los temas de articulación y fortalecimiento de capacidades, sino que a través del convenio se posibilita un diálogo que va a generar espacios de comunicación importantes para que se produzca un proceso de conocimiento mutuo por parte de los representantes de las comunidades étnicas con la entidad territorial municipal.</w:t>
      </w:r>
    </w:p>
    <w:p w:rsidR="00622F24" w:rsidRPr="00714BDC" w:rsidRDefault="00622F24" w:rsidP="00622F24">
      <w:pPr>
        <w:spacing w:after="0" w:line="240" w:lineRule="auto"/>
        <w:jc w:val="both"/>
        <w:rPr>
          <w:rFonts w:cs="Arial"/>
          <w:lang w:val="es-CO" w:eastAsia="es-CO"/>
        </w:rPr>
      </w:pPr>
    </w:p>
    <w:p w:rsidR="00622F24" w:rsidRPr="00714BDC" w:rsidRDefault="00622F24" w:rsidP="00622F24">
      <w:pPr>
        <w:spacing w:after="0" w:line="240" w:lineRule="auto"/>
        <w:jc w:val="both"/>
        <w:rPr>
          <w:rFonts w:cs="Arial"/>
          <w:lang w:val="es-CO" w:eastAsia="es-CO"/>
        </w:rPr>
      </w:pPr>
      <w:r w:rsidRPr="00714BDC">
        <w:rPr>
          <w:rFonts w:cs="Arial"/>
          <w:lang w:val="es-CO" w:eastAsia="es-CO"/>
        </w:rPr>
        <w:t>Para la formulación del proyecto de Uribia, el 27 de octubre en Consejo Municipal de Política Social se priorizó como tema: “Mortalidad infantil y desnutrición” y se definió el equipo formulador para elaborar el proyecto de una manera concertada y participativa; este equipo es liderado por parte del municipio por el delegado de asuntos étnicos. En este sentido, se realizó el 3 de noviembre la primera mesa de profundización en formulación de proyectos.</w:t>
      </w:r>
    </w:p>
    <w:p w:rsidR="00622F24" w:rsidRPr="00714BDC" w:rsidRDefault="00622F24" w:rsidP="00622F24">
      <w:pPr>
        <w:spacing w:after="0" w:line="240" w:lineRule="auto"/>
        <w:jc w:val="both"/>
        <w:rPr>
          <w:rFonts w:cs="Arial"/>
          <w:lang w:val="es-CO" w:eastAsia="es-CO"/>
        </w:rPr>
      </w:pPr>
    </w:p>
    <w:p w:rsidR="00622F24" w:rsidRDefault="00622F24" w:rsidP="000B18BB">
      <w:pPr>
        <w:spacing w:after="0" w:line="240" w:lineRule="auto"/>
        <w:jc w:val="both"/>
        <w:rPr>
          <w:rFonts w:cs="Arial"/>
          <w:lang w:val="es-CO" w:eastAsia="es-CO"/>
        </w:rPr>
      </w:pPr>
      <w:r w:rsidRPr="00714BDC">
        <w:rPr>
          <w:rFonts w:cs="Arial"/>
          <w:lang w:val="es-CO" w:eastAsia="es-CO"/>
        </w:rPr>
        <w:lastRenderedPageBreak/>
        <w:t>Para el municipio de Manaure, en mesa de primera infancia, infancia y adolescencia se priorizó para la formulación del proyecto, el tema de “Uso del tiempo libre para la disminución del embarazo a temprana edad y consumo de SPA”; se definió como equipo formulador a dos presidentes de juntas de acción comunal, dos representantes de la mesa de víctimas, un personero estudiantil, tres líderes indígenas y por el municipio una persona encargada de asuntos indígenas y un miembro del concejo municipal. La primera mesa para la formulación del proyecto se realizó el 20 de octubre y se ha seguido trabajando durante el mes de noviembre.</w:t>
      </w:r>
    </w:p>
    <w:p w:rsidR="00823561" w:rsidRDefault="00823561" w:rsidP="000B18BB">
      <w:pPr>
        <w:spacing w:after="0" w:line="240" w:lineRule="auto"/>
        <w:jc w:val="both"/>
        <w:rPr>
          <w:rFonts w:cs="Arial"/>
          <w:lang w:val="es-CO" w:eastAsia="es-CO"/>
        </w:rPr>
      </w:pPr>
    </w:p>
    <w:p w:rsidR="00F7316B" w:rsidRDefault="00F7316B" w:rsidP="000B18BB">
      <w:pPr>
        <w:spacing w:after="0" w:line="240" w:lineRule="auto"/>
        <w:jc w:val="both"/>
        <w:rPr>
          <w:rFonts w:cs="Arial"/>
          <w:lang w:val="es-CO" w:eastAsia="es-CO"/>
        </w:rPr>
      </w:pPr>
    </w:p>
    <w:p w:rsidR="00622F24" w:rsidRPr="00714BDC" w:rsidRDefault="00622F24" w:rsidP="00DC1381">
      <w:pPr>
        <w:ind w:firstLine="708"/>
        <w:rPr>
          <w:b/>
          <w:bCs/>
        </w:rPr>
      </w:pPr>
      <w:r w:rsidRPr="00714BDC">
        <w:rPr>
          <w:b/>
          <w:bCs/>
        </w:rPr>
        <w:t>Componente de Participación, Comunicación y Movilización Social</w:t>
      </w:r>
    </w:p>
    <w:p w:rsidR="00622F24" w:rsidRPr="00714BDC" w:rsidRDefault="00622F24" w:rsidP="00622F24">
      <w:pPr>
        <w:autoSpaceDE w:val="0"/>
        <w:autoSpaceDN w:val="0"/>
        <w:adjustRightInd w:val="0"/>
        <w:spacing w:after="0" w:line="240" w:lineRule="auto"/>
        <w:contextualSpacing/>
        <w:jc w:val="both"/>
        <w:rPr>
          <w:rFonts w:eastAsia="Arial Unicode MS" w:cs="Arial"/>
        </w:rPr>
      </w:pPr>
      <w:r w:rsidRPr="00714BDC">
        <w:rPr>
          <w:rFonts w:cs="Arial"/>
          <w:bCs/>
        </w:rPr>
        <w:t>La promoción de la participación y la movilización social se ha establecido como un objetivo y a la</w:t>
      </w:r>
      <w:r w:rsidRPr="00714BDC">
        <w:rPr>
          <w:rFonts w:eastAsia="Arial Unicode MS" w:cs="Arial"/>
        </w:rPr>
        <w:t xml:space="preserve"> vez como un componente del funcionamiento del SNBF. En ese orden, a partir de los desarrollos y avances logrados en los años anteriores como la distribución y socialización de las guías producidas en la serie editorial “herramientas de participación”, se ha logrado, por un lado, proveer un insumo tanto para la promoción de la conformación de las Mesas de Participación de Niños, Niñas y Adolescentes, como para la capacitación a diferentes agentes del SNBF de los ámbitos nacional y territorial en este tema, y por otro lado, complementar las apuestas iniciales hechas en esta orientaciones, en particular, las referidas a las mesas de participación, con herramientas metodológicas dirigidas al desarrollo de momentos de diálogo y construcción colectiva con niños, niñas y adolescentes y con adultos, concentradas en la incidencia de sus propuestas y en el diseño e implementación de iniciativas. </w:t>
      </w:r>
    </w:p>
    <w:p w:rsidR="00622F24" w:rsidRPr="00714BDC" w:rsidRDefault="00622F24" w:rsidP="00622F24">
      <w:pPr>
        <w:autoSpaceDE w:val="0"/>
        <w:autoSpaceDN w:val="0"/>
        <w:adjustRightInd w:val="0"/>
        <w:spacing w:after="0" w:line="240" w:lineRule="auto"/>
        <w:contextualSpacing/>
        <w:jc w:val="both"/>
        <w:rPr>
          <w:rFonts w:eastAsia="Arial Unicode MS" w:cs="Arial"/>
        </w:rPr>
      </w:pPr>
    </w:p>
    <w:p w:rsidR="00622F24" w:rsidRPr="00714BDC" w:rsidRDefault="00622F24" w:rsidP="00622F24">
      <w:pPr>
        <w:autoSpaceDE w:val="0"/>
        <w:autoSpaceDN w:val="0"/>
        <w:adjustRightInd w:val="0"/>
        <w:spacing w:after="0" w:line="240" w:lineRule="auto"/>
        <w:contextualSpacing/>
        <w:jc w:val="both"/>
        <w:rPr>
          <w:rFonts w:cs="Arial"/>
        </w:rPr>
      </w:pPr>
      <w:r w:rsidRPr="00714BDC">
        <w:rPr>
          <w:rFonts w:cs="Arial"/>
        </w:rPr>
        <w:t xml:space="preserve">De forma paralela al desarrollo de herramientas metodológicas para enriquecer las acciones de garantía de la participación de niños, niñas y adolescentes en el marco de la gestión pública, durante 2016 se proveyeron así mismo, elementos técnicos, metodológicos y de gestión para lograr la participación de este grupo poblacional en la formulación de los planes territoriales de desarrollo. En este contexto, las herramientas desarrolladas hicieron parte del acompañamiento técnico directo adelantado en el marco del convenio 1614 de 2015. </w:t>
      </w:r>
    </w:p>
    <w:p w:rsidR="00622F24" w:rsidRPr="00714BDC" w:rsidRDefault="00622F24" w:rsidP="00622F24">
      <w:pPr>
        <w:autoSpaceDE w:val="0"/>
        <w:autoSpaceDN w:val="0"/>
        <w:adjustRightInd w:val="0"/>
        <w:spacing w:after="0" w:line="240" w:lineRule="auto"/>
        <w:contextualSpacing/>
        <w:jc w:val="both"/>
        <w:rPr>
          <w:rFonts w:cs="Arial"/>
        </w:rPr>
      </w:pPr>
    </w:p>
    <w:p w:rsidR="00622F24" w:rsidRPr="00714BDC" w:rsidRDefault="00622F24" w:rsidP="00622F24">
      <w:pPr>
        <w:autoSpaceDE w:val="0"/>
        <w:autoSpaceDN w:val="0"/>
        <w:adjustRightInd w:val="0"/>
        <w:spacing w:after="0" w:line="240" w:lineRule="auto"/>
        <w:contextualSpacing/>
        <w:jc w:val="both"/>
        <w:rPr>
          <w:rFonts w:cs="Arial"/>
        </w:rPr>
      </w:pPr>
      <w:r w:rsidRPr="00714BDC">
        <w:rPr>
          <w:rFonts w:cs="Arial"/>
        </w:rPr>
        <w:t>De igual forma, en dicho convenio se realizaron acciones de fortalecimiento de la participación de niños, niñas y adolescentes y de la sociedad civil organizada en 5 departamentos: La Guajira, Córdoba, Risaralda, Cuaca y Putumayo; y 10 municipios: Uribia, Manaure, Ciénaga de Oro, Guática, Risaralda (Caldas), Guapi, Inzá, Paez, Villa Garzón y Puerto Guzmán, en donde se implementaron metodologías y se registraron ajustes e innovaciones de los diseños hechos que produjeron complementos importante para la ruta de conformación y fortalecimiento de las mesas de participación que se construyó en 2014.</w:t>
      </w:r>
    </w:p>
    <w:p w:rsidR="00622F24" w:rsidRPr="00714BDC" w:rsidRDefault="00622F24" w:rsidP="00622F24">
      <w:pPr>
        <w:autoSpaceDE w:val="0"/>
        <w:autoSpaceDN w:val="0"/>
        <w:adjustRightInd w:val="0"/>
        <w:spacing w:after="0" w:line="240" w:lineRule="auto"/>
        <w:contextualSpacing/>
        <w:jc w:val="both"/>
        <w:rPr>
          <w:rFonts w:cs="Arial"/>
          <w:highlight w:val="green"/>
        </w:rPr>
      </w:pPr>
    </w:p>
    <w:p w:rsidR="00622F24" w:rsidRPr="00714BDC" w:rsidRDefault="00622F24" w:rsidP="00622F24">
      <w:pPr>
        <w:autoSpaceDE w:val="0"/>
        <w:autoSpaceDN w:val="0"/>
        <w:adjustRightInd w:val="0"/>
        <w:spacing w:after="0" w:line="240" w:lineRule="auto"/>
        <w:contextualSpacing/>
        <w:jc w:val="both"/>
        <w:rPr>
          <w:rFonts w:cs="Arial"/>
        </w:rPr>
      </w:pPr>
      <w:r w:rsidRPr="00714BDC">
        <w:rPr>
          <w:rFonts w:cs="Arial"/>
        </w:rPr>
        <w:t xml:space="preserve">Bajo el mismo marco, se adelantaron acciones para fortalecer la participación de la sociedad civil en el SNBF y en sus instancias, lo que de un lado, se concretó en el diálogo intencionado con representantes de organizaciones de la sociedad civil para promover el desarrollo de una agenda conjunta y la armonización con las diferentes instancias del SNBF, y de otro lado, involucró gestiones tanto con UNICEF y los productos desarrollados conjuntamente para movilizar la Responsabilidad Social Empresarial hacia la gestión de riesgos de niñez, como con otros agentes del SNBF para discutir las experiencias como proyecciones del rol de este tipo de actor en el SNBF. </w:t>
      </w:r>
    </w:p>
    <w:p w:rsidR="00622F24" w:rsidRPr="00714BDC" w:rsidRDefault="00622F24" w:rsidP="00622F24">
      <w:pPr>
        <w:autoSpaceDE w:val="0"/>
        <w:autoSpaceDN w:val="0"/>
        <w:adjustRightInd w:val="0"/>
        <w:spacing w:after="0" w:line="240" w:lineRule="auto"/>
        <w:contextualSpacing/>
        <w:jc w:val="both"/>
        <w:rPr>
          <w:rFonts w:cs="Arial"/>
        </w:rPr>
      </w:pPr>
      <w:r w:rsidRPr="00714BDC">
        <w:rPr>
          <w:rFonts w:cs="Arial"/>
        </w:rPr>
        <w:lastRenderedPageBreak/>
        <w:t>Finalmente, es importante resaltar la coordinación adelantada de la Mesa Nacional de Participación de Niños, Niñas, Adolescentes y Jóvenes referida previamente en el apartado de instancias del SNBF, y en la que se proyectaron y adelantaron acciones para lograr una incidencia positiva sobre la participación de la niñez en el Consejo Nacional de Participación, que redundaron en complementar de un lado, las metodologías de trabajo en el marco del convenio 1614 de 2015, y de otro lado, el pilotaje de metodologías para la producción de piezas comunicativas de niños, niñas y adolescentes en el marco de acciones promotoras de la participación de ellos y ellas en diversos contexto (familias, escolar, gestión pública, etc.). En este último punto, se ha vinculado activamente a esta instancia durante 2016 el Ministerio de Cultura y la RTVC.</w:t>
      </w:r>
    </w:p>
    <w:p w:rsidR="00F7316B" w:rsidRDefault="00F7316B" w:rsidP="001A244D">
      <w:pPr>
        <w:ind w:firstLine="708"/>
        <w:rPr>
          <w:b/>
          <w:bCs/>
        </w:rPr>
      </w:pPr>
    </w:p>
    <w:p w:rsidR="00622F24" w:rsidRPr="00714BDC" w:rsidRDefault="00622F24" w:rsidP="001A244D">
      <w:pPr>
        <w:ind w:firstLine="708"/>
        <w:rPr>
          <w:b/>
          <w:bCs/>
        </w:rPr>
      </w:pPr>
      <w:r w:rsidRPr="00714BDC">
        <w:rPr>
          <w:b/>
          <w:bCs/>
        </w:rPr>
        <w:t xml:space="preserve">Conformación de las mesas de participación </w:t>
      </w:r>
    </w:p>
    <w:p w:rsidR="00622F24" w:rsidRPr="00714BDC" w:rsidRDefault="00622F24" w:rsidP="00622F24">
      <w:pPr>
        <w:spacing w:after="0" w:line="240" w:lineRule="auto"/>
        <w:jc w:val="both"/>
        <w:rPr>
          <w:rFonts w:cs="Arial"/>
          <w:bCs/>
          <w:lang w:val="es-MX"/>
        </w:rPr>
      </w:pPr>
      <w:r w:rsidRPr="00714BDC">
        <w:rPr>
          <w:rFonts w:cs="Arial"/>
          <w:bCs/>
          <w:lang w:val="es-MX"/>
        </w:rPr>
        <w:t>El manual operativo del SNBF señala que cada entidad territorial deberá definir la instancia de participación de niñas, niños y adolescentes correspondiente con el liderazgo de la mesa de infancia, adolescencia y familia. Dado esto, se ha brindado orientación para que las entidades territoriales creen estas instancias de participación.</w:t>
      </w:r>
    </w:p>
    <w:p w:rsidR="00622F24" w:rsidRPr="00714BDC" w:rsidRDefault="00622F24" w:rsidP="00622F24">
      <w:pPr>
        <w:spacing w:after="0" w:line="240" w:lineRule="auto"/>
        <w:jc w:val="both"/>
        <w:rPr>
          <w:rFonts w:cs="Arial"/>
          <w:bCs/>
          <w:lang w:val="es-MX"/>
        </w:rPr>
      </w:pPr>
    </w:p>
    <w:p w:rsidR="00622F24" w:rsidRPr="00714BDC" w:rsidRDefault="00622F24" w:rsidP="00622F24">
      <w:pPr>
        <w:spacing w:after="0" w:line="240" w:lineRule="auto"/>
        <w:jc w:val="both"/>
        <w:rPr>
          <w:rFonts w:cs="Arial"/>
          <w:bCs/>
          <w:lang w:val="es-MX"/>
        </w:rPr>
      </w:pPr>
      <w:r w:rsidRPr="00714BDC">
        <w:rPr>
          <w:rFonts w:cs="Arial"/>
          <w:bCs/>
          <w:lang w:val="es-MX"/>
        </w:rPr>
        <w:t>En tal sentido, en 10 departamentos se ha creado esta instancia para un porcentaje de cumplimiento de esta acción del 30,3%. De los 1.101 Municipios y las 20 localidades del D.C., en total, en 463 entes territoriales se encuentra conformada dicha instancia de operación para un porcentaje de cumplimiento del 41,34%.</w:t>
      </w:r>
    </w:p>
    <w:p w:rsidR="00622F24" w:rsidRPr="00714BDC" w:rsidRDefault="00622F24" w:rsidP="001A244D">
      <w:pPr>
        <w:rPr>
          <w:lang w:val="es-MX"/>
        </w:rPr>
      </w:pPr>
    </w:p>
    <w:p w:rsidR="00622F24" w:rsidRPr="00714BDC" w:rsidRDefault="00622F24" w:rsidP="001A244D">
      <w:pPr>
        <w:ind w:firstLine="708"/>
        <w:rPr>
          <w:b/>
        </w:rPr>
      </w:pPr>
      <w:r w:rsidRPr="00714BDC">
        <w:rPr>
          <w:b/>
        </w:rPr>
        <w:t>Participación de grupos étnicos en el Sistema Nacional de Bienestar Familiar</w:t>
      </w:r>
    </w:p>
    <w:p w:rsidR="00622F24" w:rsidRPr="00714BDC" w:rsidRDefault="00622F24" w:rsidP="00622F24">
      <w:pPr>
        <w:autoSpaceDE w:val="0"/>
        <w:autoSpaceDN w:val="0"/>
        <w:adjustRightInd w:val="0"/>
        <w:spacing w:after="0" w:line="240" w:lineRule="auto"/>
        <w:jc w:val="both"/>
        <w:rPr>
          <w:rFonts w:cs="Arial"/>
        </w:rPr>
      </w:pPr>
      <w:r w:rsidRPr="00714BDC">
        <w:rPr>
          <w:rFonts w:cs="Arial"/>
        </w:rPr>
        <w:t xml:space="preserve">Las acciones que se adelantaron durante 2016 con Autoridades, líderes y lideresas indígenas, orientadas a su fortalecimiento organizativo, familiar y a la articulación de procesos de planeación propios y municipales, permiten evidenciar retos diversos al SNBF, de acuerdo a la organización social y grados de relacionamiento con la sociedad mayoritaria de cada pueblo indígena. Además de las distancias geográficas, costos de transporte, o conflicto armado; su conocimiento de la estructura institucional, de los sistemas y formas de participación es incipiente. Ello dificulta el ejercicio de su corresponsabilidad frente a la garantía de derechos de la niñez y la familia, el relacionamiento y articulación entre sus formas organizativas y las institucionales y en general, la generación de mecanismos de protección integral hacia la niñez, en sus contextos territoriales. </w:t>
      </w:r>
    </w:p>
    <w:p w:rsidR="00622F24" w:rsidRPr="00714BDC" w:rsidRDefault="00622F24" w:rsidP="00622F24">
      <w:pPr>
        <w:autoSpaceDE w:val="0"/>
        <w:autoSpaceDN w:val="0"/>
        <w:adjustRightInd w:val="0"/>
        <w:spacing w:after="0" w:line="240" w:lineRule="auto"/>
        <w:jc w:val="both"/>
        <w:rPr>
          <w:rFonts w:cs="Arial"/>
        </w:rPr>
      </w:pPr>
    </w:p>
    <w:p w:rsidR="00622F24" w:rsidRPr="00714BDC" w:rsidRDefault="00622F24" w:rsidP="00622F24">
      <w:pPr>
        <w:autoSpaceDE w:val="0"/>
        <w:autoSpaceDN w:val="0"/>
        <w:adjustRightInd w:val="0"/>
        <w:spacing w:after="0" w:line="240" w:lineRule="auto"/>
        <w:jc w:val="both"/>
        <w:rPr>
          <w:rFonts w:cs="Arial"/>
        </w:rPr>
      </w:pPr>
      <w:r w:rsidRPr="00714BDC">
        <w:rPr>
          <w:rFonts w:cs="Arial"/>
        </w:rPr>
        <w:t xml:space="preserve">Se realizaron tres encuentros con la participación de 92 mujeres campesinas étnicas y rurales (Medellín, Santa Marta y Cali) cuyo objetivo fundamental fue propiciar un espacio de reflexión y diálogo de saberes sobre experiencias de organizaciones sociales y comunitarias de base lideradas por las participantes y con énfasis en las líneas de reivindicación, resistencia, resiliencia y reconciliación. Los resultados más relevantes hasta el momento son: el fortalecimiento de las experiencias a partir de las lecciones compartidas y reflexionadas en colectivo y por grupos territoriales; la apuesta desde la construcción de sus saberes; además de la generación de recomendaciones de fortalecimiento organizativo de las mujeres, o lideradas por mujeres que benefician a su niñez, a sus familias y comunidades. </w:t>
      </w:r>
    </w:p>
    <w:p w:rsidR="00622F24" w:rsidRPr="00714BDC" w:rsidRDefault="00622F24" w:rsidP="00622F24">
      <w:pPr>
        <w:autoSpaceDE w:val="0"/>
        <w:autoSpaceDN w:val="0"/>
        <w:adjustRightInd w:val="0"/>
        <w:spacing w:after="0" w:line="240" w:lineRule="auto"/>
        <w:jc w:val="both"/>
        <w:rPr>
          <w:rFonts w:cs="Arial"/>
        </w:rPr>
      </w:pPr>
    </w:p>
    <w:p w:rsidR="00622F24" w:rsidRPr="00714BDC" w:rsidRDefault="00622F24" w:rsidP="00622F24">
      <w:pPr>
        <w:autoSpaceDE w:val="0"/>
        <w:autoSpaceDN w:val="0"/>
        <w:adjustRightInd w:val="0"/>
        <w:spacing w:after="0" w:line="240" w:lineRule="auto"/>
        <w:jc w:val="both"/>
        <w:rPr>
          <w:rFonts w:cs="Arial"/>
        </w:rPr>
      </w:pPr>
      <w:r w:rsidRPr="00714BDC">
        <w:rPr>
          <w:rFonts w:cs="Arial"/>
        </w:rPr>
        <w:lastRenderedPageBreak/>
        <w:t>En el marco del Convenio 1614 también se trabajó por fortalecer la interlocución entre las autoridades étnicas y las autoridades municipales para la inclusión de temas prioritarios identificados por las propias comunidades étnicas en el Plan de Desarrollo Municipal, así como por incidir en la formulación de proyectos que tengan perspectiva y enfoque diferencial. Este proceso buscaba generar espacios de diálogo y confianza entre estas autoridades para mejorar las opciones para trabajar de manera conjunta por la infancia, adolescencia y fortalecimiento familiar.</w:t>
      </w:r>
    </w:p>
    <w:p w:rsidR="00622F24" w:rsidRPr="00714BDC" w:rsidRDefault="00622F24" w:rsidP="001A244D"/>
    <w:p w:rsidR="00622F24" w:rsidRPr="00714BDC" w:rsidRDefault="00622F24" w:rsidP="001A244D">
      <w:pPr>
        <w:ind w:firstLine="708"/>
        <w:rPr>
          <w:b/>
          <w:bCs/>
        </w:rPr>
      </w:pPr>
      <w:r w:rsidRPr="00714BDC">
        <w:rPr>
          <w:b/>
          <w:bCs/>
        </w:rPr>
        <w:t>Componente de Financiamiento</w:t>
      </w:r>
    </w:p>
    <w:p w:rsidR="00622F24" w:rsidRPr="00714BDC" w:rsidRDefault="00622F24" w:rsidP="00622F24">
      <w:pPr>
        <w:autoSpaceDE w:val="0"/>
        <w:autoSpaceDN w:val="0"/>
        <w:adjustRightInd w:val="0"/>
        <w:spacing w:after="0" w:line="240" w:lineRule="auto"/>
        <w:jc w:val="both"/>
        <w:rPr>
          <w:rFonts w:cs="Arial"/>
          <w:lang w:eastAsia="es-CO"/>
        </w:rPr>
      </w:pPr>
      <w:r w:rsidRPr="00714BDC">
        <w:rPr>
          <w:rFonts w:cs="Arial"/>
          <w:lang w:eastAsia="es-CO"/>
        </w:rPr>
        <w:t xml:space="preserve">El componente de financiamiento reúne las acciones encaminadas a identificar, analizar e incidir sobre las fuentes de financiación y los esquemas de asignación, ejecución y seguimiento del gasto público dirigido a garantizar los derechos de los niños, niñas y adolescentes del país, en el ámbito nacional, departamental, municipal y de territorios indígenas. </w:t>
      </w:r>
    </w:p>
    <w:p w:rsidR="00622F24" w:rsidRPr="00714BDC" w:rsidRDefault="00622F24" w:rsidP="00622F24">
      <w:pPr>
        <w:autoSpaceDE w:val="0"/>
        <w:autoSpaceDN w:val="0"/>
        <w:adjustRightInd w:val="0"/>
        <w:spacing w:after="0" w:line="240" w:lineRule="auto"/>
        <w:jc w:val="both"/>
        <w:rPr>
          <w:rFonts w:cs="Arial"/>
          <w:lang w:eastAsia="es-CO"/>
        </w:rPr>
      </w:pPr>
    </w:p>
    <w:p w:rsidR="00622F24" w:rsidRPr="00714BDC" w:rsidRDefault="00622F24" w:rsidP="00622F24">
      <w:pPr>
        <w:spacing w:after="0" w:line="240" w:lineRule="auto"/>
        <w:jc w:val="both"/>
        <w:rPr>
          <w:rFonts w:cs="Arial"/>
          <w:b/>
          <w:i/>
        </w:rPr>
      </w:pPr>
      <w:r w:rsidRPr="00714BDC">
        <w:rPr>
          <w:rFonts w:eastAsia="Times New Roman" w:cs="Arial"/>
          <w:lang w:eastAsia="es-CO"/>
        </w:rPr>
        <w:t>En relación con los</w:t>
      </w:r>
      <w:r w:rsidRPr="00714BDC">
        <w:rPr>
          <w:rFonts w:cs="Arial"/>
        </w:rPr>
        <w:t xml:space="preserve"> recursos del Sistema General de Participaciones (SGP) asignados para la Atención Integral a la Primera Infancia, </w:t>
      </w:r>
      <w:r w:rsidRPr="00714BDC">
        <w:rPr>
          <w:rFonts w:eastAsia="Times New Roman" w:cs="Arial"/>
          <w:lang w:eastAsia="es-CO"/>
        </w:rPr>
        <w:t>se realizaron las siguientes acciones:</w:t>
      </w:r>
    </w:p>
    <w:p w:rsidR="00622F24" w:rsidRPr="00714BDC" w:rsidRDefault="00622F24" w:rsidP="00622F24">
      <w:pPr>
        <w:spacing w:after="0" w:line="240" w:lineRule="auto"/>
        <w:jc w:val="both"/>
        <w:rPr>
          <w:rFonts w:cs="Arial"/>
          <w:lang w:val="es-MX"/>
        </w:rPr>
      </w:pPr>
    </w:p>
    <w:p w:rsidR="00622F24" w:rsidRDefault="00622F24" w:rsidP="00D712DC">
      <w:pPr>
        <w:pStyle w:val="Prrafodelista"/>
        <w:numPr>
          <w:ilvl w:val="0"/>
          <w:numId w:val="42"/>
        </w:numPr>
        <w:spacing w:after="0" w:line="240" w:lineRule="auto"/>
        <w:contextualSpacing/>
        <w:jc w:val="both"/>
        <w:rPr>
          <w:rFonts w:cs="Arial"/>
        </w:rPr>
      </w:pPr>
      <w:r w:rsidRPr="00714BDC">
        <w:rPr>
          <w:rFonts w:cs="Arial"/>
        </w:rPr>
        <w:t>Acompañamiento para la definición de las líneas de inversión que fueron aprobadas por el Consejo Nacional de Política Social que sesionó virtualmente el 2 de junio y que se definió en el documento Conpes 3861.</w:t>
      </w:r>
    </w:p>
    <w:p w:rsidR="00717DE1" w:rsidRPr="00714BDC" w:rsidRDefault="00717DE1" w:rsidP="00717DE1">
      <w:pPr>
        <w:pStyle w:val="Prrafodelista"/>
        <w:spacing w:after="0" w:line="240" w:lineRule="auto"/>
        <w:ind w:left="730"/>
        <w:contextualSpacing/>
        <w:jc w:val="both"/>
        <w:rPr>
          <w:rFonts w:cs="Arial"/>
        </w:rPr>
      </w:pPr>
    </w:p>
    <w:p w:rsidR="00622F24" w:rsidRDefault="00622F24" w:rsidP="00D712DC">
      <w:pPr>
        <w:pStyle w:val="Prrafodelista"/>
        <w:numPr>
          <w:ilvl w:val="0"/>
          <w:numId w:val="42"/>
        </w:numPr>
        <w:spacing w:after="0" w:line="240" w:lineRule="auto"/>
        <w:contextualSpacing/>
        <w:jc w:val="both"/>
        <w:rPr>
          <w:rFonts w:cs="Arial"/>
        </w:rPr>
      </w:pPr>
      <w:r w:rsidRPr="00714BDC">
        <w:rPr>
          <w:rFonts w:cs="Arial"/>
        </w:rPr>
        <w:t>Coordinación para la elaboración de los anexos técnicos del Conpes 3861 para Primera Infancia por parte de los Ministerios de Salud y Protección Social, Ministerio de Educación, Ministerio de Cultura, COLDEPORTES e ICBF.</w:t>
      </w:r>
    </w:p>
    <w:p w:rsidR="00717DE1" w:rsidRPr="00717DE1" w:rsidRDefault="00717DE1" w:rsidP="00717DE1">
      <w:pPr>
        <w:spacing w:after="0" w:line="240" w:lineRule="auto"/>
        <w:contextualSpacing/>
        <w:jc w:val="both"/>
        <w:rPr>
          <w:rFonts w:cs="Arial"/>
        </w:rPr>
      </w:pPr>
    </w:p>
    <w:p w:rsidR="00622F24" w:rsidRPr="00714BDC" w:rsidRDefault="00622F24" w:rsidP="00D712DC">
      <w:pPr>
        <w:pStyle w:val="Prrafodelista"/>
        <w:numPr>
          <w:ilvl w:val="0"/>
          <w:numId w:val="42"/>
        </w:numPr>
        <w:spacing w:after="0" w:line="240" w:lineRule="auto"/>
        <w:contextualSpacing/>
        <w:jc w:val="both"/>
        <w:rPr>
          <w:rFonts w:cs="Arial"/>
        </w:rPr>
      </w:pPr>
      <w:r w:rsidRPr="00714BDC">
        <w:rPr>
          <w:rFonts w:cs="Arial"/>
        </w:rPr>
        <w:t xml:space="preserve">Proceso de socialización del Conpes 3861 de 2016 en los 32 departamentos del territorio nacional, se realizaron 19 encuentros departamentales y 3 video conferencias en las cuales participaron aproximadamente 1.534 funcionarios de las entidades territoriales. Este ejercicio se realizó con el acompañamiento de las entidades de la Comisión Intersectorial de Primera Infancia, Ministerio de Salud, Ministerio de Cultura, Coldeportes, ICBF, MEN y el aporte en el marco del convenio de primera infancia, coordinado por la Fundación PLAN. </w:t>
      </w:r>
    </w:p>
    <w:p w:rsidR="00622F24" w:rsidRPr="00714BDC" w:rsidRDefault="00622F24" w:rsidP="00622F24">
      <w:pPr>
        <w:spacing w:after="0" w:line="240" w:lineRule="auto"/>
        <w:jc w:val="both"/>
        <w:rPr>
          <w:rFonts w:cs="Arial"/>
        </w:rPr>
      </w:pPr>
    </w:p>
    <w:p w:rsidR="00622F24" w:rsidRPr="00714BDC" w:rsidRDefault="00622F24" w:rsidP="00622F24">
      <w:pPr>
        <w:spacing w:after="0" w:line="240" w:lineRule="auto"/>
        <w:jc w:val="both"/>
        <w:rPr>
          <w:rFonts w:cs="Arial"/>
        </w:rPr>
      </w:pPr>
      <w:r w:rsidRPr="00714BDC">
        <w:rPr>
          <w:rFonts w:cs="Arial"/>
        </w:rPr>
        <w:t>Finalmente, se coordinó con las áreas misionales del ICBF, la revisión y posterior emisión de los conceptos técnicos de los proyectos a ser financiados con recursos del Sistema General de Regalías relacionados con la garantía de los derechos de los niños, niñas y adolescentes para ser presentados a los Órganos Colegiados de Administración y Decisión (OCAD).</w:t>
      </w:r>
    </w:p>
    <w:p w:rsidR="00622F24" w:rsidRPr="00714BDC" w:rsidRDefault="00622F24" w:rsidP="00622F24">
      <w:pPr>
        <w:spacing w:after="0" w:line="240" w:lineRule="auto"/>
        <w:jc w:val="both"/>
        <w:rPr>
          <w:rFonts w:cs="Arial"/>
        </w:rPr>
      </w:pPr>
    </w:p>
    <w:p w:rsidR="00622F24" w:rsidRPr="00714BDC" w:rsidRDefault="00622F24" w:rsidP="00622F24">
      <w:pPr>
        <w:spacing w:after="0" w:line="240" w:lineRule="auto"/>
        <w:jc w:val="both"/>
        <w:rPr>
          <w:rFonts w:cs="Arial"/>
        </w:rPr>
      </w:pPr>
      <w:r w:rsidRPr="00714BDC">
        <w:rPr>
          <w:rFonts w:cs="Arial"/>
        </w:rPr>
        <w:t>En trabajo articulado con los Ministerios de Hacienda y Crédito Público y de Minas y Energía, las gobernaciones de Meta y Guaviare y la Alcaldía de Cartagena se realizó la revisión de proyectos dirigidos a la garantía de derechos de niños, niñas y adolescentes y su posterior presentación ante los OCAD.</w:t>
      </w:r>
    </w:p>
    <w:p w:rsidR="00622F24" w:rsidRPr="00714BDC" w:rsidRDefault="00622F24" w:rsidP="00622F24">
      <w:pPr>
        <w:spacing w:after="0" w:line="240" w:lineRule="auto"/>
        <w:jc w:val="both"/>
        <w:rPr>
          <w:rFonts w:cs="Arial"/>
        </w:rPr>
      </w:pPr>
    </w:p>
    <w:p w:rsidR="00622F24" w:rsidRPr="00714BDC" w:rsidRDefault="00622F24" w:rsidP="00622F24">
      <w:pPr>
        <w:spacing w:after="0" w:line="240" w:lineRule="auto"/>
        <w:jc w:val="both"/>
        <w:rPr>
          <w:rFonts w:cs="Arial"/>
        </w:rPr>
      </w:pPr>
      <w:r w:rsidRPr="00714BDC">
        <w:rPr>
          <w:rFonts w:cs="Arial"/>
        </w:rPr>
        <w:lastRenderedPageBreak/>
        <w:t>Igualmente se apoya la definición de un plan de financiamiento para el Sistema de Responsabilidad Penal para Adolescentes (SRPA), articuladamente con el Ministerio de Hacienda y Crédito Público, el Ministerio de Justicia y del Derecho, el Departamento Nacional de Planeación y el Instituto Colombiano de Bienestar Familiar (Subdirección de Responsabilidad Penal y Dirección del Sistema Nacional de Bienestar Familiar).</w:t>
      </w:r>
    </w:p>
    <w:p w:rsidR="00823561" w:rsidRDefault="00823561" w:rsidP="00823561">
      <w:pPr>
        <w:spacing w:after="0" w:line="240" w:lineRule="auto"/>
        <w:rPr>
          <w:rFonts w:cs="Arial"/>
        </w:rPr>
      </w:pPr>
    </w:p>
    <w:p w:rsidR="00823561" w:rsidRDefault="00823561" w:rsidP="00823561">
      <w:pPr>
        <w:spacing w:after="0" w:line="240" w:lineRule="auto"/>
        <w:rPr>
          <w:rFonts w:cs="Arial"/>
        </w:rPr>
      </w:pPr>
    </w:p>
    <w:p w:rsidR="00823561" w:rsidRPr="004146E3" w:rsidRDefault="00823561" w:rsidP="004146E3">
      <w:pPr>
        <w:keepNext/>
        <w:keepLines/>
        <w:spacing w:after="0" w:line="240" w:lineRule="auto"/>
        <w:rPr>
          <w:rFonts w:eastAsiaTheme="majorEastAsia" w:cs="Arial"/>
          <w:b/>
        </w:rPr>
      </w:pPr>
      <w:r w:rsidRPr="004146E3">
        <w:rPr>
          <w:rFonts w:eastAsia="Times New Roman" w:cs="Arial"/>
          <w:b/>
          <w:bCs/>
          <w:kern w:val="32"/>
        </w:rPr>
        <w:t xml:space="preserve">Convenios </w:t>
      </w:r>
    </w:p>
    <w:p w:rsidR="00823561" w:rsidRDefault="00823561" w:rsidP="00622F24">
      <w:pPr>
        <w:spacing w:after="0" w:line="240" w:lineRule="auto"/>
        <w:jc w:val="both"/>
        <w:rPr>
          <w:lang w:eastAsia="es-CO"/>
        </w:rPr>
      </w:pPr>
    </w:p>
    <w:p w:rsidR="00622F24" w:rsidRPr="00714BDC" w:rsidRDefault="00622F24" w:rsidP="00622F24">
      <w:pPr>
        <w:spacing w:after="0" w:line="240" w:lineRule="auto"/>
        <w:jc w:val="both"/>
        <w:rPr>
          <w:lang w:eastAsia="es-CO"/>
        </w:rPr>
      </w:pPr>
      <w:r w:rsidRPr="00714BDC">
        <w:rPr>
          <w:lang w:eastAsia="es-CO"/>
        </w:rPr>
        <w:t>A continuación se resumen los principales convenios desarrollados por la Dirección del Sistema Nacional de Bienestar Familiar junto con los resultados de la vigencia:</w:t>
      </w:r>
    </w:p>
    <w:p w:rsidR="00622F24" w:rsidRPr="00714BDC" w:rsidRDefault="00622F24" w:rsidP="00622F24">
      <w:pPr>
        <w:spacing w:after="0" w:line="240" w:lineRule="auto"/>
        <w:jc w:val="both"/>
        <w:rPr>
          <w:lang w:eastAsia="es-CO"/>
        </w:rPr>
      </w:pPr>
    </w:p>
    <w:p w:rsidR="00622F24" w:rsidRDefault="00622F24" w:rsidP="00D712DC">
      <w:pPr>
        <w:pStyle w:val="Prrafodelista"/>
        <w:numPr>
          <w:ilvl w:val="0"/>
          <w:numId w:val="127"/>
        </w:numPr>
        <w:spacing w:after="0" w:line="240" w:lineRule="auto"/>
        <w:jc w:val="both"/>
        <w:rPr>
          <w:b/>
          <w:u w:val="single"/>
          <w:lang w:eastAsia="es-CO"/>
        </w:rPr>
      </w:pPr>
      <w:r w:rsidRPr="00714BDC">
        <w:rPr>
          <w:b/>
          <w:u w:val="single"/>
          <w:lang w:eastAsia="es-CO"/>
        </w:rPr>
        <w:t>Convenio de Asociación No. 1614 de 2015, suscrito con Save The Children – UNICEF (Plazo: 18 de diciembre de 2015 al 31 de diciembre de 2016)</w:t>
      </w:r>
    </w:p>
    <w:p w:rsidR="00A27DBD" w:rsidRDefault="00A27DBD" w:rsidP="00A27DBD">
      <w:pPr>
        <w:spacing w:after="0" w:line="240" w:lineRule="auto"/>
        <w:jc w:val="both"/>
        <w:rPr>
          <w:b/>
          <w:u w:val="single"/>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622F24" w:rsidRPr="000B18BB" w:rsidTr="00717DE1">
        <w:trPr>
          <w:trHeight w:val="315"/>
        </w:trPr>
        <w:tc>
          <w:tcPr>
            <w:tcW w:w="8931" w:type="dxa"/>
            <w:shd w:val="clear" w:color="auto" w:fill="76923C" w:themeFill="accent3" w:themeFillShade="BF"/>
            <w:vAlign w:val="center"/>
          </w:tcPr>
          <w:p w:rsidR="00622F24" w:rsidRPr="00B524DF" w:rsidRDefault="00622F24" w:rsidP="008A2A9F">
            <w:pPr>
              <w:spacing w:after="0" w:line="240" w:lineRule="auto"/>
              <w:jc w:val="center"/>
              <w:rPr>
                <w:rFonts w:eastAsia="Times New Roman" w:cs="Arial"/>
                <w:b/>
                <w:bCs/>
                <w:sz w:val="16"/>
                <w:szCs w:val="20"/>
                <w:lang w:eastAsia="es-CO"/>
              </w:rPr>
            </w:pPr>
            <w:r w:rsidRPr="00717DE1">
              <w:rPr>
                <w:rFonts w:eastAsia="Times New Roman" w:cs="Arial"/>
                <w:b/>
                <w:bCs/>
                <w:color w:val="FFFFFF" w:themeColor="background1"/>
                <w:sz w:val="16"/>
                <w:szCs w:val="20"/>
                <w:lang w:eastAsia="es-CO"/>
              </w:rPr>
              <w:t>OBJETO</w:t>
            </w:r>
          </w:p>
        </w:tc>
      </w:tr>
      <w:tr w:rsidR="00622F24" w:rsidRPr="000B18BB" w:rsidTr="00717DE1">
        <w:trPr>
          <w:trHeight w:val="315"/>
        </w:trPr>
        <w:tc>
          <w:tcPr>
            <w:tcW w:w="8931" w:type="dxa"/>
            <w:shd w:val="clear" w:color="auto" w:fill="auto"/>
            <w:vAlign w:val="center"/>
          </w:tcPr>
          <w:p w:rsidR="00622F24" w:rsidRPr="00B524DF" w:rsidRDefault="00622F24" w:rsidP="00717DE1">
            <w:pPr>
              <w:spacing w:after="0" w:line="240" w:lineRule="auto"/>
              <w:rPr>
                <w:rFonts w:eastAsia="Times New Roman" w:cs="Arial"/>
                <w:bCs/>
                <w:sz w:val="16"/>
                <w:szCs w:val="20"/>
                <w:lang w:eastAsia="es-CO"/>
              </w:rPr>
            </w:pPr>
            <w:r w:rsidRPr="00B524DF">
              <w:rPr>
                <w:rFonts w:eastAsia="Times New Roman" w:cs="Arial"/>
                <w:bCs/>
                <w:sz w:val="16"/>
                <w:szCs w:val="20"/>
                <w:lang w:eastAsia="es-CO"/>
              </w:rPr>
              <w:t>Aunar esfuerzos técnicos, administrativos, humanos y financieros con el fin de fortalecer la capacidad de gestión de los agentes del Sistema Nacional de Bienestar Familiar en el territorio nacional, e incidir en la inclusión oportuna y efectiva de la promoción, prevención y protección de los derechos de los niños, niñas y adolescentes y del fortalecimiento familiar en los planes territoriales de desarrollo</w:t>
            </w:r>
          </w:p>
        </w:tc>
      </w:tr>
      <w:tr w:rsidR="00622F24" w:rsidRPr="000B18BB" w:rsidTr="00717DE1">
        <w:trPr>
          <w:trHeight w:val="315"/>
        </w:trPr>
        <w:tc>
          <w:tcPr>
            <w:tcW w:w="8931" w:type="dxa"/>
            <w:shd w:val="clear" w:color="auto" w:fill="76923C" w:themeFill="accent3" w:themeFillShade="BF"/>
            <w:vAlign w:val="center"/>
            <w:hideMark/>
          </w:tcPr>
          <w:p w:rsidR="00622F24" w:rsidRPr="00B524DF" w:rsidRDefault="00622F24" w:rsidP="008A2A9F">
            <w:pPr>
              <w:spacing w:after="0" w:line="240" w:lineRule="auto"/>
              <w:jc w:val="center"/>
              <w:rPr>
                <w:rFonts w:eastAsia="Times New Roman" w:cs="Arial"/>
                <w:b/>
                <w:bCs/>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622F24" w:rsidRPr="000B18BB" w:rsidTr="00717DE1">
        <w:trPr>
          <w:trHeight w:val="6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Documento de análisis de competencias de los agentes del SNBF.</w:t>
            </w:r>
          </w:p>
        </w:tc>
      </w:tr>
      <w:tr w:rsidR="00622F24" w:rsidRPr="000B18BB" w:rsidTr="00717DE1">
        <w:trPr>
          <w:trHeight w:val="232"/>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Herramienta de planeación y seguimiento del SNBF en territorio.</w:t>
            </w:r>
          </w:p>
        </w:tc>
      </w:tr>
      <w:tr w:rsidR="00622F24" w:rsidRPr="000B18BB" w:rsidTr="00717DE1">
        <w:trPr>
          <w:trHeight w:val="30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Ruta de gestión del plan de acción.</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17 talleres con participación de 385 personas de 3 departamentos, 2 ciudades capitales y 3 municipios.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Ruta para la conformación y el fortalecimiento de las mesas de participación de niños, niñas y adolescentes.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Documento con orientaciones y herramientas para fortalecer la participación de la sociedad civil en el SNBF.</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8 talleres con niños, niñas y adolescentes en cada uno de los 10 municipios, con una media de 296 participantes por sesión.</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3 encuentros de trabajo con las Mesas de Infancia, Adolescencia y Fortalecimiento Familiar de cada uno de los 10 municipios y 4 gobernaciones.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Estrategia consolidada de asistencia técnica territorial para la inclusión de la primera infancia, infancia, adolescencia y fortalecimiento familiar en los planes de desarrollo territoriales.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Asistencia técnica a todo el país y acompañamiento directo en 350 territorios para la inclusión de la primera infancia, infancia, adolescencia y fortalecimiento familiar en los planes de desarrollo territoriales.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8"/>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10 territorios con acompañamiento especializado “estrategia fortalecida”.</w:t>
            </w:r>
          </w:p>
        </w:tc>
      </w:tr>
    </w:tbl>
    <w:p w:rsidR="00622F24" w:rsidRDefault="00F7316B" w:rsidP="00622F24">
      <w:pPr>
        <w:spacing w:after="0" w:line="240" w:lineRule="auto"/>
        <w:jc w:val="both"/>
        <w:rPr>
          <w:sz w:val="16"/>
          <w:lang w:eastAsia="es-CO"/>
        </w:rPr>
      </w:pPr>
      <w:r w:rsidRPr="00C65253">
        <w:rPr>
          <w:b/>
          <w:sz w:val="16"/>
          <w:lang w:eastAsia="es-CO"/>
        </w:rPr>
        <w:t>Fuente:</w:t>
      </w:r>
      <w:r>
        <w:rPr>
          <w:sz w:val="16"/>
          <w:lang w:eastAsia="es-CO"/>
        </w:rPr>
        <w:t xml:space="preserve"> SNBF</w:t>
      </w:r>
    </w:p>
    <w:p w:rsidR="00F7316B" w:rsidRPr="00F7316B" w:rsidRDefault="00F7316B" w:rsidP="00622F24">
      <w:pPr>
        <w:spacing w:after="0" w:line="240" w:lineRule="auto"/>
        <w:jc w:val="both"/>
        <w:rPr>
          <w:sz w:val="16"/>
          <w:lang w:eastAsia="es-CO"/>
        </w:rPr>
      </w:pPr>
    </w:p>
    <w:p w:rsidR="00622F24" w:rsidRPr="00714BDC" w:rsidRDefault="00622F24" w:rsidP="00D712DC">
      <w:pPr>
        <w:pStyle w:val="Prrafodelista"/>
        <w:numPr>
          <w:ilvl w:val="0"/>
          <w:numId w:val="127"/>
        </w:numPr>
        <w:spacing w:after="0" w:line="240" w:lineRule="auto"/>
        <w:jc w:val="both"/>
        <w:rPr>
          <w:b/>
          <w:u w:val="single"/>
          <w:lang w:eastAsia="es-CO"/>
        </w:rPr>
      </w:pPr>
      <w:r w:rsidRPr="00714BDC">
        <w:rPr>
          <w:b/>
          <w:u w:val="single"/>
          <w:lang w:eastAsia="es-CO"/>
        </w:rPr>
        <w:t>Convenio de Asociación No. 1575 de 2016, suscrito con Fundación Caminos de Identidad –FUCAI (Plazo: 23 de septiembre de 2016 al 31 de diciembre de 2016)</w:t>
      </w:r>
    </w:p>
    <w:p w:rsidR="00622F24" w:rsidRPr="00714BDC" w:rsidRDefault="00622F24" w:rsidP="00622F24">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622F24" w:rsidRPr="00B524DF" w:rsidTr="00717DE1">
        <w:trPr>
          <w:trHeight w:val="315"/>
        </w:trPr>
        <w:tc>
          <w:tcPr>
            <w:tcW w:w="8931" w:type="dxa"/>
            <w:shd w:val="clear" w:color="auto" w:fill="76923C" w:themeFill="accent3" w:themeFillShade="BF"/>
            <w:noWrap/>
            <w:vAlign w:val="center"/>
          </w:tcPr>
          <w:p w:rsidR="00622F24" w:rsidRPr="00B524DF" w:rsidRDefault="00622F24" w:rsidP="008A2A9F">
            <w:pPr>
              <w:spacing w:after="0" w:line="240" w:lineRule="auto"/>
              <w:jc w:val="center"/>
              <w:rPr>
                <w:rFonts w:ascii="Times New Roman" w:eastAsia="Times New Roman" w:hAnsi="Times New Roman"/>
                <w:sz w:val="16"/>
                <w:szCs w:val="20"/>
                <w:lang w:val="es-CO" w:eastAsia="es-CO"/>
              </w:rPr>
            </w:pPr>
            <w:r w:rsidRPr="00717DE1">
              <w:rPr>
                <w:rFonts w:eastAsia="Times New Roman" w:cs="Arial"/>
                <w:b/>
                <w:bCs/>
                <w:color w:val="FFFFFF" w:themeColor="background1"/>
                <w:sz w:val="16"/>
                <w:szCs w:val="20"/>
                <w:lang w:eastAsia="es-CO"/>
              </w:rPr>
              <w:t>OBJETO</w:t>
            </w:r>
          </w:p>
        </w:tc>
      </w:tr>
      <w:tr w:rsidR="00622F24" w:rsidRPr="00B524DF" w:rsidTr="00717DE1">
        <w:trPr>
          <w:trHeight w:val="315"/>
        </w:trPr>
        <w:tc>
          <w:tcPr>
            <w:tcW w:w="8931" w:type="dxa"/>
            <w:shd w:val="clear" w:color="auto" w:fill="auto"/>
            <w:noWrap/>
            <w:vAlign w:val="center"/>
          </w:tcPr>
          <w:p w:rsidR="00622F24" w:rsidRPr="00B524DF" w:rsidRDefault="00622F24" w:rsidP="008A2A9F">
            <w:pPr>
              <w:spacing w:after="0" w:line="240" w:lineRule="auto"/>
              <w:jc w:val="center"/>
              <w:rPr>
                <w:rFonts w:eastAsia="Times New Roman" w:cs="Arial"/>
                <w:sz w:val="16"/>
                <w:szCs w:val="20"/>
                <w:lang w:val="es-CO" w:eastAsia="es-CO"/>
              </w:rPr>
            </w:pPr>
            <w:r w:rsidRPr="00B524DF">
              <w:rPr>
                <w:rFonts w:eastAsia="Times New Roman" w:cs="Arial"/>
                <w:sz w:val="16"/>
                <w:szCs w:val="20"/>
                <w:lang w:val="es-CO" w:eastAsia="es-CO"/>
              </w:rPr>
              <w:t>Aunar esfuerzos técnicos, administrativos y financieros para el fortalecimiento de los procesos organizativos y la priorización y visibilización de los temas de niñez y familia, en el plan de vida de las comunidades indígenas que integran ASOCAUNIGUVI, ubicadas en el corregimiento de Barrancominas y el municipio de Cumaribo, así como describir la realidad y contexto del acompañamiento al plan de vida, según los objetivos del Sistema Nacional de Bienestar Familiar</w:t>
            </w:r>
          </w:p>
        </w:tc>
      </w:tr>
      <w:tr w:rsidR="00622F24" w:rsidRPr="00B524DF" w:rsidTr="00717DE1">
        <w:trPr>
          <w:trHeight w:val="315"/>
        </w:trPr>
        <w:tc>
          <w:tcPr>
            <w:tcW w:w="8931" w:type="dxa"/>
            <w:shd w:val="clear" w:color="auto" w:fill="76923C" w:themeFill="accent3" w:themeFillShade="BF"/>
            <w:noWrap/>
            <w:vAlign w:val="center"/>
            <w:hideMark/>
          </w:tcPr>
          <w:p w:rsidR="00622F24" w:rsidRPr="00B524DF" w:rsidRDefault="00622F24" w:rsidP="008A2A9F">
            <w:pPr>
              <w:spacing w:after="0" w:line="240" w:lineRule="auto"/>
              <w:jc w:val="center"/>
              <w:rPr>
                <w:rFonts w:ascii="Times New Roman" w:eastAsia="Times New Roman" w:hAnsi="Times New Roman"/>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622F24" w:rsidRPr="00B524DF" w:rsidTr="00717DE1">
        <w:trPr>
          <w:trHeight w:val="456"/>
        </w:trPr>
        <w:tc>
          <w:tcPr>
            <w:tcW w:w="8931" w:type="dxa"/>
            <w:shd w:val="clear" w:color="auto" w:fill="auto"/>
            <w:vAlign w:val="center"/>
            <w:hideMark/>
          </w:tcPr>
          <w:p w:rsidR="00622F24" w:rsidRPr="00B524DF" w:rsidRDefault="00622F24" w:rsidP="00D712DC">
            <w:pPr>
              <w:pStyle w:val="Prrafodelista"/>
              <w:numPr>
                <w:ilvl w:val="0"/>
                <w:numId w:val="129"/>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Elaboración de contenidos y metodologías para el desarrollo de encuentros en fortalecimiento familiar y socio-organizativo.</w:t>
            </w:r>
          </w:p>
        </w:tc>
      </w:tr>
      <w:tr w:rsidR="00622F24" w:rsidRPr="00B524DF"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29"/>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 xml:space="preserve">Realización de talleres con la participación de un total de 258 personas, cuyos principales logros fueron: </w:t>
            </w:r>
          </w:p>
          <w:p w:rsidR="00622F24" w:rsidRPr="00B524DF" w:rsidRDefault="00622F24" w:rsidP="00D712DC">
            <w:pPr>
              <w:pStyle w:val="Prrafodelista"/>
              <w:numPr>
                <w:ilvl w:val="1"/>
                <w:numId w:val="129"/>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lastRenderedPageBreak/>
              <w:t xml:space="preserve">Reconocimiento por parte de los participantes de la importancia de garantizar capacitación e igualdad de espacios para las mujeres como una estrategia de desarrollo y avance en el plan de vida Kaliawiri de los pueblos Piapoco, Sikuani y Puinave. </w:t>
            </w:r>
          </w:p>
          <w:p w:rsidR="00622F24" w:rsidRPr="00B524DF" w:rsidRDefault="00622F24" w:rsidP="00D712DC">
            <w:pPr>
              <w:pStyle w:val="Prrafodelista"/>
              <w:numPr>
                <w:ilvl w:val="1"/>
                <w:numId w:val="129"/>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Las mujeres participantes se reconocen como sujetos de derecho con capacidad de unir esfuerzos con los líderes. </w:t>
            </w:r>
          </w:p>
          <w:p w:rsidR="00622F24" w:rsidRPr="00B524DF" w:rsidRDefault="00622F24" w:rsidP="00D712DC">
            <w:pPr>
              <w:pStyle w:val="Prrafodelista"/>
              <w:numPr>
                <w:ilvl w:val="1"/>
                <w:numId w:val="129"/>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Conocimiento por parte de los participantes de su plan vida, forma de construcción y gestión con las diferentes entidades, realizando una evaluación de logros y oportunidades de mejora para el nuevo gobierno. </w:t>
            </w:r>
          </w:p>
          <w:p w:rsidR="00622F24" w:rsidRPr="00B524DF" w:rsidRDefault="00622F24" w:rsidP="00D712DC">
            <w:pPr>
              <w:pStyle w:val="Prrafodelista"/>
              <w:numPr>
                <w:ilvl w:val="1"/>
                <w:numId w:val="129"/>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 xml:space="preserve">Elección de su comité ejecutivo para dar continuidad a su plan de vida como pueblo indígena, entregando un mandato que garantiza los derechos y la protección de la niñez indígena de los pueblos. </w:t>
            </w:r>
          </w:p>
          <w:p w:rsidR="00622F24" w:rsidRPr="00B524DF" w:rsidRDefault="00622F24" w:rsidP="00D712DC">
            <w:pPr>
              <w:pStyle w:val="Prrafodelista"/>
              <w:numPr>
                <w:ilvl w:val="1"/>
                <w:numId w:val="129"/>
              </w:numPr>
              <w:spacing w:after="0" w:line="240" w:lineRule="auto"/>
              <w:ind w:left="776" w:hanging="425"/>
              <w:jc w:val="both"/>
              <w:rPr>
                <w:rFonts w:eastAsia="Times New Roman" w:cs="Arial"/>
                <w:sz w:val="16"/>
                <w:szCs w:val="20"/>
                <w:lang w:val="es-CO" w:eastAsia="es-CO"/>
              </w:rPr>
            </w:pPr>
            <w:r w:rsidRPr="00B524DF">
              <w:rPr>
                <w:rFonts w:eastAsia="Times New Roman" w:cs="Arial"/>
                <w:sz w:val="16"/>
                <w:szCs w:val="20"/>
                <w:lang w:val="es-CO" w:eastAsia="es-CO"/>
              </w:rPr>
              <w:t>Las mujeres participantes evalúan su rol en la organización y deciden crear el Consejo Mayor de Mujeres Líderes Indígenas de ASOCAUNIGUVI, que vincula a las mujeres de todas las comunidades y busca aconsejar y exigir el cumplimiento de derechos para las mujeres, las familias y la niñez indígena.</w:t>
            </w:r>
          </w:p>
        </w:tc>
      </w:tr>
    </w:tbl>
    <w:p w:rsidR="00622F24" w:rsidRPr="00714BDC" w:rsidRDefault="00622F24" w:rsidP="00622F24">
      <w:pPr>
        <w:spacing w:after="0" w:line="240" w:lineRule="auto"/>
        <w:jc w:val="both"/>
        <w:rPr>
          <w:lang w:eastAsia="es-CO"/>
        </w:rPr>
      </w:pPr>
    </w:p>
    <w:p w:rsidR="00622F24" w:rsidRPr="00714BDC" w:rsidRDefault="00622F24" w:rsidP="00D712DC">
      <w:pPr>
        <w:pStyle w:val="Prrafodelista"/>
        <w:numPr>
          <w:ilvl w:val="0"/>
          <w:numId w:val="127"/>
        </w:numPr>
        <w:spacing w:after="0" w:line="240" w:lineRule="auto"/>
        <w:jc w:val="both"/>
        <w:rPr>
          <w:b/>
          <w:u w:val="single"/>
          <w:lang w:eastAsia="es-CO"/>
        </w:rPr>
      </w:pPr>
      <w:r w:rsidRPr="00714BDC">
        <w:rPr>
          <w:b/>
          <w:u w:val="single"/>
          <w:lang w:eastAsia="es-CO"/>
        </w:rPr>
        <w:t>Contrato de Aporte No. 1456 de 2016, suscrito con ASOCIT (Plazo: 17 de agosto a 31 de diciembre de 2016)</w:t>
      </w:r>
    </w:p>
    <w:p w:rsidR="00622F24" w:rsidRDefault="00622F24" w:rsidP="00622F24">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622F24" w:rsidRPr="000B18BB" w:rsidTr="00717DE1">
        <w:trPr>
          <w:trHeight w:val="315"/>
        </w:trPr>
        <w:tc>
          <w:tcPr>
            <w:tcW w:w="8931" w:type="dxa"/>
            <w:shd w:val="clear" w:color="auto" w:fill="76923C" w:themeFill="accent3" w:themeFillShade="BF"/>
            <w:vAlign w:val="center"/>
          </w:tcPr>
          <w:p w:rsidR="00622F24" w:rsidRPr="00717DE1" w:rsidRDefault="00622F24" w:rsidP="008A2A9F">
            <w:pPr>
              <w:spacing w:after="0" w:line="240" w:lineRule="auto"/>
              <w:jc w:val="center"/>
              <w:rPr>
                <w:rFonts w:eastAsia="Times New Roman" w:cs="Arial"/>
                <w:b/>
                <w:bCs/>
                <w:color w:val="FFFFFF" w:themeColor="background1"/>
                <w:sz w:val="16"/>
                <w:szCs w:val="20"/>
                <w:lang w:eastAsia="es-CO"/>
              </w:rPr>
            </w:pPr>
            <w:r w:rsidRPr="00717DE1">
              <w:rPr>
                <w:rFonts w:eastAsia="Times New Roman" w:cs="Arial"/>
                <w:b/>
                <w:bCs/>
                <w:color w:val="FFFFFF" w:themeColor="background1"/>
                <w:sz w:val="16"/>
                <w:szCs w:val="20"/>
                <w:lang w:eastAsia="es-CO"/>
              </w:rPr>
              <w:t>OBJETO</w:t>
            </w:r>
          </w:p>
        </w:tc>
      </w:tr>
      <w:tr w:rsidR="00622F24" w:rsidRPr="000B18BB" w:rsidTr="00717DE1">
        <w:trPr>
          <w:trHeight w:val="315"/>
        </w:trPr>
        <w:tc>
          <w:tcPr>
            <w:tcW w:w="8931" w:type="dxa"/>
            <w:shd w:val="clear" w:color="auto" w:fill="auto"/>
            <w:vAlign w:val="center"/>
          </w:tcPr>
          <w:p w:rsidR="00622F24" w:rsidRPr="00B524DF" w:rsidRDefault="00622F24" w:rsidP="00717DE1">
            <w:pPr>
              <w:spacing w:after="0" w:line="240" w:lineRule="auto"/>
              <w:rPr>
                <w:rFonts w:eastAsia="Times New Roman" w:cs="Arial"/>
                <w:bCs/>
                <w:sz w:val="16"/>
                <w:szCs w:val="20"/>
                <w:lang w:eastAsia="es-CO"/>
              </w:rPr>
            </w:pPr>
            <w:r w:rsidRPr="00B524DF">
              <w:rPr>
                <w:rFonts w:eastAsia="Times New Roman" w:cs="Arial"/>
                <w:bCs/>
                <w:sz w:val="16"/>
                <w:szCs w:val="20"/>
                <w:lang w:eastAsia="es-CO"/>
              </w:rPr>
              <w:t>Revitalizar las prácticas socio-culturales desde la visión de las mujeres Arhuacas como guías de la cultura iku y realizar acciones complementarias de soberanía alimentaria con las familias indígenas arhuacas inspiradas en el cumplimiento de la Ley de Origen, bajo los lineamientos tradicionales de las Kankurwas Mayores de Seykwínkuta, Seykumuke y Numa´ka de Nabusímake y Kunzikuta de Seynimin; para fortalecer la cultura mediante el intercambio de conocimientos sobre salud y educación propia y fortalecimiento de oficios tradicionales, la formación tradicional de niños y niñas kwimis, y los conocimientos de actividades de soberanía alimentaria agrícola los cultivos kias y orgánicos, con el fin de lograr un reconocimiento y permanencia cultural que garanticen el bienestar físico y espiritual de todo el núcleo familiar.</w:t>
            </w:r>
          </w:p>
        </w:tc>
      </w:tr>
      <w:tr w:rsidR="00622F24" w:rsidRPr="000B18BB" w:rsidTr="00717DE1">
        <w:trPr>
          <w:trHeight w:val="315"/>
        </w:trPr>
        <w:tc>
          <w:tcPr>
            <w:tcW w:w="8931" w:type="dxa"/>
            <w:shd w:val="clear" w:color="auto" w:fill="76923C" w:themeFill="accent3" w:themeFillShade="BF"/>
            <w:vAlign w:val="center"/>
            <w:hideMark/>
          </w:tcPr>
          <w:p w:rsidR="00622F24" w:rsidRPr="00B524DF" w:rsidRDefault="00622F24" w:rsidP="008A2A9F">
            <w:pPr>
              <w:spacing w:after="0" w:line="240" w:lineRule="auto"/>
              <w:jc w:val="center"/>
              <w:rPr>
                <w:rFonts w:eastAsia="Times New Roman" w:cs="Arial"/>
                <w:b/>
                <w:bCs/>
                <w:sz w:val="16"/>
                <w:szCs w:val="20"/>
                <w:lang w:val="es-CO" w:eastAsia="es-CO"/>
              </w:rPr>
            </w:pPr>
            <w:r w:rsidRPr="00717DE1">
              <w:rPr>
                <w:rFonts w:eastAsia="Times New Roman" w:cs="Arial"/>
                <w:b/>
                <w:bCs/>
                <w:color w:val="FFFFFF" w:themeColor="background1"/>
                <w:sz w:val="16"/>
                <w:szCs w:val="20"/>
                <w:lang w:eastAsia="es-CO"/>
              </w:rPr>
              <w:t>PRINCIPALES RESULTADOS</w:t>
            </w:r>
          </w:p>
        </w:tc>
      </w:tr>
      <w:tr w:rsidR="00622F24" w:rsidRPr="000B18BB" w:rsidTr="00717DE1">
        <w:trPr>
          <w:trHeight w:val="6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Familias atendidas: 500 familias del Resguardo Indígena Arhuaco en las Comunidades de: Zikuta, Donachwi, Kochukwa, Karwa y Seyumuke:</w:t>
            </w:r>
          </w:p>
        </w:tc>
      </w:tr>
      <w:tr w:rsidR="00622F24" w:rsidRPr="000B18BB" w:rsidTr="00717DE1">
        <w:trPr>
          <w:trHeight w:val="246"/>
        </w:trPr>
        <w:tc>
          <w:tcPr>
            <w:tcW w:w="8931" w:type="dxa"/>
            <w:shd w:val="clear" w:color="auto" w:fill="auto"/>
            <w:vAlign w:val="center"/>
            <w:hideMark/>
          </w:tcPr>
          <w:p w:rsidR="00622F24" w:rsidRPr="00B524DF" w:rsidRDefault="00622F24" w:rsidP="00D712DC">
            <w:pPr>
              <w:pStyle w:val="Prrafodelista"/>
              <w:numPr>
                <w:ilvl w:val="0"/>
                <w:numId w:val="131"/>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 xml:space="preserve">Municipio Valledupar / Cesar: 300 familias (150 Seyumuke, 150 Donachwi) </w:t>
            </w:r>
          </w:p>
        </w:tc>
      </w:tr>
      <w:tr w:rsidR="00622F24" w:rsidRPr="000B18BB" w:rsidTr="00717DE1">
        <w:trPr>
          <w:trHeight w:val="296"/>
        </w:trPr>
        <w:tc>
          <w:tcPr>
            <w:tcW w:w="8931" w:type="dxa"/>
            <w:shd w:val="clear" w:color="auto" w:fill="auto"/>
            <w:vAlign w:val="center"/>
            <w:hideMark/>
          </w:tcPr>
          <w:p w:rsidR="00622F24" w:rsidRPr="00B524DF" w:rsidRDefault="00622F24" w:rsidP="00D712DC">
            <w:pPr>
              <w:pStyle w:val="Prrafodelista"/>
              <w:numPr>
                <w:ilvl w:val="0"/>
                <w:numId w:val="131"/>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Municipio Pueblo Bello / Cesar: 200 familias (70 Kochukwa, 70 Karwa, 60 Zikuta).</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Desarrollo del perfil de Vulnerabilidad y Generatividad Familiar y Comunitario.</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Desarrollo de encuentros regionales en Familia con las mujeres de las familias seleccionadas.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Apoyo a la formación tradicional de los niños y niñas kwimis.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Encuentro con Familias para la Realización de pagamentos a Zaku Seynekun.</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Entrega de materiales para el fortalecimiento de oficios tradicionales propios, como son las mochilas, vestidos y gorros.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Encuentros con las Familias para el intercambio de conocimientos sobre la Siembra y cultivo de alimentos.</w:t>
            </w:r>
          </w:p>
        </w:tc>
      </w:tr>
      <w:tr w:rsidR="00622F24" w:rsidRPr="000B18BB" w:rsidTr="00717DE1">
        <w:trPr>
          <w:trHeight w:val="30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Fortalecimiento de huertas tradicionales.</w:t>
            </w:r>
          </w:p>
        </w:tc>
      </w:tr>
      <w:tr w:rsidR="00622F24" w:rsidRPr="000B18BB"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Elaboración e implementación del Mapa de cambios.</w:t>
            </w:r>
          </w:p>
        </w:tc>
      </w:tr>
      <w:tr w:rsidR="00622F24" w:rsidRPr="000B18BB" w:rsidTr="00717DE1">
        <w:trPr>
          <w:trHeight w:val="315"/>
        </w:trPr>
        <w:tc>
          <w:tcPr>
            <w:tcW w:w="8931" w:type="dxa"/>
            <w:shd w:val="clear" w:color="auto" w:fill="auto"/>
            <w:vAlign w:val="center"/>
            <w:hideMark/>
          </w:tcPr>
          <w:p w:rsidR="00622F24" w:rsidRPr="00B524DF" w:rsidRDefault="00622F24" w:rsidP="00D712DC">
            <w:pPr>
              <w:pStyle w:val="Prrafodelista"/>
              <w:numPr>
                <w:ilvl w:val="0"/>
                <w:numId w:val="130"/>
              </w:numPr>
              <w:spacing w:after="0" w:line="240" w:lineRule="auto"/>
              <w:jc w:val="both"/>
              <w:rPr>
                <w:rFonts w:eastAsia="Times New Roman" w:cs="Arial"/>
                <w:sz w:val="16"/>
                <w:szCs w:val="20"/>
                <w:lang w:eastAsia="es-CO"/>
              </w:rPr>
            </w:pPr>
            <w:r w:rsidRPr="00B524DF">
              <w:rPr>
                <w:rFonts w:eastAsia="Times New Roman" w:cs="Arial"/>
                <w:sz w:val="16"/>
                <w:szCs w:val="20"/>
                <w:lang w:eastAsia="es-CO"/>
              </w:rPr>
              <w:t>Sistematización</w:t>
            </w:r>
          </w:p>
        </w:tc>
      </w:tr>
    </w:tbl>
    <w:p w:rsidR="00622F24" w:rsidRDefault="00F7316B" w:rsidP="00622F24">
      <w:pPr>
        <w:spacing w:after="0" w:line="240" w:lineRule="auto"/>
        <w:jc w:val="both"/>
        <w:rPr>
          <w:sz w:val="16"/>
          <w:lang w:eastAsia="es-CO"/>
        </w:rPr>
      </w:pPr>
      <w:r w:rsidRPr="00C65253">
        <w:rPr>
          <w:b/>
          <w:sz w:val="16"/>
          <w:lang w:eastAsia="es-CO"/>
        </w:rPr>
        <w:t>Fuente:</w:t>
      </w:r>
      <w:r>
        <w:rPr>
          <w:sz w:val="16"/>
          <w:lang w:eastAsia="es-CO"/>
        </w:rPr>
        <w:t xml:space="preserve"> SNBF</w:t>
      </w:r>
    </w:p>
    <w:p w:rsidR="00F7316B" w:rsidRPr="00F7316B" w:rsidRDefault="00F7316B" w:rsidP="00622F24">
      <w:pPr>
        <w:spacing w:after="0" w:line="240" w:lineRule="auto"/>
        <w:jc w:val="both"/>
        <w:rPr>
          <w:sz w:val="16"/>
          <w:lang w:eastAsia="es-CO"/>
        </w:rPr>
      </w:pPr>
    </w:p>
    <w:p w:rsidR="00622F24" w:rsidRPr="00714BDC" w:rsidRDefault="00622F24" w:rsidP="00D712DC">
      <w:pPr>
        <w:pStyle w:val="Prrafodelista"/>
        <w:numPr>
          <w:ilvl w:val="0"/>
          <w:numId w:val="127"/>
        </w:numPr>
        <w:spacing w:after="0" w:line="240" w:lineRule="auto"/>
        <w:jc w:val="both"/>
        <w:rPr>
          <w:b/>
          <w:u w:val="single"/>
          <w:lang w:eastAsia="es-CO"/>
        </w:rPr>
      </w:pPr>
      <w:r w:rsidRPr="00714BDC">
        <w:rPr>
          <w:b/>
          <w:u w:val="single"/>
          <w:lang w:eastAsia="es-CO"/>
        </w:rPr>
        <w:t>Convenio de Asociación No. 1294 de 2016, suscrito con: FUNDALIANZA (Plazo: 30 de junio de 2016 al 31 de diciembre de 2016)</w:t>
      </w:r>
    </w:p>
    <w:p w:rsidR="00622F24" w:rsidRPr="00714BDC" w:rsidRDefault="00622F24" w:rsidP="00622F24">
      <w:pPr>
        <w:spacing w:after="0" w:line="240" w:lineRule="auto"/>
        <w:jc w:val="both"/>
        <w:rPr>
          <w:lang w:eastAsia="es-CO"/>
        </w:rPr>
      </w:pPr>
    </w:p>
    <w:tbl>
      <w:tblPr>
        <w:tblW w:w="893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931"/>
      </w:tblGrid>
      <w:tr w:rsidR="00622F24" w:rsidRPr="00714BDC" w:rsidTr="00717DE1">
        <w:trPr>
          <w:trHeight w:val="300"/>
        </w:trPr>
        <w:tc>
          <w:tcPr>
            <w:tcW w:w="8931" w:type="dxa"/>
            <w:shd w:val="clear" w:color="auto" w:fill="76923C" w:themeFill="accent3" w:themeFillShade="BF"/>
            <w:vAlign w:val="center"/>
          </w:tcPr>
          <w:p w:rsidR="00622F24" w:rsidRPr="00B524DF" w:rsidRDefault="00622F24" w:rsidP="008A2A9F">
            <w:pPr>
              <w:spacing w:after="0" w:line="240" w:lineRule="auto"/>
              <w:jc w:val="center"/>
              <w:rPr>
                <w:rFonts w:eastAsia="Times New Roman" w:cs="Arial"/>
                <w:sz w:val="16"/>
                <w:szCs w:val="20"/>
                <w:lang w:eastAsia="es-CO"/>
              </w:rPr>
            </w:pPr>
            <w:r w:rsidRPr="00717DE1">
              <w:rPr>
                <w:rFonts w:eastAsia="Times New Roman" w:cs="Arial"/>
                <w:b/>
                <w:bCs/>
                <w:color w:val="FFFFFF" w:themeColor="background1"/>
                <w:sz w:val="16"/>
                <w:szCs w:val="20"/>
                <w:lang w:eastAsia="es-CO"/>
              </w:rPr>
              <w:t>OBJETO</w:t>
            </w:r>
          </w:p>
        </w:tc>
      </w:tr>
      <w:tr w:rsidR="00622F24" w:rsidRPr="00714BDC" w:rsidTr="00717DE1">
        <w:trPr>
          <w:trHeight w:val="300"/>
        </w:trPr>
        <w:tc>
          <w:tcPr>
            <w:tcW w:w="8931" w:type="dxa"/>
            <w:shd w:val="clear" w:color="auto" w:fill="auto"/>
            <w:vAlign w:val="center"/>
          </w:tcPr>
          <w:p w:rsidR="00622F24" w:rsidRPr="00B524DF" w:rsidRDefault="00622F24" w:rsidP="00717DE1">
            <w:pPr>
              <w:spacing w:after="0" w:line="240" w:lineRule="auto"/>
              <w:rPr>
                <w:rFonts w:eastAsia="Times New Roman" w:cs="Arial"/>
                <w:sz w:val="16"/>
                <w:szCs w:val="20"/>
                <w:lang w:eastAsia="es-CO"/>
              </w:rPr>
            </w:pPr>
            <w:r w:rsidRPr="00B524DF">
              <w:rPr>
                <w:rFonts w:eastAsia="Times New Roman" w:cs="Arial"/>
                <w:sz w:val="16"/>
                <w:szCs w:val="20"/>
                <w:lang w:eastAsia="es-CO"/>
              </w:rPr>
              <w:t>Aunar esfuerzos técnicos, administrativos y financieros para articular entre los diferentes Agentes del Sistema Nacional de Bienestar Familiar, acciones dirigidas al fortalecimiento familiar y comunitario, soberanía alimentaria y fortalecimiento cultural socio-organizativo, en la etnia Wayuu que contribuyan al mejoramiento de su calidad de vida.</w:t>
            </w:r>
          </w:p>
        </w:tc>
      </w:tr>
      <w:tr w:rsidR="00622F24" w:rsidRPr="00714BDC" w:rsidTr="00717DE1">
        <w:trPr>
          <w:trHeight w:val="300"/>
        </w:trPr>
        <w:tc>
          <w:tcPr>
            <w:tcW w:w="8931" w:type="dxa"/>
            <w:shd w:val="clear" w:color="auto" w:fill="76923C" w:themeFill="accent3" w:themeFillShade="BF"/>
            <w:vAlign w:val="center"/>
          </w:tcPr>
          <w:p w:rsidR="00622F24" w:rsidRPr="00B524DF" w:rsidRDefault="00622F24" w:rsidP="008A2A9F">
            <w:pPr>
              <w:spacing w:after="0" w:line="240" w:lineRule="auto"/>
              <w:jc w:val="center"/>
              <w:rPr>
                <w:rFonts w:eastAsia="Times New Roman" w:cs="Arial"/>
                <w:sz w:val="16"/>
                <w:szCs w:val="20"/>
                <w:lang w:eastAsia="es-CO"/>
              </w:rPr>
            </w:pPr>
            <w:r w:rsidRPr="00717DE1">
              <w:rPr>
                <w:rFonts w:eastAsia="Times New Roman" w:cs="Arial"/>
                <w:b/>
                <w:bCs/>
                <w:color w:val="FFFFFF" w:themeColor="background1"/>
                <w:sz w:val="16"/>
                <w:szCs w:val="20"/>
                <w:lang w:eastAsia="es-CO"/>
              </w:rPr>
              <w:t>PRINCIPALES RESULTADOS</w:t>
            </w:r>
          </w:p>
        </w:tc>
      </w:tr>
      <w:tr w:rsidR="00622F24" w:rsidRPr="00714BDC" w:rsidTr="00717DE1">
        <w:trPr>
          <w:trHeight w:val="30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2.500 familias atendidas</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concertaciones en 50 comunidades frente a los objetivos propuestos del proyecto.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 xml:space="preserve"> 83 eventos de socialización los objetivos, fases, actividades y presupuesto de intervención del proyecto.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jornadas de caracterización: se identifican las 2.500 familias de los participantes en las 50 comunidades de intervención.</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identificación de las situaciones de vulnerabilidad, riesgo y fortalezas de las comunidades frente al objetivo del proyecto con el fin de determinar la temática de intervención de los encuentros de familia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lastRenderedPageBreak/>
              <w:t>83 talleres de fortalecimiento de usos y costumbres de la etnia wayuu relacionados con pautas de crianza y roles del cuidado.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fortalecimiento de usos y costumbres de la etnia wayuu relacionados con pautas educativas básicas.</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52 talleres de fortalecimiento de usos y costumbres de la etnia wayuu relacionados con su desarrollo socio organizativo.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fortalecimiento de las habilidades sociales de la comunidad wayuu.</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fortalecimiento de usos y costumbres de la etnia wayuu relacionados con sus habilidades sociales y valores en la familia.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reuniones de identificación de situaciones de riesgo en las comunidades frente a temas relacionados con su medicina tradicional y su gobierno propio.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50 reuniones de identificación de situaciones de riesgo en las comunidades frente a temas relacionados con su cultura.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transmisión de saberes entre autoridades y comunidades con el objetivo del fortalecimiento de las habilidades sociales de la comunidad wayuu relacionadas con su medicina tradicional y su gobierno propio.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83 talleres de transmisión de saberes entre autoridades y comunidades con el objetivo del fortalecimiento de su cultura.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val="es-CO" w:eastAsia="es-CO"/>
              </w:rPr>
              <w:t>600 visitas de acompañamiento a las 50 comunidades para el fortalecimiento de las habilidades y saberes ancestrales frente a las actividades productivas propias con la participación de las 2.500 personas vinculadas al proyecto.</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2.500 animales ovino/caprinos como acción de fortalecimiento de sus actividades propias frente a la seguridad alimentaria.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12.500 gallinas ponedoras de 16 semanas con el propósito de entrega de producción de huevos como acción frente a la seguridad alimentaria.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insumos a 2.500 personas como acción de fortalecimiento de sus oficios tradicionales y sus posibilidades de impacto frente a la seguridad alimentaria.</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Implementación de una estrategia para el mantenimiento del territorio de las comunidades intervenidas, en la cual se promueven jornadas de aseo, ornato y embellecimiento del entorno, acompañado de acciones de sensibilización frente al bueno uso y mantenimiento de los recursos naturales.</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Entrega de bonos alimentarios para 2.980 personas durante 4 meses, con acciones transversales de formación para la seguridad alimentaria y el desarrollo social, y frente a aportes de la comunidad para el mejoramiento de sus bienes comunitarios.</w:t>
            </w:r>
          </w:p>
        </w:tc>
      </w:tr>
      <w:tr w:rsidR="00622F24" w:rsidRPr="00714BDC" w:rsidTr="00717DE1">
        <w:trPr>
          <w:trHeight w:val="80"/>
        </w:trPr>
        <w:tc>
          <w:tcPr>
            <w:tcW w:w="8931" w:type="dxa"/>
            <w:shd w:val="clear" w:color="auto" w:fill="auto"/>
            <w:vAlign w:val="center"/>
            <w:hideMark/>
          </w:tcPr>
          <w:p w:rsidR="00622F24" w:rsidRPr="00B524DF" w:rsidRDefault="00622F24" w:rsidP="00D712DC">
            <w:pPr>
              <w:pStyle w:val="Prrafodelista"/>
              <w:numPr>
                <w:ilvl w:val="0"/>
                <w:numId w:val="132"/>
              </w:numPr>
              <w:spacing w:after="0" w:line="240" w:lineRule="auto"/>
              <w:jc w:val="both"/>
              <w:rPr>
                <w:rFonts w:eastAsia="Times New Roman" w:cs="Arial"/>
                <w:sz w:val="16"/>
                <w:szCs w:val="20"/>
                <w:lang w:val="es-CO" w:eastAsia="es-CO"/>
              </w:rPr>
            </w:pPr>
            <w:r w:rsidRPr="00B524DF">
              <w:rPr>
                <w:rFonts w:eastAsia="Times New Roman" w:cs="Arial"/>
                <w:sz w:val="16"/>
                <w:szCs w:val="20"/>
                <w:lang w:eastAsia="es-CO"/>
              </w:rPr>
              <w:t>Fomento de buenos hábitos saludables a partir de los encuentros en familia, con el fin de brindar orientación sobre el mejoramiento de los hábitos higiénicos las comunidades.</w:t>
            </w:r>
          </w:p>
        </w:tc>
      </w:tr>
    </w:tbl>
    <w:p w:rsidR="00823561" w:rsidRDefault="00F7316B" w:rsidP="00823561">
      <w:pPr>
        <w:spacing w:after="0" w:line="240" w:lineRule="auto"/>
        <w:rPr>
          <w:rFonts w:cs="Arial"/>
          <w:sz w:val="16"/>
        </w:rPr>
      </w:pPr>
      <w:r w:rsidRPr="00C65253">
        <w:rPr>
          <w:rFonts w:cs="Arial"/>
          <w:b/>
          <w:sz w:val="16"/>
        </w:rPr>
        <w:t>Fuente:</w:t>
      </w:r>
      <w:r>
        <w:rPr>
          <w:rFonts w:cs="Arial"/>
          <w:sz w:val="16"/>
        </w:rPr>
        <w:t xml:space="preserve"> SNBF</w:t>
      </w:r>
    </w:p>
    <w:p w:rsidR="00F7316B" w:rsidRPr="00F7316B" w:rsidRDefault="00F7316B" w:rsidP="00823561">
      <w:pPr>
        <w:spacing w:after="0" w:line="240" w:lineRule="auto"/>
        <w:rPr>
          <w:rFonts w:cs="Arial"/>
          <w:sz w:val="16"/>
        </w:rPr>
      </w:pP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47" w:name="_Toc473581439"/>
      <w:r w:rsidRPr="004146E3">
        <w:rPr>
          <w:rFonts w:eastAsia="Times New Roman" w:cs="Arial"/>
          <w:b/>
          <w:bCs/>
          <w:kern w:val="32"/>
        </w:rPr>
        <w:t>Logros 2016</w:t>
      </w:r>
      <w:bookmarkEnd w:id="147"/>
      <w:r w:rsidRPr="004146E3">
        <w:rPr>
          <w:rFonts w:eastAsia="Times New Roman" w:cs="Arial"/>
          <w:b/>
          <w:bCs/>
          <w:kern w:val="32"/>
        </w:rPr>
        <w:t xml:space="preserve"> </w:t>
      </w:r>
    </w:p>
    <w:p w:rsidR="00823561" w:rsidRDefault="00823561" w:rsidP="00823561">
      <w:pPr>
        <w:spacing w:after="0" w:line="240" w:lineRule="auto"/>
        <w:jc w:val="both"/>
        <w:rPr>
          <w:lang w:eastAsia="es-CO"/>
        </w:rPr>
      </w:pPr>
    </w:p>
    <w:p w:rsidR="00622F24" w:rsidRDefault="00622F24" w:rsidP="00622F24">
      <w:pPr>
        <w:spacing w:after="0" w:line="240" w:lineRule="auto"/>
        <w:rPr>
          <w:rFonts w:eastAsiaTheme="minorHAnsi" w:cs="Arial"/>
          <w:lang w:val="es-CO" w:eastAsia="es-CO"/>
        </w:rPr>
      </w:pPr>
      <w:r w:rsidRPr="00714BDC">
        <w:rPr>
          <w:rFonts w:eastAsiaTheme="minorHAnsi" w:cs="Arial"/>
          <w:lang w:val="es-CO" w:eastAsia="es-CO"/>
        </w:rPr>
        <w:t>Para 2016 la Dirección del SNBF obtuvo los siguientes logros:</w:t>
      </w:r>
    </w:p>
    <w:p w:rsidR="00717DE1" w:rsidRPr="00714BDC" w:rsidRDefault="00717DE1" w:rsidP="00622F24">
      <w:pPr>
        <w:spacing w:after="0" w:line="240" w:lineRule="auto"/>
        <w:rPr>
          <w:rFonts w:eastAsiaTheme="minorHAnsi" w:cs="Arial"/>
          <w:lang w:val="es-CO" w:eastAsia="es-CO"/>
        </w:rPr>
      </w:pPr>
    </w:p>
    <w:p w:rsidR="00622F24" w:rsidRDefault="00622F24" w:rsidP="004146E3">
      <w:pPr>
        <w:pStyle w:val="Prrafodelista"/>
        <w:numPr>
          <w:ilvl w:val="0"/>
          <w:numId w:val="120"/>
        </w:numPr>
        <w:spacing w:after="0" w:line="240" w:lineRule="auto"/>
        <w:ind w:left="360"/>
        <w:jc w:val="both"/>
      </w:pPr>
      <w:r w:rsidRPr="00714BDC">
        <w:t>Se fortaleció el rol del ICBF como rector del SNBF a través de sus instancias de coordinación como el Consejo Nacional de Política Social y el Comité Ejecutivo del SNBF en el ámbito nacional y a través de los CPS y las mesas de infancia, adolescencia y familia en el ámbito territorial, logrando materializar avances importantes y generando procesos que coadyuvan el desarrollo de componentes del sistema y a fortalecer decisiones de política pública que permiten garantizar la protección integral de los niños, las niñas y los adolescentes.</w:t>
      </w:r>
    </w:p>
    <w:p w:rsidR="00717DE1" w:rsidRPr="00714BDC" w:rsidRDefault="00717DE1" w:rsidP="004146E3">
      <w:pPr>
        <w:pStyle w:val="Prrafodelista"/>
        <w:spacing w:after="0" w:line="240" w:lineRule="auto"/>
        <w:ind w:left="360"/>
        <w:jc w:val="both"/>
      </w:pPr>
    </w:p>
    <w:p w:rsidR="00622F24" w:rsidRDefault="00622F24" w:rsidP="004146E3">
      <w:pPr>
        <w:pStyle w:val="Prrafodelista"/>
        <w:numPr>
          <w:ilvl w:val="0"/>
          <w:numId w:val="120"/>
        </w:numPr>
        <w:spacing w:after="0" w:line="240" w:lineRule="auto"/>
        <w:ind w:left="360"/>
        <w:jc w:val="both"/>
        <w:rPr>
          <w:lang w:eastAsia="es-CO"/>
        </w:rPr>
      </w:pPr>
      <w:r w:rsidRPr="00714BDC">
        <w:rPr>
          <w:lang w:eastAsia="es-CO"/>
        </w:rPr>
        <w:t>Se finalizó la construcción del Plan de Acción del SNBF, instrumento de gestión del Sistema que logra el compromiso de los agentes del SNBF del orden nacional con la protección integral de niños, niñas y adolescentes y a su vez contribuye al cumplimiento de las metas de gobierno en el cuatrienio a partir de la articulac</w:t>
      </w:r>
      <w:r w:rsidR="00717DE1">
        <w:rPr>
          <w:lang w:eastAsia="es-CO"/>
        </w:rPr>
        <w:t>ión del SNBF.</w:t>
      </w:r>
    </w:p>
    <w:p w:rsidR="00717DE1" w:rsidRPr="00714BDC" w:rsidRDefault="00717DE1" w:rsidP="004146E3">
      <w:pPr>
        <w:spacing w:after="0" w:line="240" w:lineRule="auto"/>
        <w:jc w:val="both"/>
        <w:rPr>
          <w:lang w:eastAsia="es-CO"/>
        </w:rPr>
      </w:pPr>
    </w:p>
    <w:p w:rsidR="00622F24" w:rsidRDefault="00622F24" w:rsidP="004146E3">
      <w:pPr>
        <w:pStyle w:val="Prrafodelista"/>
        <w:numPr>
          <w:ilvl w:val="0"/>
          <w:numId w:val="120"/>
        </w:numPr>
        <w:spacing w:after="0" w:line="240" w:lineRule="auto"/>
        <w:ind w:left="360"/>
        <w:jc w:val="both"/>
        <w:rPr>
          <w:lang w:eastAsia="es-CO"/>
        </w:rPr>
      </w:pPr>
      <w:r w:rsidRPr="00714BDC">
        <w:rPr>
          <w:lang w:eastAsia="es-CO"/>
        </w:rPr>
        <w:t>El Comité Ejecutivo del SNBF se continúa consolidando como la instancia de coordinación, operación y evaluación del SNBF en el cual se discuten y validan las diferentes herramientas de gestión del SNBF, las propuestas de política pública relacionadas con la protección integral de niños, niñas y adolescentes y el fortalecimiento familiar, propuestas de</w:t>
      </w:r>
      <w:r w:rsidR="00717DE1">
        <w:rPr>
          <w:lang w:eastAsia="es-CO"/>
        </w:rPr>
        <w:t xml:space="preserve"> índole normativo, entre otras.</w:t>
      </w:r>
    </w:p>
    <w:p w:rsidR="00717DE1" w:rsidRPr="00714BDC" w:rsidRDefault="00717DE1" w:rsidP="004146E3">
      <w:pPr>
        <w:spacing w:after="0" w:line="240" w:lineRule="auto"/>
        <w:jc w:val="both"/>
        <w:rPr>
          <w:lang w:eastAsia="es-CO"/>
        </w:rPr>
      </w:pPr>
    </w:p>
    <w:p w:rsidR="00622F24" w:rsidRDefault="00622F24" w:rsidP="004146E3">
      <w:pPr>
        <w:pStyle w:val="Prrafodelista"/>
        <w:numPr>
          <w:ilvl w:val="0"/>
          <w:numId w:val="123"/>
        </w:numPr>
        <w:spacing w:after="0" w:line="240" w:lineRule="auto"/>
        <w:ind w:left="360"/>
        <w:jc w:val="both"/>
      </w:pPr>
      <w:r w:rsidRPr="00714BDC">
        <w:lastRenderedPageBreak/>
        <w:t>Se desarrollaron productos que fortalecen los componentes de planeación, seguimiento y evaluación, y participación y movilización social. (A través del Convenio 1614 suscrito entre el ICBF, UNICEF y la Fundación Save the Children)</w:t>
      </w:r>
      <w:r w:rsidR="00717DE1">
        <w:t>.</w:t>
      </w:r>
    </w:p>
    <w:p w:rsidR="00717DE1" w:rsidRPr="00714BDC" w:rsidRDefault="00717DE1" w:rsidP="004146E3">
      <w:pPr>
        <w:pStyle w:val="Prrafodelista"/>
        <w:spacing w:after="0" w:line="240" w:lineRule="auto"/>
        <w:ind w:left="360"/>
        <w:jc w:val="both"/>
      </w:pPr>
    </w:p>
    <w:p w:rsidR="00622F24" w:rsidRDefault="00622F24" w:rsidP="004146E3">
      <w:pPr>
        <w:pStyle w:val="Prrafodelista"/>
        <w:numPr>
          <w:ilvl w:val="0"/>
          <w:numId w:val="120"/>
        </w:numPr>
        <w:spacing w:after="0" w:line="240" w:lineRule="auto"/>
        <w:ind w:left="360"/>
        <w:jc w:val="both"/>
      </w:pPr>
      <w:r w:rsidRPr="00714BDC">
        <w:t>Se avanzó en cuanto a la articulación entre los diferentes sistemas administrativos para optimizar acciones, recursos y evidenciar vacíos que permitan solventarse para la garantía de derechos de niños, niñas y adolescentes y el fortalecimiento familiar, y en especial, para la población del Sistema de Responsabilidad Penal para Adolescentes, víctimas de c</w:t>
      </w:r>
      <w:r w:rsidR="00717DE1">
        <w:t>onflicto armado y discapacidad.</w:t>
      </w:r>
    </w:p>
    <w:p w:rsidR="00717DE1" w:rsidRPr="00714BDC" w:rsidRDefault="00717DE1" w:rsidP="004146E3">
      <w:pPr>
        <w:pStyle w:val="Prrafodelista"/>
        <w:spacing w:after="0" w:line="240" w:lineRule="auto"/>
        <w:ind w:left="360"/>
        <w:jc w:val="both"/>
      </w:pPr>
    </w:p>
    <w:p w:rsidR="00622F24" w:rsidRDefault="00622F24" w:rsidP="004146E3">
      <w:pPr>
        <w:pStyle w:val="Prrafodelista"/>
        <w:numPr>
          <w:ilvl w:val="0"/>
          <w:numId w:val="120"/>
        </w:numPr>
        <w:spacing w:after="0" w:line="240" w:lineRule="auto"/>
        <w:ind w:left="360"/>
        <w:jc w:val="both"/>
        <w:rPr>
          <w:lang w:eastAsia="es-CO"/>
        </w:rPr>
      </w:pPr>
      <w:r w:rsidRPr="00714BDC">
        <w:rPr>
          <w:lang w:eastAsia="es-CO"/>
        </w:rPr>
        <w:t xml:space="preserve">Se realizó asistencia técnica para la incidencia en los planes de desarrollo en el 100% de las entidades territoriales del país, lo que permitió un avance en materia de planeación para los temas de niñez en todo el territorio nacional. Cabe anotar que </w:t>
      </w:r>
      <w:r w:rsidRPr="00714BDC">
        <w:t>en este proceso se recogieron aprendizajes de los procesos anteriores y se avanzó en contar con una herramienta alienada con las orientaciones de planeación nacional, que faci</w:t>
      </w:r>
      <w:r w:rsidR="00717DE1">
        <w:t>litó la planeación territorial.</w:t>
      </w:r>
    </w:p>
    <w:p w:rsidR="00717DE1" w:rsidRPr="00714BDC" w:rsidRDefault="00717DE1" w:rsidP="004146E3">
      <w:pPr>
        <w:spacing w:after="0" w:line="240" w:lineRule="auto"/>
        <w:jc w:val="both"/>
        <w:rPr>
          <w:lang w:eastAsia="es-CO"/>
        </w:rPr>
      </w:pPr>
    </w:p>
    <w:p w:rsidR="00622F24" w:rsidRDefault="00622F24" w:rsidP="004146E3">
      <w:pPr>
        <w:pStyle w:val="Prrafodelista"/>
        <w:numPr>
          <w:ilvl w:val="0"/>
          <w:numId w:val="120"/>
        </w:numPr>
        <w:spacing w:after="0" w:line="240" w:lineRule="auto"/>
        <w:ind w:left="360"/>
        <w:jc w:val="both"/>
      </w:pPr>
      <w:r w:rsidRPr="00714BDC">
        <w:t xml:space="preserve">Se afianzó la labor de alcaldías y gobernaciones frente a sus responsabilidades con la niñez, y </w:t>
      </w:r>
      <w:r w:rsidRPr="00714BDC">
        <w:rPr>
          <w:lang w:val="es-MX"/>
        </w:rPr>
        <w:t xml:space="preserve">posicionar el esquema de seguimiento a la Garantía de Derechos de los niños, niñas y adolescentes a través del </w:t>
      </w:r>
      <w:r w:rsidRPr="00714BDC">
        <w:t>acompañamiento técnico a los municipios y departamentos y el mejoramiento del Sistema Único de Información de la Niñez – SUIN.</w:t>
      </w:r>
    </w:p>
    <w:p w:rsidR="00717DE1" w:rsidRPr="00714BDC" w:rsidRDefault="00717DE1" w:rsidP="004146E3">
      <w:pPr>
        <w:spacing w:after="0" w:line="240" w:lineRule="auto"/>
        <w:jc w:val="both"/>
      </w:pPr>
    </w:p>
    <w:p w:rsidR="00622F24" w:rsidRDefault="00622F24" w:rsidP="004146E3">
      <w:pPr>
        <w:pStyle w:val="Prrafodelista"/>
        <w:numPr>
          <w:ilvl w:val="0"/>
          <w:numId w:val="120"/>
        </w:numPr>
        <w:spacing w:after="0" w:line="240" w:lineRule="auto"/>
        <w:ind w:left="360"/>
        <w:jc w:val="both"/>
        <w:rPr>
          <w:lang w:eastAsia="es-CO"/>
        </w:rPr>
      </w:pPr>
      <w:r w:rsidRPr="00714BDC">
        <w:rPr>
          <w:lang w:eastAsia="es-CO"/>
        </w:rPr>
        <w:t>A través del acompañamiento a los Consejos de Política Social en el ámbito territorial ha se ha logrado que éstos formulen planes de acción, incluyan en su estructura las mesas de infancia, adolescencia y familia, las mesas de participación de niños y niñas, y se realice un seguimiento a la formulación e implementación de las políticas públicas de infancia y adolescencia.</w:t>
      </w:r>
    </w:p>
    <w:p w:rsidR="00717DE1" w:rsidRPr="00714BDC" w:rsidRDefault="00717DE1" w:rsidP="004146E3">
      <w:pPr>
        <w:spacing w:after="0" w:line="240" w:lineRule="auto"/>
        <w:jc w:val="both"/>
        <w:rPr>
          <w:lang w:eastAsia="es-CO"/>
        </w:rPr>
      </w:pPr>
    </w:p>
    <w:p w:rsidR="00622F24" w:rsidRPr="00714BDC" w:rsidRDefault="00622F24" w:rsidP="004146E3">
      <w:pPr>
        <w:pStyle w:val="Prrafodelista"/>
        <w:numPr>
          <w:ilvl w:val="0"/>
          <w:numId w:val="120"/>
        </w:numPr>
        <w:spacing w:after="0" w:line="240" w:lineRule="auto"/>
        <w:ind w:left="360"/>
        <w:jc w:val="both"/>
        <w:rPr>
          <w:lang w:eastAsia="es-CO"/>
        </w:rPr>
      </w:pPr>
      <w:r w:rsidRPr="00714BDC">
        <w:rPr>
          <w:lang w:eastAsia="es-CO"/>
        </w:rPr>
        <w:t xml:space="preserve">Se desarrolló un fortalecimiento de la gestión territorial con el acompañamiento y seguimiento de la ruta integral de atenciones, mediante un proceso de asistencia técnica para la gestión de las políticas de primera infancia con desarrollos metodológicos que han facilitado a los territorios el acercamiento y abordaje de los fundamentos políticos, técnicos y de gestión de la atención integral a la primera infancia, con avances heterogéneos que responden a las particularidades de cada territorio. </w:t>
      </w:r>
    </w:p>
    <w:p w:rsidR="00823561" w:rsidRPr="00D23FA4" w:rsidRDefault="00823561" w:rsidP="00823561">
      <w:pPr>
        <w:spacing w:after="0" w:line="240" w:lineRule="auto"/>
        <w:rPr>
          <w:rFonts w:cs="Arial"/>
        </w:rPr>
      </w:pP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48" w:name="_Toc473581440"/>
      <w:r w:rsidRPr="004146E3">
        <w:rPr>
          <w:rFonts w:eastAsia="Times New Roman" w:cs="Arial"/>
          <w:b/>
          <w:bCs/>
          <w:kern w:val="32"/>
        </w:rPr>
        <w:t>Retos 2017</w:t>
      </w:r>
      <w:bookmarkEnd w:id="148"/>
      <w:r w:rsidRPr="004146E3">
        <w:rPr>
          <w:rFonts w:eastAsia="Times New Roman" w:cs="Arial"/>
          <w:b/>
          <w:bCs/>
          <w:kern w:val="32"/>
        </w:rPr>
        <w:t xml:space="preserve"> </w:t>
      </w:r>
    </w:p>
    <w:p w:rsidR="00622F24" w:rsidRDefault="00622F24" w:rsidP="00823561">
      <w:pPr>
        <w:rPr>
          <w:rFonts w:cs="Arial"/>
          <w:b/>
        </w:rPr>
      </w:pPr>
    </w:p>
    <w:p w:rsidR="00622F24" w:rsidRDefault="00622F24" w:rsidP="004146E3">
      <w:pPr>
        <w:pStyle w:val="Prrafodelista"/>
        <w:numPr>
          <w:ilvl w:val="0"/>
          <w:numId w:val="122"/>
        </w:numPr>
        <w:spacing w:after="0" w:line="240" w:lineRule="auto"/>
        <w:ind w:left="360"/>
        <w:jc w:val="both"/>
        <w:rPr>
          <w:lang w:eastAsia="es-CO"/>
        </w:rPr>
      </w:pPr>
      <w:r w:rsidRPr="00714BDC">
        <w:rPr>
          <w:lang w:eastAsia="es-CO"/>
        </w:rPr>
        <w:t xml:space="preserve">Implementar y hacer seguimiento al Plan de Acción del SNBF 2015-2018 requiere de la gestión permanente del equipo del SNBF y del compromiso de las entidades que conforman el </w:t>
      </w:r>
      <w:r w:rsidR="00717DE1">
        <w:rPr>
          <w:lang w:eastAsia="es-CO"/>
        </w:rPr>
        <w:t>Sistema en el ámbito nacional.</w:t>
      </w:r>
    </w:p>
    <w:p w:rsidR="00717DE1" w:rsidRPr="00714BDC" w:rsidRDefault="00717DE1" w:rsidP="004146E3">
      <w:pPr>
        <w:pStyle w:val="Prrafodelista"/>
        <w:spacing w:after="0" w:line="240" w:lineRule="auto"/>
        <w:ind w:left="360"/>
        <w:jc w:val="both"/>
        <w:rPr>
          <w:lang w:eastAsia="es-CO"/>
        </w:rPr>
      </w:pPr>
    </w:p>
    <w:p w:rsidR="00622F24" w:rsidRDefault="00622F24" w:rsidP="004146E3">
      <w:pPr>
        <w:pStyle w:val="Prrafodelista"/>
        <w:numPr>
          <w:ilvl w:val="0"/>
          <w:numId w:val="122"/>
        </w:numPr>
        <w:spacing w:after="0" w:line="240" w:lineRule="auto"/>
        <w:ind w:left="360"/>
        <w:jc w:val="both"/>
        <w:rPr>
          <w:lang w:eastAsia="es-CO"/>
        </w:rPr>
      </w:pPr>
      <w:r w:rsidRPr="00714BDC">
        <w:rPr>
          <w:lang w:eastAsia="es-CO"/>
        </w:rPr>
        <w:t>Formular los planes de acción del SNBF a nivel territorial a partir de la herramienta construida durante 2016.</w:t>
      </w:r>
    </w:p>
    <w:p w:rsidR="00717DE1" w:rsidRPr="00714BDC" w:rsidRDefault="00717DE1" w:rsidP="004146E3">
      <w:pPr>
        <w:spacing w:after="0" w:line="240" w:lineRule="auto"/>
        <w:jc w:val="both"/>
        <w:rPr>
          <w:lang w:eastAsia="es-CO"/>
        </w:rPr>
      </w:pPr>
    </w:p>
    <w:p w:rsidR="00622F24" w:rsidRDefault="00622F24" w:rsidP="004146E3">
      <w:pPr>
        <w:pStyle w:val="Prrafodelista"/>
        <w:numPr>
          <w:ilvl w:val="0"/>
          <w:numId w:val="122"/>
        </w:numPr>
        <w:spacing w:after="0" w:line="240" w:lineRule="auto"/>
        <w:ind w:left="360"/>
        <w:jc w:val="both"/>
        <w:rPr>
          <w:lang w:eastAsia="es-CO"/>
        </w:rPr>
      </w:pPr>
      <w:r w:rsidRPr="00714BDC">
        <w:rPr>
          <w:lang w:eastAsia="es-CO"/>
        </w:rPr>
        <w:lastRenderedPageBreak/>
        <w:t>Elaborar el informe Rendición Pública de Cuentas Nacional sobre la garantía de niños, niñas, adolescentes y jóvenes en 2017, proceso que requiere de la movilización de los agentes del SNBF, el aporte y análisis de información.</w:t>
      </w:r>
    </w:p>
    <w:p w:rsidR="00717DE1" w:rsidRPr="00714BDC" w:rsidRDefault="00717DE1" w:rsidP="004146E3">
      <w:pPr>
        <w:spacing w:after="0" w:line="240" w:lineRule="auto"/>
        <w:jc w:val="both"/>
        <w:rPr>
          <w:lang w:eastAsia="es-CO"/>
        </w:rPr>
      </w:pPr>
    </w:p>
    <w:p w:rsidR="00622F24" w:rsidRDefault="00622F24" w:rsidP="004146E3">
      <w:pPr>
        <w:pStyle w:val="Prrafodelista"/>
        <w:numPr>
          <w:ilvl w:val="0"/>
          <w:numId w:val="122"/>
        </w:numPr>
        <w:spacing w:after="0" w:line="240" w:lineRule="auto"/>
        <w:ind w:left="360"/>
        <w:jc w:val="both"/>
      </w:pPr>
      <w:r w:rsidRPr="00714BDC">
        <w:t>Fortalecer la articulación de la Dirección del SNBF con las áreas misionales del ICBF, en aras de que las entidades tengan claro los roles del Instituto tanto misional como de rector del SNBF y en ese sentido se poten</w:t>
      </w:r>
      <w:r w:rsidR="00717DE1">
        <w:t>cie su relacionamiento externo.</w:t>
      </w:r>
    </w:p>
    <w:p w:rsidR="00717DE1" w:rsidRPr="00714BDC" w:rsidRDefault="00717DE1" w:rsidP="004146E3">
      <w:pPr>
        <w:spacing w:after="0" w:line="240" w:lineRule="auto"/>
        <w:jc w:val="both"/>
      </w:pPr>
    </w:p>
    <w:p w:rsidR="00622F24" w:rsidRDefault="00622F24" w:rsidP="004146E3">
      <w:pPr>
        <w:pStyle w:val="Prrafodelista"/>
        <w:numPr>
          <w:ilvl w:val="0"/>
          <w:numId w:val="122"/>
        </w:numPr>
        <w:spacing w:after="0" w:line="240" w:lineRule="auto"/>
        <w:ind w:left="360"/>
        <w:jc w:val="both"/>
      </w:pPr>
      <w:r w:rsidRPr="00714BDC">
        <w:rPr>
          <w:lang w:val="es-MX"/>
        </w:rPr>
        <w:t xml:space="preserve">Continuar el trabajo de </w:t>
      </w:r>
      <w:r w:rsidRPr="00714BDC">
        <w:t>articulación interna para la aplicación del Modelo de Enfoque Diferencial de Derechos del ICBF para potenciar las acciones que se realizan en el marco del SNBF con grupos étnicos y poblaciones víctima,</w:t>
      </w:r>
      <w:r w:rsidR="00717DE1">
        <w:t xml:space="preserve"> con discapacidad, entre otras.</w:t>
      </w:r>
    </w:p>
    <w:p w:rsidR="00717DE1" w:rsidRPr="00714BDC" w:rsidRDefault="00717DE1" w:rsidP="004146E3">
      <w:pPr>
        <w:spacing w:after="0" w:line="240" w:lineRule="auto"/>
        <w:jc w:val="both"/>
      </w:pPr>
    </w:p>
    <w:p w:rsidR="00622F24" w:rsidRDefault="00622F24" w:rsidP="004146E3">
      <w:pPr>
        <w:pStyle w:val="Prrafodelista"/>
        <w:numPr>
          <w:ilvl w:val="0"/>
          <w:numId w:val="122"/>
        </w:numPr>
        <w:spacing w:after="0" w:line="240" w:lineRule="auto"/>
        <w:ind w:left="360"/>
        <w:jc w:val="both"/>
      </w:pPr>
      <w:r w:rsidRPr="00714BDC">
        <w:t>Aunque se cuenta con algunas estimaciones sobre el gasto público dirigido a la niñez en Colombia, no hay una metodología definida que permita identificar este gasto con precisión. Es necesario que el país construya su propia metodología. Para ello, más que la sola identificación de los recursos, hay que desarrollar esquemas de asignación, ejecución y seguimiento del presupuesto dirigido a la niñez desde una perspectiva poblacional, lo cual exige poder vincular el presupuesto con los resultados que se logran en términos de condiciones de vida.</w:t>
      </w:r>
    </w:p>
    <w:p w:rsidR="00717DE1" w:rsidRPr="00714BDC" w:rsidRDefault="00717DE1" w:rsidP="004146E3">
      <w:pPr>
        <w:spacing w:after="0" w:line="240" w:lineRule="auto"/>
        <w:jc w:val="both"/>
      </w:pPr>
    </w:p>
    <w:p w:rsidR="00622F24" w:rsidRDefault="00622F24" w:rsidP="004146E3">
      <w:pPr>
        <w:pStyle w:val="Prrafodelista"/>
        <w:numPr>
          <w:ilvl w:val="0"/>
          <w:numId w:val="122"/>
        </w:numPr>
        <w:spacing w:after="0" w:line="240" w:lineRule="auto"/>
        <w:ind w:left="360"/>
        <w:jc w:val="both"/>
      </w:pPr>
      <w:r w:rsidRPr="00714BDC">
        <w:rPr>
          <w:bCs/>
        </w:rPr>
        <w:t>Acompañar a las entidades territoriales en la implementación de sus Planes de Desarrollo mediante asistencia técnica</w:t>
      </w:r>
      <w:r w:rsidRPr="00714BDC">
        <w:t xml:space="preserve"> en el desarrollo de sus políticas orientadas a la protección integral de niños, niñas y adolescentes y el fortalecimiento de las familias como entornos protectores y garantes de derechos para esta población.</w:t>
      </w:r>
    </w:p>
    <w:p w:rsidR="00717DE1" w:rsidRPr="00714BDC" w:rsidRDefault="00717DE1" w:rsidP="004146E3">
      <w:pPr>
        <w:spacing w:after="0" w:line="240" w:lineRule="auto"/>
        <w:jc w:val="both"/>
      </w:pPr>
    </w:p>
    <w:p w:rsidR="00622F24" w:rsidRDefault="00622F24" w:rsidP="004146E3">
      <w:pPr>
        <w:pStyle w:val="Prrafodelista"/>
        <w:numPr>
          <w:ilvl w:val="0"/>
          <w:numId w:val="122"/>
        </w:numPr>
        <w:spacing w:after="0" w:line="240" w:lineRule="auto"/>
        <w:ind w:left="360"/>
        <w:jc w:val="both"/>
      </w:pPr>
      <w:r w:rsidRPr="00714BDC">
        <w:t>Fortalecer la rectoría del Sistema Nacional de Bienestar Familiar en los ámbitos nacional y local a partir de la elaboración de un balance sobre la capacidad de articulación, la identificación de roles de todos los agentes y el seguimiento a la realización de la garantía de los derechos.</w:t>
      </w:r>
    </w:p>
    <w:p w:rsidR="00717DE1" w:rsidRPr="00714BDC" w:rsidRDefault="00717DE1" w:rsidP="004146E3">
      <w:pPr>
        <w:spacing w:after="0" w:line="240" w:lineRule="auto"/>
        <w:jc w:val="both"/>
      </w:pPr>
    </w:p>
    <w:p w:rsidR="00622F24" w:rsidRPr="00714BDC" w:rsidRDefault="00622F24" w:rsidP="004146E3">
      <w:pPr>
        <w:pStyle w:val="Prrafodelista"/>
        <w:numPr>
          <w:ilvl w:val="0"/>
          <w:numId w:val="122"/>
        </w:numPr>
        <w:spacing w:after="0" w:line="240" w:lineRule="auto"/>
        <w:ind w:left="360"/>
        <w:jc w:val="both"/>
      </w:pPr>
      <w:r w:rsidRPr="00714BDC">
        <w:t>Socializar las políticas públicas relativas a la niñez, la adolescencia y al fortalecimiento familiar y realizar un seguimiento a su implementación.</w:t>
      </w:r>
    </w:p>
    <w:p w:rsidR="00E273F4" w:rsidRPr="002F3DA4" w:rsidRDefault="00E273F4" w:rsidP="007342CF">
      <w:pPr>
        <w:pStyle w:val="Ttulo1"/>
        <w:pageBreakBefore/>
        <w:numPr>
          <w:ilvl w:val="1"/>
          <w:numId w:val="242"/>
        </w:numPr>
        <w:rPr>
          <w:rFonts w:cs="Arial"/>
          <w:szCs w:val="22"/>
        </w:rPr>
      </w:pPr>
      <w:bookmarkStart w:id="149" w:name="_Toc473581441"/>
      <w:r w:rsidRPr="002F3DA4">
        <w:rPr>
          <w:rFonts w:cs="Arial"/>
          <w:szCs w:val="22"/>
        </w:rPr>
        <w:lastRenderedPageBreak/>
        <w:t>ASUNTOS TRANSVERSALES</w:t>
      </w:r>
      <w:bookmarkEnd w:id="149"/>
    </w:p>
    <w:p w:rsidR="00823561" w:rsidRDefault="00823561" w:rsidP="00823561">
      <w:pPr>
        <w:spacing w:after="0" w:line="240" w:lineRule="auto"/>
        <w:rPr>
          <w:rFonts w:cs="Arial"/>
        </w:rPr>
      </w:pPr>
    </w:p>
    <w:p w:rsidR="00823561" w:rsidRPr="00D23FA4" w:rsidRDefault="00823561" w:rsidP="00823561">
      <w:pPr>
        <w:spacing w:after="0" w:line="240" w:lineRule="auto"/>
        <w:rPr>
          <w:rFonts w:cs="Arial"/>
        </w:rPr>
      </w:pPr>
    </w:p>
    <w:p w:rsidR="00823561" w:rsidRPr="004146E3" w:rsidRDefault="00823561" w:rsidP="007342CF">
      <w:pPr>
        <w:pStyle w:val="Prrafodelista"/>
        <w:keepNext/>
        <w:keepLines/>
        <w:numPr>
          <w:ilvl w:val="2"/>
          <w:numId w:val="242"/>
        </w:numPr>
        <w:spacing w:after="0" w:line="240" w:lineRule="auto"/>
        <w:outlineLvl w:val="1"/>
        <w:rPr>
          <w:rFonts w:eastAsiaTheme="majorEastAsia" w:cs="Arial"/>
          <w:b/>
        </w:rPr>
      </w:pPr>
      <w:bookmarkStart w:id="150" w:name="_Toc473581442"/>
      <w:r w:rsidRPr="004146E3">
        <w:rPr>
          <w:rFonts w:eastAsia="Times New Roman" w:cs="Arial"/>
          <w:b/>
          <w:bCs/>
          <w:kern w:val="32"/>
        </w:rPr>
        <w:t>Gestión del ICBF en La Guajira</w:t>
      </w:r>
      <w:bookmarkEnd w:id="150"/>
      <w:r w:rsidRPr="004146E3">
        <w:rPr>
          <w:rFonts w:eastAsia="Times New Roman" w:cs="Arial"/>
          <w:b/>
          <w:bCs/>
          <w:kern w:val="32"/>
        </w:rPr>
        <w:t xml:space="preserve"> </w:t>
      </w:r>
    </w:p>
    <w:p w:rsidR="00823561" w:rsidRDefault="00823561" w:rsidP="00E273F4">
      <w:pPr>
        <w:spacing w:after="0" w:line="240" w:lineRule="auto"/>
        <w:contextualSpacing/>
        <w:jc w:val="both"/>
        <w:rPr>
          <w:rFonts w:cs="Arial"/>
        </w:rPr>
      </w:pPr>
    </w:p>
    <w:p w:rsidR="00E273F4" w:rsidRPr="002F3DA4" w:rsidRDefault="00E273F4" w:rsidP="00E273F4">
      <w:pPr>
        <w:spacing w:after="0" w:line="240" w:lineRule="auto"/>
        <w:contextualSpacing/>
        <w:jc w:val="both"/>
        <w:rPr>
          <w:rFonts w:cs="Arial"/>
        </w:rPr>
      </w:pPr>
      <w:r w:rsidRPr="002F3DA4">
        <w:rPr>
          <w:rFonts w:cs="Arial"/>
        </w:rPr>
        <w:t>En concordancia con su quehacer misional, los logros obtenidos en el proceso de micro-focalización y atención durante el 2014 y el 2015, y en respuesta a las Medidas Cautelares No. 51 de 2015 de la Comisión Interamericana de Derechos Humanos, el Instituto Colombiano de Bienestar Familiar centró sus esfuerzos en:</w:t>
      </w:r>
    </w:p>
    <w:p w:rsidR="00E273F4" w:rsidRPr="002F3DA4" w:rsidRDefault="00E273F4" w:rsidP="00E273F4">
      <w:pPr>
        <w:spacing w:after="0" w:line="240" w:lineRule="auto"/>
        <w:contextualSpacing/>
        <w:jc w:val="both"/>
        <w:rPr>
          <w:rFonts w:cs="Arial"/>
        </w:rPr>
      </w:pPr>
    </w:p>
    <w:p w:rsidR="00E273F4" w:rsidRPr="002F3DA4" w:rsidRDefault="00E273F4" w:rsidP="00D712DC">
      <w:pPr>
        <w:pStyle w:val="Prrafodelista"/>
        <w:numPr>
          <w:ilvl w:val="0"/>
          <w:numId w:val="187"/>
        </w:numPr>
        <w:pBdr>
          <w:top w:val="nil"/>
          <w:left w:val="nil"/>
          <w:bottom w:val="nil"/>
          <w:right w:val="nil"/>
          <w:between w:val="nil"/>
          <w:bar w:val="nil"/>
        </w:pBdr>
        <w:spacing w:after="0" w:line="240" w:lineRule="auto"/>
        <w:ind w:hanging="513"/>
        <w:contextualSpacing/>
        <w:jc w:val="both"/>
        <w:rPr>
          <w:rFonts w:cs="Arial"/>
        </w:rPr>
      </w:pPr>
      <w:r w:rsidRPr="002F3DA4">
        <w:rPr>
          <w:rFonts w:cs="Arial"/>
        </w:rPr>
        <w:t>El acercamiento a las características sociales, culturales y territoriales del Departamento, así como a la opinión de la comunidad guajira sobre su propia problemática;</w:t>
      </w:r>
    </w:p>
    <w:p w:rsidR="00E273F4" w:rsidRPr="002F3DA4" w:rsidRDefault="00E273F4" w:rsidP="00D712DC">
      <w:pPr>
        <w:pStyle w:val="Prrafodelista"/>
        <w:numPr>
          <w:ilvl w:val="0"/>
          <w:numId w:val="187"/>
        </w:numPr>
        <w:pBdr>
          <w:top w:val="nil"/>
          <w:left w:val="nil"/>
          <w:bottom w:val="nil"/>
          <w:right w:val="nil"/>
          <w:between w:val="nil"/>
          <w:bar w:val="nil"/>
        </w:pBdr>
        <w:spacing w:after="0" w:line="240" w:lineRule="auto"/>
        <w:ind w:hanging="513"/>
        <w:contextualSpacing/>
        <w:jc w:val="both"/>
        <w:rPr>
          <w:rFonts w:cs="Arial"/>
        </w:rPr>
      </w:pPr>
      <w:r w:rsidRPr="002F3DA4">
        <w:rPr>
          <w:rFonts w:cs="Arial"/>
        </w:rPr>
        <w:t>La innovación de sus servicios;</w:t>
      </w:r>
    </w:p>
    <w:p w:rsidR="00E273F4" w:rsidRPr="002F3DA4" w:rsidRDefault="00E273F4" w:rsidP="00D712DC">
      <w:pPr>
        <w:pStyle w:val="Prrafodelista"/>
        <w:numPr>
          <w:ilvl w:val="0"/>
          <w:numId w:val="187"/>
        </w:numPr>
        <w:pBdr>
          <w:top w:val="nil"/>
          <w:left w:val="nil"/>
          <w:bottom w:val="nil"/>
          <w:right w:val="nil"/>
          <w:between w:val="nil"/>
          <w:bar w:val="nil"/>
        </w:pBdr>
        <w:spacing w:after="0" w:line="240" w:lineRule="auto"/>
        <w:ind w:hanging="513"/>
        <w:contextualSpacing/>
        <w:jc w:val="both"/>
        <w:rPr>
          <w:rFonts w:cs="Arial"/>
        </w:rPr>
      </w:pPr>
      <w:r w:rsidRPr="002F3DA4">
        <w:rPr>
          <w:rFonts w:cs="Arial"/>
        </w:rPr>
        <w:t>La ampliación de cobertura; y</w:t>
      </w:r>
    </w:p>
    <w:p w:rsidR="00E273F4" w:rsidRPr="002F3DA4" w:rsidRDefault="00E273F4" w:rsidP="00D712DC">
      <w:pPr>
        <w:pStyle w:val="Prrafodelista"/>
        <w:numPr>
          <w:ilvl w:val="0"/>
          <w:numId w:val="187"/>
        </w:numPr>
        <w:pBdr>
          <w:top w:val="nil"/>
          <w:left w:val="nil"/>
          <w:bottom w:val="nil"/>
          <w:right w:val="nil"/>
          <w:between w:val="nil"/>
          <w:bar w:val="nil"/>
        </w:pBdr>
        <w:spacing w:after="0" w:line="240" w:lineRule="auto"/>
        <w:ind w:hanging="513"/>
        <w:contextualSpacing/>
        <w:jc w:val="both"/>
        <w:rPr>
          <w:rFonts w:cs="Arial"/>
        </w:rPr>
      </w:pPr>
      <w:r w:rsidRPr="002F3DA4">
        <w:rPr>
          <w:rFonts w:cs="Arial"/>
        </w:rPr>
        <w:t>El mejoramiento permanente de sus procesos.</w:t>
      </w:r>
    </w:p>
    <w:p w:rsidR="00E273F4" w:rsidRPr="002F3DA4" w:rsidRDefault="00E273F4" w:rsidP="00E273F4">
      <w:pPr>
        <w:spacing w:after="0" w:line="240" w:lineRule="auto"/>
        <w:contextualSpacing/>
        <w:jc w:val="both"/>
        <w:rPr>
          <w:rFonts w:cs="Arial"/>
        </w:rPr>
      </w:pPr>
    </w:p>
    <w:p w:rsidR="00E273F4" w:rsidRPr="002F3DA4" w:rsidRDefault="00E273F4" w:rsidP="00E273F4">
      <w:pPr>
        <w:spacing w:after="0" w:line="240" w:lineRule="auto"/>
        <w:contextualSpacing/>
        <w:jc w:val="both"/>
        <w:rPr>
          <w:rFonts w:cs="Arial"/>
        </w:rPr>
      </w:pPr>
      <w:r w:rsidRPr="002F3DA4">
        <w:rPr>
          <w:rFonts w:cs="Arial"/>
        </w:rPr>
        <w:t>Así, el ICBF logró incrementar la cobertura de sus modalidades de primera infancia en un 33% de acuerdo con las metas sociales y financieras, así como ampliar su presupuesto en modalidades de atención diferencial como Territorios Étnicos con Bienestar.</w:t>
      </w:r>
    </w:p>
    <w:p w:rsidR="00E273F4" w:rsidRPr="002F3DA4" w:rsidRDefault="00E273F4" w:rsidP="00E273F4">
      <w:pPr>
        <w:spacing w:after="0" w:line="240" w:lineRule="auto"/>
        <w:contextualSpacing/>
        <w:jc w:val="both"/>
        <w:rPr>
          <w:rFonts w:cs="Arial"/>
        </w:rPr>
      </w:pPr>
    </w:p>
    <w:p w:rsidR="00E273F4" w:rsidRPr="002F3DA4" w:rsidRDefault="00E273F4" w:rsidP="00E273F4">
      <w:pPr>
        <w:spacing w:after="0" w:line="240" w:lineRule="auto"/>
        <w:contextualSpacing/>
        <w:jc w:val="both"/>
        <w:rPr>
          <w:rFonts w:cs="Arial"/>
        </w:rPr>
      </w:pPr>
      <w:r w:rsidRPr="002F3DA4">
        <w:rPr>
          <w:rFonts w:cs="Arial"/>
        </w:rPr>
        <w:t>De igual forma, concibió -de la mano de actores locales y representantes comunitarios- nuevas formas de intervención territorial y de atención, como la Modalidad Propia e Intercultural de Primera Infancia, la Modalidad Mixta de Recuperación Nutricional y proyectos piloto de articulación como los desarrollados por la Dirección de Familias y Comunidades en la comunidad de Perico (Riohacha) y por la Dirección del Sistema Nacional de Bienestar Familiar (SNBF) en 50 comunidades de los municipios de Maicao, Manaure y Uribia.</w:t>
      </w:r>
    </w:p>
    <w:p w:rsidR="00E273F4" w:rsidRPr="002F3DA4" w:rsidRDefault="00E273F4" w:rsidP="00E273F4">
      <w:pPr>
        <w:spacing w:after="0" w:line="240" w:lineRule="auto"/>
        <w:contextualSpacing/>
        <w:jc w:val="both"/>
        <w:rPr>
          <w:rFonts w:cs="Arial"/>
        </w:rPr>
      </w:pPr>
    </w:p>
    <w:p w:rsidR="00E273F4" w:rsidRPr="002F3DA4" w:rsidRDefault="00E273F4" w:rsidP="00E273F4">
      <w:pPr>
        <w:spacing w:after="0" w:line="240" w:lineRule="auto"/>
        <w:contextualSpacing/>
        <w:jc w:val="both"/>
        <w:rPr>
          <w:rFonts w:cs="Arial"/>
        </w:rPr>
      </w:pPr>
      <w:r w:rsidRPr="002F3DA4">
        <w:rPr>
          <w:rFonts w:cs="Arial"/>
        </w:rPr>
        <w:t xml:space="preserve">Adicionalmente y con base en la experiencia de los años previos, </w:t>
      </w:r>
      <w:r w:rsidR="00220FED">
        <w:rPr>
          <w:rFonts w:cs="Arial"/>
        </w:rPr>
        <w:t>el ICBF adelantó pilotos de geor</w:t>
      </w:r>
      <w:r w:rsidRPr="002F3DA4">
        <w:rPr>
          <w:rFonts w:cs="Arial"/>
        </w:rPr>
        <w:t>eferenciación de sus unidades de servicio y/o áreas de atención, con el fin de continuar caracterizando las comunidades beneficiarias y de focalizar, contratar y supervisar más adecuadamente sus servicios.</w:t>
      </w:r>
    </w:p>
    <w:p w:rsidR="00E273F4" w:rsidRPr="002F3DA4" w:rsidRDefault="00E273F4" w:rsidP="00E273F4">
      <w:pPr>
        <w:spacing w:after="0" w:line="240" w:lineRule="auto"/>
        <w:contextualSpacing/>
        <w:jc w:val="both"/>
        <w:rPr>
          <w:rFonts w:cs="Arial"/>
        </w:rPr>
      </w:pPr>
    </w:p>
    <w:p w:rsidR="00E273F4" w:rsidRPr="002F3DA4" w:rsidRDefault="00E273F4" w:rsidP="00E273F4">
      <w:pPr>
        <w:spacing w:after="0" w:line="240" w:lineRule="auto"/>
        <w:contextualSpacing/>
        <w:jc w:val="both"/>
        <w:rPr>
          <w:rFonts w:cs="Arial"/>
        </w:rPr>
      </w:pPr>
      <w:r w:rsidRPr="002F3DA4">
        <w:rPr>
          <w:rFonts w:cs="Arial"/>
        </w:rPr>
        <w:t>A lo largo del año, el Instituto desempeñó un importante papel en el marco de la Alianza por el Agua y la Vida, liderada por la Dirección de Gobierno y Áreas Estratégicas de la Presidencia de la República, a partir del intercambio de los resultados de la micro-focalización y experiencias en las mesas de información, agua y salud y nutrición, así como en las gestiones tendientes a la implementación de un Sistema de Información Interinstitucional en el 2017 a partir de cooperación Sur-Sur con la Provincia de Salta – Argentina.</w:t>
      </w:r>
    </w:p>
    <w:p w:rsidR="00E273F4" w:rsidRPr="002F3DA4" w:rsidRDefault="00E273F4" w:rsidP="00E273F4">
      <w:pPr>
        <w:pStyle w:val="Sinespaciado"/>
        <w:jc w:val="both"/>
        <w:rPr>
          <w:rFonts w:cs="Arial"/>
          <w:b/>
        </w:rPr>
      </w:pPr>
    </w:p>
    <w:p w:rsidR="00E273F4" w:rsidRDefault="00E273F4" w:rsidP="00E273F4">
      <w:pPr>
        <w:pStyle w:val="Sinespaciado"/>
        <w:jc w:val="both"/>
        <w:rPr>
          <w:rFonts w:cs="Arial"/>
        </w:rPr>
      </w:pPr>
      <w:r w:rsidRPr="002F3DA4">
        <w:rPr>
          <w:rFonts w:cs="Arial"/>
        </w:rPr>
        <w:t xml:space="preserve">Asimismo, la entidad contribuyó a la coordinación logística de la tercera gira de diálogo con 543 autoridades tradicionales del pueblo wayúu de Uribia, Manaure, Maicao y Riohacha (12 al 19 marzo de 2016) y a la rendición de informes por parte del Ministerio de Relaciones Exteriores a la Comisión Interamericana de Derechos Humanos. </w:t>
      </w:r>
    </w:p>
    <w:p w:rsidR="00220FED" w:rsidRPr="002F3DA4" w:rsidRDefault="00220FED" w:rsidP="00E273F4">
      <w:pPr>
        <w:pStyle w:val="Sinespaciado"/>
        <w:jc w:val="both"/>
        <w:rPr>
          <w:rFonts w:cs="Arial"/>
        </w:rPr>
      </w:pPr>
    </w:p>
    <w:p w:rsidR="00E273F4" w:rsidRPr="002F3DA4" w:rsidRDefault="00E273F4" w:rsidP="00E273F4">
      <w:pPr>
        <w:pStyle w:val="Sinespaciado"/>
        <w:jc w:val="both"/>
        <w:rPr>
          <w:rFonts w:cs="Arial"/>
          <w:b/>
        </w:rPr>
      </w:pPr>
    </w:p>
    <w:p w:rsidR="00E273F4" w:rsidRPr="004D0D1E" w:rsidRDefault="00E273F4" w:rsidP="004D0D1E">
      <w:pPr>
        <w:rPr>
          <w:b/>
        </w:rPr>
      </w:pPr>
      <w:r w:rsidRPr="004D0D1E">
        <w:rPr>
          <w:b/>
        </w:rPr>
        <w:lastRenderedPageBreak/>
        <w:t>Resumen de la intervención de ICBF en el departamento</w:t>
      </w: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ind w:hanging="357"/>
        <w:jc w:val="both"/>
        <w:rPr>
          <w:rFonts w:cs="Arial"/>
        </w:rPr>
      </w:pPr>
      <w:r w:rsidRPr="002F3DA4">
        <w:rPr>
          <w:rFonts w:cs="Arial"/>
          <w:u w:val="single"/>
        </w:rPr>
        <w:t>Primera Infancia</w:t>
      </w:r>
      <w:r w:rsidRPr="002F3DA4">
        <w:rPr>
          <w:rFonts w:cs="Arial"/>
        </w:rPr>
        <w:t xml:space="preserve">: más de </w:t>
      </w:r>
      <w:r w:rsidRPr="002F3DA4">
        <w:rPr>
          <w:rFonts w:cs="Arial"/>
          <w:b/>
        </w:rPr>
        <w:t>84.000</w:t>
      </w:r>
      <w:r w:rsidRPr="002F3DA4">
        <w:rPr>
          <w:rFonts w:cs="Arial"/>
        </w:rPr>
        <w:t xml:space="preserve"> cupos para la atención de niños y niñas menores de 5 años en todo el departamento. Aumento de cobertura del 33% según metas sociales y financieras. Atención de </w:t>
      </w:r>
      <w:r w:rsidRPr="002F3DA4">
        <w:rPr>
          <w:rFonts w:cs="Arial"/>
          <w:b/>
        </w:rPr>
        <w:t xml:space="preserve">82.296 beneficiarios en 9 </w:t>
      </w:r>
      <w:r w:rsidRPr="00C65253">
        <w:rPr>
          <w:rFonts w:cs="Arial"/>
          <w:b/>
        </w:rPr>
        <w:t>modalidades</w:t>
      </w:r>
      <w:r w:rsidRPr="00C65253">
        <w:rPr>
          <w:rFonts w:cs="Arial"/>
        </w:rPr>
        <w:t xml:space="preserve"> (Corte: Cuéntame 14 de diciembre de 2016),</w:t>
      </w:r>
      <w:r w:rsidRPr="002F3DA4">
        <w:rPr>
          <w:rFonts w:cs="Arial"/>
        </w:rPr>
        <w:t xml:space="preserve"> total que incluye niños y niñas identificados en el ejercicio de micro-focalización realizado por la entidad en el período 2014-2015.</w:t>
      </w:r>
    </w:p>
    <w:p w:rsidR="00E273F4" w:rsidRPr="002F3DA4" w:rsidRDefault="00E273F4" w:rsidP="00E273F4">
      <w:pPr>
        <w:pStyle w:val="Prrafodelista"/>
        <w:spacing w:after="0" w:line="240" w:lineRule="auto"/>
        <w:jc w:val="both"/>
        <w:rPr>
          <w:rFonts w:cs="Arial"/>
        </w:rPr>
      </w:pP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ind w:hanging="357"/>
        <w:jc w:val="both"/>
        <w:rPr>
          <w:rFonts w:cs="Arial"/>
        </w:rPr>
      </w:pPr>
      <w:r w:rsidRPr="002F3DA4">
        <w:rPr>
          <w:rFonts w:cs="Arial"/>
          <w:u w:val="single"/>
        </w:rPr>
        <w:t>Pilotaje del Modelo Propio e Intercultural de Atención</w:t>
      </w:r>
      <w:r w:rsidRPr="002F3DA4">
        <w:rPr>
          <w:rFonts w:cs="Arial"/>
        </w:rPr>
        <w:t>: partió de la revisión de la oferta programática del ICBF; el estudio de casos de atención diferencial en territorios indígenas en diferentes zonas del país; el intercambio de conocimiento con expertos, representantes de comunidades étnicas y líderes del departamento; y la validación con representantes de la comunidad, del Ministerio del Interior y de la Defensoría del Pueblo, entre otros.</w:t>
      </w:r>
    </w:p>
    <w:p w:rsidR="00E273F4" w:rsidRPr="002F3DA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rsidR="00E273F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6 Entidades Administradoras del Servicio - EAS con filiación indígena trabajan en </w:t>
      </w:r>
      <w:r w:rsidRPr="002F3DA4">
        <w:rPr>
          <w:rFonts w:ascii="Arial" w:eastAsia="Calibri" w:hAnsi="Arial" w:cs="Arial"/>
          <w:b/>
          <w:sz w:val="22"/>
          <w:szCs w:val="22"/>
          <w:u w:color="000000"/>
          <w:bdr w:val="nil"/>
          <w:lang w:val="es-ES"/>
        </w:rPr>
        <w:t>169 comunidades</w:t>
      </w:r>
      <w:r w:rsidRPr="002F3DA4">
        <w:rPr>
          <w:rFonts w:ascii="Arial" w:eastAsia="Calibri" w:hAnsi="Arial" w:cs="Arial"/>
          <w:sz w:val="22"/>
          <w:szCs w:val="22"/>
          <w:u w:color="000000"/>
          <w:bdr w:val="nil"/>
          <w:lang w:val="es-ES"/>
        </w:rPr>
        <w:t xml:space="preserve"> de los municipios de Maicao</w:t>
      </w:r>
      <w:r w:rsidR="00717DE1">
        <w:rPr>
          <w:rFonts w:ascii="Arial" w:eastAsia="Calibri" w:hAnsi="Arial" w:cs="Arial"/>
          <w:sz w:val="22"/>
          <w:szCs w:val="22"/>
          <w:u w:color="000000"/>
          <w:bdr w:val="nil"/>
          <w:lang w:val="es-ES"/>
        </w:rPr>
        <w:t>, Uribia y Manaure:</w:t>
      </w:r>
    </w:p>
    <w:p w:rsidR="00717DE1" w:rsidRPr="002F3DA4" w:rsidRDefault="00717DE1"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rsidR="00E273F4" w:rsidRPr="002F3DA4" w:rsidRDefault="00E273F4" w:rsidP="00D712DC">
      <w:pPr>
        <w:pStyle w:val="NormalWeb"/>
        <w:numPr>
          <w:ilvl w:val="0"/>
          <w:numId w:val="185"/>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100% de las unidades de servicio en operación </w:t>
      </w:r>
    </w:p>
    <w:p w:rsidR="00E273F4" w:rsidRPr="002F3DA4" w:rsidRDefault="00E273F4" w:rsidP="00D712DC">
      <w:pPr>
        <w:pStyle w:val="NormalWeb"/>
        <w:numPr>
          <w:ilvl w:val="0"/>
          <w:numId w:val="185"/>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4.469 niños, niñas y madres</w:t>
      </w:r>
      <w:r w:rsidRPr="002F3DA4">
        <w:rPr>
          <w:rFonts w:ascii="Arial" w:eastAsia="Calibri" w:hAnsi="Arial" w:cs="Arial"/>
          <w:sz w:val="22"/>
          <w:szCs w:val="22"/>
          <w:u w:color="000000"/>
          <w:bdr w:val="nil"/>
          <w:lang w:val="es-ES"/>
        </w:rPr>
        <w:t xml:space="preserve"> gestantes o lactantes de los municipios Manaure, Maicao y Uribia </w:t>
      </w:r>
    </w:p>
    <w:p w:rsidR="00E273F4" w:rsidRPr="002F3DA4" w:rsidRDefault="00E273F4" w:rsidP="00D712DC">
      <w:pPr>
        <w:pStyle w:val="NormalWeb"/>
        <w:numPr>
          <w:ilvl w:val="0"/>
          <w:numId w:val="185"/>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color="000000"/>
          <w:bdr w:val="nil"/>
          <w:lang w:val="es-ES"/>
        </w:rPr>
        <w:t xml:space="preserve">Instalación de la </w:t>
      </w:r>
      <w:r w:rsidRPr="002F3DA4">
        <w:rPr>
          <w:rFonts w:ascii="Arial" w:eastAsia="Calibri" w:hAnsi="Arial" w:cs="Arial"/>
          <w:b/>
          <w:sz w:val="22"/>
          <w:szCs w:val="22"/>
          <w:u w:color="000000"/>
          <w:bdr w:val="nil"/>
          <w:lang w:val="es-ES"/>
        </w:rPr>
        <w:t>mesa territorial de seguimiento a la implementación de la modalidad</w:t>
      </w:r>
      <w:r w:rsidRPr="002F3DA4">
        <w:rPr>
          <w:rFonts w:ascii="Arial" w:eastAsia="Calibri" w:hAnsi="Arial" w:cs="Arial"/>
          <w:sz w:val="22"/>
          <w:szCs w:val="22"/>
          <w:u w:color="000000"/>
          <w:bdr w:val="nil"/>
          <w:lang w:val="es-ES"/>
        </w:rPr>
        <w:t xml:space="preserve"> con apoyo de la Comisión Intersectorial de la Primera Infancia – CIPI.</w:t>
      </w:r>
    </w:p>
    <w:p w:rsidR="00E273F4" w:rsidRPr="002F3DA4" w:rsidRDefault="00E273F4" w:rsidP="00D712DC">
      <w:pPr>
        <w:pStyle w:val="NormalWeb"/>
        <w:numPr>
          <w:ilvl w:val="0"/>
          <w:numId w:val="185"/>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Talleres de asistencia técnica</w:t>
      </w:r>
      <w:r w:rsidRPr="002F3DA4">
        <w:rPr>
          <w:rFonts w:ascii="Arial" w:eastAsia="Calibri" w:hAnsi="Arial" w:cs="Arial"/>
          <w:sz w:val="22"/>
          <w:szCs w:val="22"/>
          <w:u w:color="000000"/>
          <w:bdr w:val="nil"/>
          <w:lang w:val="es-ES"/>
        </w:rPr>
        <w:t xml:space="preserve"> dirigidos a entidades administradoras del servicio (componente pedagógico) y colaboradores de la Dirección Regional Guajira de cara al tránsito de la atención de la actual modalidad familiar a modalidad propia.</w:t>
      </w:r>
    </w:p>
    <w:p w:rsidR="00E273F4" w:rsidRPr="002F3DA4" w:rsidRDefault="00E273F4" w:rsidP="00D712DC">
      <w:pPr>
        <w:pStyle w:val="NormalWeb"/>
        <w:numPr>
          <w:ilvl w:val="0"/>
          <w:numId w:val="185"/>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 xml:space="preserve">9 encuentros de diálogo </w:t>
      </w:r>
      <w:r w:rsidRPr="002F3DA4">
        <w:rPr>
          <w:rFonts w:ascii="Arial" w:eastAsia="Calibri" w:hAnsi="Arial" w:cs="Arial"/>
          <w:sz w:val="22"/>
          <w:szCs w:val="22"/>
          <w:u w:color="000000"/>
          <w:bdr w:val="nil"/>
          <w:lang w:val="es-ES"/>
        </w:rPr>
        <w:t>con la comunidad sobre el Modelo y cómo profundizar su adecuación al contexto guajiro (</w:t>
      </w:r>
      <w:r w:rsidRPr="00C65253">
        <w:rPr>
          <w:rFonts w:ascii="Arial" w:eastAsia="Calibri" w:hAnsi="Arial" w:cs="Arial"/>
          <w:sz w:val="22"/>
          <w:szCs w:val="22"/>
          <w:u w:color="000000"/>
          <w:bdr w:val="nil"/>
          <w:lang w:val="es-ES"/>
        </w:rPr>
        <w:t>Diciembre de 2016).</w:t>
      </w:r>
      <w:r w:rsidRPr="002F3DA4">
        <w:rPr>
          <w:rFonts w:ascii="Arial" w:eastAsia="Calibri" w:hAnsi="Arial" w:cs="Arial"/>
          <w:sz w:val="22"/>
          <w:szCs w:val="22"/>
          <w:u w:color="000000"/>
          <w:bdr w:val="nil"/>
          <w:lang w:val="es-ES"/>
        </w:rPr>
        <w:t xml:space="preserve"> </w:t>
      </w:r>
    </w:p>
    <w:p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lang w:val="es-ES"/>
        </w:rPr>
      </w:pPr>
    </w:p>
    <w:p w:rsidR="00E273F4" w:rsidRPr="002F3DA4" w:rsidRDefault="00E273F4" w:rsidP="00D712DC">
      <w:pPr>
        <w:pStyle w:val="NormalWeb"/>
        <w:numPr>
          <w:ilvl w:val="0"/>
          <w:numId w:val="182"/>
        </w:numPr>
        <w:spacing w:before="0" w:beforeAutospacing="0" w:after="0" w:afterAutospacing="0"/>
        <w:ind w:left="851" w:hanging="425"/>
        <w:jc w:val="both"/>
        <w:rPr>
          <w:rFonts w:ascii="Arial" w:eastAsia="Calibri" w:hAnsi="Arial" w:cs="Arial"/>
          <w:sz w:val="22"/>
          <w:szCs w:val="22"/>
          <w:u w:color="000000"/>
          <w:bdr w:val="nil"/>
          <w:lang w:val="es-ES"/>
        </w:rPr>
      </w:pPr>
      <w:r w:rsidRPr="002F3DA4">
        <w:rPr>
          <w:rFonts w:ascii="Arial" w:eastAsia="Calibri" w:hAnsi="Arial" w:cs="Arial"/>
          <w:bCs/>
          <w:sz w:val="22"/>
          <w:szCs w:val="22"/>
          <w:u w:val="single"/>
          <w:bdr w:val="nil"/>
        </w:rPr>
        <w:t>Estrategia de Recuperación Nutricional “Modalidad mixta”</w:t>
      </w:r>
      <w:r w:rsidRPr="002F3DA4">
        <w:rPr>
          <w:rFonts w:ascii="Arial" w:eastAsia="Calibri" w:hAnsi="Arial" w:cs="Arial"/>
          <w:bCs/>
          <w:sz w:val="22"/>
          <w:szCs w:val="22"/>
          <w:u w:color="000000"/>
          <w:bdr w:val="nil"/>
        </w:rPr>
        <w:t xml:space="preserve">: atención </w:t>
      </w:r>
      <w:r w:rsidRPr="002F3DA4">
        <w:rPr>
          <w:rFonts w:ascii="Arial" w:eastAsia="Calibri" w:hAnsi="Arial" w:cs="Arial"/>
          <w:sz w:val="22"/>
          <w:szCs w:val="22"/>
          <w:u w:color="000000"/>
          <w:bdr w:val="nil"/>
        </w:rPr>
        <w:t>nutricional en 6 zonas del departamento (</w:t>
      </w:r>
      <w:r w:rsidRPr="002F3DA4">
        <w:rPr>
          <w:rFonts w:ascii="Arial" w:hAnsi="Arial" w:cs="Arial"/>
          <w:sz w:val="22"/>
          <w:szCs w:val="22"/>
        </w:rPr>
        <w:t xml:space="preserve">Maicao y Albania; Riohacha y Dibulla; Manaure; Alta Uribia; Uribia Medio y Bajo; y Sur de La Guajira) </w:t>
      </w:r>
      <w:r w:rsidRPr="002F3DA4">
        <w:rPr>
          <w:rFonts w:ascii="Arial" w:eastAsia="Calibri" w:hAnsi="Arial" w:cs="Arial"/>
          <w:sz w:val="22"/>
          <w:szCs w:val="22"/>
          <w:u w:color="000000"/>
          <w:bdr w:val="nil"/>
        </w:rPr>
        <w:t xml:space="preserve">para madres gestantes, lactantes y &lt; de 5 años, mediante la </w:t>
      </w:r>
      <w:r w:rsidRPr="002F3DA4">
        <w:rPr>
          <w:rFonts w:ascii="Arial" w:eastAsia="Calibri" w:hAnsi="Arial" w:cs="Arial"/>
          <w:sz w:val="22"/>
          <w:szCs w:val="22"/>
          <w:u w:color="000000"/>
          <w:bdr w:val="nil"/>
          <w:lang w:val="es-ES"/>
        </w:rPr>
        <w:t xml:space="preserve">implementación conjunta de las modalidades </w:t>
      </w:r>
      <w:r w:rsidRPr="002F3DA4">
        <w:rPr>
          <w:rFonts w:ascii="Arial" w:eastAsia="Calibri" w:hAnsi="Arial" w:cs="Arial"/>
          <w:i/>
          <w:sz w:val="22"/>
          <w:szCs w:val="22"/>
          <w:u w:color="000000"/>
          <w:bdr w:val="nil"/>
          <w:lang w:val="es-ES"/>
        </w:rPr>
        <w:t>Recuperación Nutricional con Enfoque Comunitario</w:t>
      </w:r>
      <w:r w:rsidRPr="002F3DA4">
        <w:rPr>
          <w:rFonts w:ascii="Arial" w:eastAsia="Calibri" w:hAnsi="Arial" w:cs="Arial"/>
          <w:sz w:val="22"/>
          <w:szCs w:val="22"/>
          <w:u w:color="000000"/>
          <w:bdr w:val="nil"/>
          <w:lang w:val="es-ES"/>
        </w:rPr>
        <w:t xml:space="preserve"> y </w:t>
      </w:r>
      <w:r w:rsidRPr="002F3DA4">
        <w:rPr>
          <w:rFonts w:ascii="Arial" w:eastAsia="Calibri" w:hAnsi="Arial" w:cs="Arial"/>
          <w:i/>
          <w:sz w:val="22"/>
          <w:szCs w:val="22"/>
          <w:u w:color="000000"/>
          <w:bdr w:val="nil"/>
          <w:lang w:val="es-ES"/>
        </w:rPr>
        <w:t>Recuperación Nutricional con Énfasis en los primeros 1.000 días</w:t>
      </w:r>
    </w:p>
    <w:p w:rsidR="00E273F4" w:rsidRDefault="00E273F4" w:rsidP="00E273F4">
      <w:pPr>
        <w:pStyle w:val="NormalWeb"/>
        <w:spacing w:before="0" w:beforeAutospacing="0" w:after="0" w:afterAutospacing="0"/>
        <w:ind w:left="851"/>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4.705 beneficiarios</w:t>
      </w:r>
      <w:r w:rsidRPr="002F3DA4">
        <w:rPr>
          <w:rFonts w:ascii="Arial" w:eastAsia="Calibri" w:hAnsi="Arial" w:cs="Arial"/>
          <w:sz w:val="22"/>
          <w:szCs w:val="22"/>
          <w:u w:color="000000"/>
          <w:bdr w:val="nil"/>
          <w:lang w:val="es-ES"/>
        </w:rPr>
        <w:t xml:space="preserve">: </w:t>
      </w:r>
    </w:p>
    <w:p w:rsidR="00CF6668" w:rsidRPr="002F3DA4" w:rsidRDefault="00CF6668" w:rsidP="00E273F4">
      <w:pPr>
        <w:pStyle w:val="NormalWeb"/>
        <w:spacing w:before="0" w:beforeAutospacing="0" w:after="0" w:afterAutospacing="0"/>
        <w:ind w:left="851"/>
        <w:jc w:val="both"/>
        <w:rPr>
          <w:rFonts w:ascii="Arial" w:eastAsia="Calibri" w:hAnsi="Arial" w:cs="Arial"/>
          <w:sz w:val="22"/>
          <w:szCs w:val="22"/>
          <w:u w:color="000000"/>
          <w:bdr w:val="nil"/>
          <w:lang w:val="es-ES"/>
        </w:rPr>
      </w:pPr>
    </w:p>
    <w:p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r w:rsidRPr="002F3DA4">
        <w:rPr>
          <w:rFonts w:ascii="Arial" w:eastAsia="Calibri" w:hAnsi="Arial" w:cs="Arial"/>
          <w:sz w:val="22"/>
          <w:szCs w:val="22"/>
          <w:u w:color="000000"/>
          <w:bdr w:val="nil"/>
        </w:rPr>
        <w:sym w:font="Wingdings" w:char="F0E0"/>
      </w:r>
      <w:r w:rsidRPr="002F3DA4">
        <w:rPr>
          <w:rFonts w:ascii="Arial" w:eastAsia="Calibri" w:hAnsi="Arial" w:cs="Arial"/>
          <w:sz w:val="22"/>
          <w:szCs w:val="22"/>
          <w:u w:color="000000"/>
          <w:bdr w:val="nil"/>
        </w:rPr>
        <w:t xml:space="preserve"> </w:t>
      </w:r>
      <w:r w:rsidRPr="002F3DA4">
        <w:rPr>
          <w:rFonts w:ascii="Arial" w:eastAsia="Calibri" w:hAnsi="Arial" w:cs="Arial"/>
          <w:b/>
          <w:sz w:val="22"/>
          <w:szCs w:val="22"/>
          <w:u w:color="000000"/>
          <w:bdr w:val="nil"/>
        </w:rPr>
        <w:t xml:space="preserve">3.583 </w:t>
      </w:r>
      <w:r w:rsidRPr="002F3DA4">
        <w:rPr>
          <w:rFonts w:ascii="Arial" w:eastAsia="Calibri" w:hAnsi="Arial" w:cs="Arial"/>
          <w:sz w:val="22"/>
          <w:szCs w:val="22"/>
          <w:u w:color="000000"/>
          <w:bdr w:val="nil"/>
        </w:rPr>
        <w:t xml:space="preserve">niños y niñas </w:t>
      </w:r>
      <w:r w:rsidRPr="002F3DA4">
        <w:rPr>
          <w:rFonts w:ascii="Arial" w:hAnsi="Arial" w:cs="Arial"/>
          <w:sz w:val="22"/>
          <w:szCs w:val="22"/>
        </w:rPr>
        <w:t xml:space="preserve">&lt; </w:t>
      </w:r>
      <w:r w:rsidRPr="002F3DA4">
        <w:rPr>
          <w:rFonts w:ascii="Arial" w:eastAsia="Calibri" w:hAnsi="Arial" w:cs="Arial"/>
          <w:sz w:val="22"/>
          <w:szCs w:val="22"/>
          <w:u w:color="000000"/>
          <w:bdr w:val="nil"/>
        </w:rPr>
        <w:t>5 años atendidos</w:t>
      </w:r>
    </w:p>
    <w:p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r w:rsidRPr="002F3DA4">
        <w:rPr>
          <w:rFonts w:ascii="Arial" w:eastAsia="Calibri" w:hAnsi="Arial" w:cs="Arial"/>
          <w:sz w:val="22"/>
          <w:szCs w:val="22"/>
          <w:u w:color="000000"/>
          <w:bdr w:val="nil"/>
        </w:rPr>
        <w:sym w:font="Wingdings" w:char="F0E0"/>
      </w:r>
      <w:r w:rsidRPr="002F3DA4">
        <w:rPr>
          <w:rFonts w:ascii="Arial" w:eastAsia="Calibri" w:hAnsi="Arial" w:cs="Arial"/>
          <w:b/>
          <w:sz w:val="22"/>
          <w:szCs w:val="22"/>
          <w:u w:color="000000"/>
          <w:bdr w:val="nil"/>
        </w:rPr>
        <w:t xml:space="preserve">1.122 </w:t>
      </w:r>
      <w:r w:rsidRPr="002F3DA4">
        <w:rPr>
          <w:rFonts w:ascii="Arial" w:eastAsia="Calibri" w:hAnsi="Arial" w:cs="Arial"/>
          <w:sz w:val="22"/>
          <w:szCs w:val="22"/>
          <w:u w:color="000000"/>
          <w:bdr w:val="nil"/>
        </w:rPr>
        <w:t xml:space="preserve">madres gestantes y lactantes atendidas </w:t>
      </w:r>
      <w:r w:rsidRPr="00C65253">
        <w:rPr>
          <w:rFonts w:ascii="Arial" w:eastAsia="Calibri" w:hAnsi="Arial" w:cs="Arial"/>
          <w:sz w:val="22"/>
          <w:szCs w:val="22"/>
          <w:u w:color="000000"/>
          <w:bdr w:val="nil"/>
        </w:rPr>
        <w:t>(Corte: 1 de diciembre de 2016)</w:t>
      </w:r>
      <w:r w:rsidRPr="002F3DA4">
        <w:rPr>
          <w:rFonts w:ascii="Arial" w:eastAsia="Calibri" w:hAnsi="Arial" w:cs="Arial"/>
          <w:sz w:val="22"/>
          <w:szCs w:val="22"/>
          <w:u w:color="000000"/>
          <w:bdr w:val="nil"/>
        </w:rPr>
        <w:t xml:space="preserve"> </w:t>
      </w:r>
    </w:p>
    <w:p w:rsidR="00E273F4" w:rsidRPr="002F3DA4" w:rsidRDefault="00E273F4" w:rsidP="00E273F4">
      <w:pPr>
        <w:pStyle w:val="NormalWeb"/>
        <w:spacing w:before="0" w:beforeAutospacing="0" w:after="0" w:afterAutospacing="0"/>
        <w:ind w:left="851"/>
        <w:jc w:val="both"/>
        <w:rPr>
          <w:rFonts w:ascii="Arial" w:eastAsia="Calibri" w:hAnsi="Arial" w:cs="Arial"/>
          <w:sz w:val="22"/>
          <w:szCs w:val="22"/>
          <w:u w:color="000000"/>
          <w:bdr w:val="nil"/>
        </w:rPr>
      </w:pPr>
    </w:p>
    <w:p w:rsidR="00E273F4" w:rsidRPr="002F3DA4" w:rsidRDefault="00E273F4" w:rsidP="00D712DC">
      <w:pPr>
        <w:pStyle w:val="NormalWeb"/>
        <w:numPr>
          <w:ilvl w:val="0"/>
          <w:numId w:val="181"/>
        </w:numPr>
        <w:spacing w:before="0" w:beforeAutospacing="0" w:after="0" w:afterAutospacing="0"/>
        <w:jc w:val="both"/>
        <w:rPr>
          <w:rFonts w:ascii="Arial" w:eastAsia="Calibri" w:hAnsi="Arial" w:cs="Arial"/>
          <w:sz w:val="22"/>
          <w:szCs w:val="22"/>
          <w:u w:color="000000"/>
          <w:bdr w:val="nil"/>
          <w:lang w:val="es-ES"/>
        </w:rPr>
      </w:pPr>
      <w:r w:rsidRPr="002F3DA4">
        <w:rPr>
          <w:rFonts w:ascii="Arial" w:hAnsi="Arial" w:cs="Arial"/>
          <w:sz w:val="22"/>
          <w:szCs w:val="22"/>
          <w:u w:val="single"/>
          <w:lang w:val="es-ES"/>
        </w:rPr>
        <w:t>4 Centros de Recuperación Nutricional – CRN</w:t>
      </w:r>
      <w:r w:rsidRPr="002F3DA4">
        <w:rPr>
          <w:rFonts w:ascii="Arial" w:hAnsi="Arial" w:cs="Arial"/>
          <w:sz w:val="22"/>
          <w:szCs w:val="22"/>
          <w:lang w:val="es-ES"/>
        </w:rPr>
        <w:t xml:space="preserve">: 2 en Riohacha, 1 en San Juan del Cesar y 1 en Manaure. </w:t>
      </w:r>
      <w:r w:rsidRPr="002F3DA4">
        <w:rPr>
          <w:rFonts w:ascii="Arial" w:hAnsi="Arial" w:cs="Arial"/>
          <w:b/>
          <w:sz w:val="22"/>
          <w:szCs w:val="22"/>
          <w:lang w:val="es-ES"/>
        </w:rPr>
        <w:t>532 niños y niñas con desnutrición aguda moderada o severa atendidos</w:t>
      </w:r>
      <w:r w:rsidRPr="002F3DA4">
        <w:rPr>
          <w:rFonts w:ascii="Arial" w:hAnsi="Arial" w:cs="Arial"/>
          <w:sz w:val="22"/>
          <w:szCs w:val="22"/>
          <w:lang w:val="es-ES"/>
        </w:rPr>
        <w:t xml:space="preserve"> (Cuéntame – Corte: 1 diciembre 2016). </w:t>
      </w:r>
    </w:p>
    <w:p w:rsidR="00E273F4" w:rsidRPr="002F3DA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contextualSpacing/>
        <w:jc w:val="both"/>
        <w:rPr>
          <w:rFonts w:cs="Arial"/>
        </w:rPr>
      </w:pPr>
      <w:r w:rsidRPr="002F3DA4">
        <w:rPr>
          <w:rFonts w:cs="Arial"/>
          <w:u w:val="single"/>
        </w:rPr>
        <w:t>11 Unidades móviles del ICBF</w:t>
      </w:r>
      <w:r w:rsidRPr="002F3DA4">
        <w:rPr>
          <w:rFonts w:cs="Arial"/>
        </w:rPr>
        <w:t xml:space="preserve"> (4 de la Regional La Guajira y 7 itinerantes) para la atención y caracterización de rancherías en el departamento. </w:t>
      </w:r>
    </w:p>
    <w:p w:rsidR="00E273F4" w:rsidRDefault="00E273F4" w:rsidP="00E273F4">
      <w:pPr>
        <w:pStyle w:val="Prrafodelista"/>
        <w:spacing w:after="0" w:line="240" w:lineRule="auto"/>
        <w:jc w:val="both"/>
        <w:rPr>
          <w:rFonts w:cs="Arial"/>
        </w:rPr>
      </w:pPr>
      <w:r w:rsidRPr="002F3DA4">
        <w:rPr>
          <w:rFonts w:cs="Arial"/>
        </w:rPr>
        <w:lastRenderedPageBreak/>
        <w:t xml:space="preserve">Desde el 22 de febrero hasta el 16 de diciembre de 2016, las Unidades Móviles han atendido </w:t>
      </w:r>
      <w:r w:rsidRPr="002F3DA4">
        <w:rPr>
          <w:rFonts w:cs="Arial"/>
          <w:b/>
        </w:rPr>
        <w:t>28.242</w:t>
      </w:r>
      <w:r w:rsidRPr="002F3DA4">
        <w:rPr>
          <w:rFonts w:cs="Arial"/>
        </w:rPr>
        <w:t xml:space="preserve"> </w:t>
      </w:r>
      <w:r w:rsidRPr="002F3DA4">
        <w:rPr>
          <w:rFonts w:cs="Arial"/>
          <w:b/>
        </w:rPr>
        <w:t>personas</w:t>
      </w:r>
      <w:r w:rsidRPr="002F3DA4">
        <w:rPr>
          <w:rFonts w:cs="Arial"/>
        </w:rPr>
        <w:t xml:space="preserve"> en </w:t>
      </w:r>
      <w:r w:rsidRPr="002F3DA4">
        <w:rPr>
          <w:rFonts w:cs="Arial"/>
          <w:b/>
        </w:rPr>
        <w:t>641 rancherías</w:t>
      </w:r>
      <w:r w:rsidRPr="002F3DA4">
        <w:rPr>
          <w:rFonts w:cs="Arial"/>
        </w:rPr>
        <w:t xml:space="preserve"> de los municipios de Albania, Maicao, Manaure, Riohacha y Uribia, así:</w:t>
      </w:r>
    </w:p>
    <w:p w:rsidR="00C65253" w:rsidRPr="002F3DA4" w:rsidRDefault="00C65253" w:rsidP="00E273F4">
      <w:pPr>
        <w:pStyle w:val="Prrafodelista"/>
        <w:spacing w:after="0" w:line="240" w:lineRule="auto"/>
        <w:jc w:val="both"/>
        <w:rPr>
          <w:rFonts w:cs="Arial"/>
        </w:rPr>
      </w:pPr>
    </w:p>
    <w:p w:rsidR="00E273F4" w:rsidRPr="002F3DA4" w:rsidRDefault="00E273F4" w:rsidP="00D712DC">
      <w:pPr>
        <w:pStyle w:val="Prrafodelista"/>
        <w:numPr>
          <w:ilvl w:val="0"/>
          <w:numId w:val="184"/>
        </w:numPr>
        <w:spacing w:after="0" w:line="240" w:lineRule="auto"/>
        <w:contextualSpacing/>
        <w:jc w:val="both"/>
        <w:rPr>
          <w:rFonts w:cs="Arial"/>
          <w:u w:color="000000"/>
          <w:bdr w:val="nil"/>
          <w:lang w:eastAsia="es-CO"/>
        </w:rPr>
      </w:pPr>
      <w:r w:rsidRPr="002F3DA4">
        <w:rPr>
          <w:rFonts w:cs="Arial"/>
          <w:b/>
          <w:u w:color="000000"/>
          <w:bdr w:val="nil"/>
          <w:lang w:eastAsia="es-CO"/>
        </w:rPr>
        <w:t xml:space="preserve">6.832 </w:t>
      </w:r>
      <w:r w:rsidRPr="002F3DA4">
        <w:rPr>
          <w:rFonts w:cs="Arial"/>
          <w:u w:color="000000"/>
          <w:bdr w:val="nil"/>
          <w:lang w:eastAsia="es-CO"/>
        </w:rPr>
        <w:t xml:space="preserve">familias. </w:t>
      </w:r>
    </w:p>
    <w:p w:rsidR="00E273F4" w:rsidRPr="002F3DA4" w:rsidRDefault="00E273F4" w:rsidP="00D712DC">
      <w:pPr>
        <w:pStyle w:val="Prrafodelista"/>
        <w:numPr>
          <w:ilvl w:val="0"/>
          <w:numId w:val="184"/>
        </w:numPr>
        <w:spacing w:after="0" w:line="240" w:lineRule="auto"/>
        <w:contextualSpacing/>
        <w:jc w:val="both"/>
        <w:rPr>
          <w:rFonts w:cs="Arial"/>
        </w:rPr>
      </w:pPr>
      <w:r w:rsidRPr="002F3DA4">
        <w:rPr>
          <w:rFonts w:cs="Arial"/>
          <w:b/>
          <w:bCs/>
        </w:rPr>
        <w:t>18.041 </w:t>
      </w:r>
      <w:r w:rsidRPr="002F3DA4">
        <w:rPr>
          <w:rFonts w:cs="Arial"/>
        </w:rPr>
        <w:t xml:space="preserve">niños, niñas y adolescentes </w:t>
      </w:r>
      <w:r w:rsidRPr="002F3DA4">
        <w:rPr>
          <w:rFonts w:cs="Arial"/>
          <w:u w:color="000000"/>
          <w:bdr w:val="nil"/>
        </w:rPr>
        <w:sym w:font="Wingdings" w:char="F0E0"/>
      </w:r>
      <w:r w:rsidRPr="002F3DA4">
        <w:rPr>
          <w:rFonts w:cs="Arial"/>
        </w:rPr>
        <w:t xml:space="preserve"> </w:t>
      </w:r>
      <w:r w:rsidRPr="002F3DA4">
        <w:rPr>
          <w:rFonts w:cs="Arial"/>
          <w:b/>
        </w:rPr>
        <w:t>8.022</w:t>
      </w:r>
      <w:r w:rsidRPr="002F3DA4">
        <w:rPr>
          <w:rFonts w:cs="Arial"/>
        </w:rPr>
        <w:t xml:space="preserve"> &lt; de 5 años; </w:t>
      </w:r>
      <w:r w:rsidRPr="002F3DA4">
        <w:rPr>
          <w:rFonts w:cs="Arial"/>
          <w:b/>
        </w:rPr>
        <w:t xml:space="preserve">171 </w:t>
      </w:r>
      <w:r w:rsidRPr="002F3DA4">
        <w:rPr>
          <w:rFonts w:cs="Arial"/>
        </w:rPr>
        <w:t>con DNT aguda remitidos a la ruta de atención a la desnutrición.</w:t>
      </w:r>
    </w:p>
    <w:p w:rsidR="00E273F4" w:rsidRPr="002F3DA4" w:rsidRDefault="00E273F4" w:rsidP="00D712DC">
      <w:pPr>
        <w:pStyle w:val="Prrafodelista"/>
        <w:numPr>
          <w:ilvl w:val="0"/>
          <w:numId w:val="184"/>
        </w:numPr>
        <w:spacing w:after="0" w:line="240" w:lineRule="auto"/>
        <w:contextualSpacing/>
        <w:jc w:val="both"/>
        <w:rPr>
          <w:rFonts w:cs="Arial"/>
        </w:rPr>
      </w:pPr>
      <w:r w:rsidRPr="002F3DA4">
        <w:rPr>
          <w:rFonts w:cs="Arial"/>
          <w:b/>
          <w:bCs/>
        </w:rPr>
        <w:t xml:space="preserve">717 mujeres </w:t>
      </w:r>
      <w:r w:rsidRPr="002F3DA4">
        <w:rPr>
          <w:rFonts w:cs="Arial"/>
          <w:bCs/>
        </w:rPr>
        <w:t xml:space="preserve">gestantes </w:t>
      </w:r>
      <w:r w:rsidRPr="002F3DA4">
        <w:rPr>
          <w:rFonts w:cs="Arial"/>
          <w:b/>
          <w:bCs/>
        </w:rPr>
        <w:t xml:space="preserve">y 1.749 </w:t>
      </w:r>
      <w:r w:rsidRPr="002F3DA4">
        <w:rPr>
          <w:rFonts w:cs="Arial"/>
          <w:bCs/>
        </w:rPr>
        <w:t>lactantes</w:t>
      </w:r>
    </w:p>
    <w:p w:rsidR="00E273F4" w:rsidRPr="002F3DA4" w:rsidRDefault="00E273F4" w:rsidP="00D712DC">
      <w:pPr>
        <w:pStyle w:val="Prrafodelista"/>
        <w:numPr>
          <w:ilvl w:val="0"/>
          <w:numId w:val="184"/>
        </w:numPr>
        <w:spacing w:after="0" w:line="240" w:lineRule="auto"/>
        <w:contextualSpacing/>
        <w:jc w:val="both"/>
        <w:rPr>
          <w:rFonts w:cs="Arial"/>
        </w:rPr>
      </w:pPr>
      <w:r w:rsidRPr="002F3DA4">
        <w:rPr>
          <w:rFonts w:cs="Arial"/>
          <w:b/>
          <w:bCs/>
        </w:rPr>
        <w:t>1.767</w:t>
      </w:r>
      <w:r w:rsidRPr="002F3DA4">
        <w:rPr>
          <w:rFonts w:cs="Arial"/>
          <w:b/>
        </w:rPr>
        <w:t xml:space="preserve"> </w:t>
      </w:r>
      <w:r w:rsidRPr="002F3DA4">
        <w:rPr>
          <w:rFonts w:cs="Arial"/>
        </w:rPr>
        <w:t>personas de tercera edad</w:t>
      </w:r>
    </w:p>
    <w:p w:rsidR="00E273F4" w:rsidRPr="002F3DA4" w:rsidRDefault="00E273F4" w:rsidP="00D712DC">
      <w:pPr>
        <w:pStyle w:val="Prrafodelista"/>
        <w:numPr>
          <w:ilvl w:val="0"/>
          <w:numId w:val="184"/>
        </w:numPr>
        <w:spacing w:after="0" w:line="240" w:lineRule="auto"/>
        <w:contextualSpacing/>
        <w:jc w:val="both"/>
        <w:rPr>
          <w:rFonts w:cs="Arial"/>
        </w:rPr>
      </w:pPr>
      <w:r w:rsidRPr="002F3DA4">
        <w:rPr>
          <w:rFonts w:cs="Arial"/>
        </w:rPr>
        <w:t>Suministro de Alimentos de Alto Valor Nutricional (corte 30 de noviembre): 262.926 unidades de Bienestarina líquida (200 ml), 100.263 galletas fortificadas y 17.383 bolsas de Bienestarina en polvo.</w:t>
      </w:r>
    </w:p>
    <w:p w:rsidR="00E273F4" w:rsidRPr="002F3DA4" w:rsidRDefault="00E273F4" w:rsidP="00E273F4">
      <w:pPr>
        <w:spacing w:after="0" w:line="240" w:lineRule="auto"/>
        <w:ind w:left="1276" w:hanging="425"/>
        <w:jc w:val="both"/>
        <w:rPr>
          <w:rFonts w:cs="Arial"/>
        </w:rPr>
      </w:pPr>
    </w:p>
    <w:p w:rsidR="00E273F4" w:rsidRPr="002F3DA4" w:rsidRDefault="00E273F4" w:rsidP="00D712DC">
      <w:pPr>
        <w:pStyle w:val="NormalWeb"/>
        <w:numPr>
          <w:ilvl w:val="0"/>
          <w:numId w:val="181"/>
        </w:numPr>
        <w:spacing w:before="0" w:beforeAutospacing="0" w:after="0" w:afterAutospacing="0"/>
        <w:jc w:val="both"/>
        <w:rPr>
          <w:rFonts w:ascii="Arial" w:eastAsia="Calibri" w:hAnsi="Arial" w:cs="Arial"/>
          <w:sz w:val="22"/>
          <w:szCs w:val="22"/>
          <w:u w:color="000000"/>
          <w:bdr w:val="nil"/>
          <w:lang w:val="es-ES"/>
        </w:rPr>
      </w:pPr>
      <w:r w:rsidRPr="002F3DA4">
        <w:rPr>
          <w:rFonts w:ascii="Arial" w:hAnsi="Arial" w:cs="Arial"/>
          <w:sz w:val="22"/>
          <w:szCs w:val="22"/>
          <w:lang w:val="es-ES"/>
        </w:rPr>
        <w:t>Con una inversión de $1.010 millones</w:t>
      </w:r>
      <w:r w:rsidRPr="002F3DA4">
        <w:rPr>
          <w:rFonts w:ascii="Arial" w:hAnsi="Arial" w:cs="Arial"/>
          <w:sz w:val="22"/>
          <w:szCs w:val="22"/>
          <w:vertAlign w:val="superscript"/>
          <w:lang w:val="es-ES"/>
        </w:rPr>
        <w:footnoteReference w:id="37"/>
      </w:r>
      <w:r w:rsidRPr="002F3DA4">
        <w:rPr>
          <w:rFonts w:ascii="Arial" w:hAnsi="Arial" w:cs="Arial"/>
          <w:sz w:val="22"/>
          <w:szCs w:val="22"/>
          <w:lang w:val="es-ES"/>
        </w:rPr>
        <w:t>, el</w:t>
      </w:r>
      <w:r w:rsidRPr="002F3DA4">
        <w:rPr>
          <w:rFonts w:ascii="Arial" w:eastAsia="Calibri" w:hAnsi="Arial" w:cs="Arial"/>
          <w:sz w:val="22"/>
          <w:szCs w:val="22"/>
          <w:u w:color="000000"/>
          <w:bdr w:val="nil"/>
          <w:lang w:val="es-ES"/>
        </w:rPr>
        <w:t xml:space="preserve"> Departamento cuenta con </w:t>
      </w:r>
      <w:r w:rsidRPr="002F3DA4">
        <w:rPr>
          <w:rFonts w:ascii="Arial" w:eastAsia="Calibri" w:hAnsi="Arial" w:cs="Arial"/>
          <w:b/>
          <w:sz w:val="22"/>
          <w:szCs w:val="22"/>
          <w:u w:color="000000"/>
          <w:bdr w:val="nil"/>
          <w:lang w:val="es-ES"/>
        </w:rPr>
        <w:t>4.250 cupos</w:t>
      </w:r>
      <w:r w:rsidRPr="002F3DA4">
        <w:rPr>
          <w:rFonts w:ascii="Arial" w:eastAsia="Calibri" w:hAnsi="Arial" w:cs="Arial"/>
          <w:sz w:val="22"/>
          <w:szCs w:val="22"/>
          <w:u w:color="000000"/>
          <w:bdr w:val="nil"/>
          <w:lang w:val="es-ES"/>
        </w:rPr>
        <w:t xml:space="preserve"> de </w:t>
      </w:r>
      <w:r w:rsidRPr="002F3DA4">
        <w:rPr>
          <w:rFonts w:ascii="Arial" w:eastAsia="Calibri" w:hAnsi="Arial" w:cs="Arial"/>
          <w:sz w:val="22"/>
          <w:szCs w:val="22"/>
          <w:u w:val="single"/>
          <w:bdr w:val="nil"/>
          <w:lang w:val="es-ES"/>
        </w:rPr>
        <w:t xml:space="preserve"> Generaciones con Bienestar</w:t>
      </w:r>
      <w:r w:rsidRPr="002F3DA4">
        <w:rPr>
          <w:rFonts w:ascii="Arial" w:eastAsia="Calibri" w:hAnsi="Arial" w:cs="Arial"/>
          <w:sz w:val="22"/>
          <w:szCs w:val="22"/>
          <w:bdr w:val="nil"/>
          <w:lang w:val="es-ES"/>
        </w:rPr>
        <w:t>, 2.650 dirigidos a niños, niñas y adolescentes</w:t>
      </w:r>
      <w:r w:rsidRPr="002F3DA4">
        <w:rPr>
          <w:rFonts w:ascii="Arial" w:eastAsia="Calibri" w:hAnsi="Arial" w:cs="Arial"/>
          <w:sz w:val="22"/>
          <w:szCs w:val="22"/>
          <w:u w:color="000000"/>
          <w:bdr w:val="nil"/>
          <w:lang w:val="es-ES"/>
        </w:rPr>
        <w:t xml:space="preserve"> de comunidades étnicas, 71% de los cupos para Uribia, Manaure, Maicao y Riohacha.</w:t>
      </w:r>
    </w:p>
    <w:p w:rsidR="00E273F4" w:rsidRPr="002F3DA4" w:rsidRDefault="00E273F4" w:rsidP="00E273F4">
      <w:pPr>
        <w:pStyle w:val="NormalWeb"/>
        <w:spacing w:before="0" w:beforeAutospacing="0" w:after="0" w:afterAutospacing="0"/>
        <w:ind w:left="720"/>
        <w:jc w:val="both"/>
        <w:rPr>
          <w:rFonts w:ascii="Arial" w:eastAsia="Calibri" w:hAnsi="Arial" w:cs="Arial"/>
          <w:sz w:val="22"/>
          <w:szCs w:val="22"/>
          <w:u w:color="000000"/>
          <w:bdr w:val="nil"/>
          <w:lang w:val="es-ES"/>
        </w:rPr>
      </w:pPr>
    </w:p>
    <w:p w:rsidR="00E273F4" w:rsidRPr="002F3DA4" w:rsidRDefault="00E273F4" w:rsidP="00D712DC">
      <w:pPr>
        <w:pStyle w:val="NormalWeb"/>
        <w:numPr>
          <w:ilvl w:val="0"/>
          <w:numId w:val="181"/>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val="single"/>
          <w:bdr w:val="nil"/>
          <w:lang w:val="es-ES"/>
        </w:rPr>
        <w:t>Estrategia de Prevención del Embarazo Adolescente</w:t>
      </w:r>
      <w:r w:rsidRPr="002F3DA4">
        <w:rPr>
          <w:rFonts w:ascii="Arial" w:eastAsia="Calibri" w:hAnsi="Arial" w:cs="Arial"/>
          <w:sz w:val="22"/>
          <w:szCs w:val="22"/>
          <w:u w:color="000000"/>
          <w:bdr w:val="nil"/>
          <w:lang w:val="es-ES"/>
        </w:rPr>
        <w:t xml:space="preserve"> dirigida a </w:t>
      </w:r>
      <w:r w:rsidRPr="002F3DA4">
        <w:rPr>
          <w:rFonts w:ascii="Arial" w:eastAsia="Calibri" w:hAnsi="Arial" w:cs="Arial"/>
          <w:b/>
          <w:sz w:val="22"/>
          <w:szCs w:val="22"/>
          <w:u w:color="000000"/>
          <w:bdr w:val="nil"/>
          <w:lang w:val="es-ES"/>
        </w:rPr>
        <w:t>1.218 niños, niñas y adolescentes</w:t>
      </w:r>
      <w:r w:rsidRPr="002F3DA4">
        <w:rPr>
          <w:rFonts w:ascii="Arial" w:eastAsia="Calibri" w:hAnsi="Arial" w:cs="Arial"/>
          <w:sz w:val="22"/>
          <w:szCs w:val="22"/>
          <w:u w:color="000000"/>
          <w:bdr w:val="nil"/>
          <w:lang w:val="es-ES"/>
        </w:rPr>
        <w:t>, sus padres, cuidadores y docentes.</w:t>
      </w:r>
    </w:p>
    <w:p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rsidR="00E273F4" w:rsidRPr="002F3DA4" w:rsidRDefault="00E273F4" w:rsidP="00D712DC">
      <w:pPr>
        <w:pStyle w:val="NormalWeb"/>
        <w:numPr>
          <w:ilvl w:val="0"/>
          <w:numId w:val="181"/>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b/>
          <w:sz w:val="22"/>
          <w:szCs w:val="22"/>
          <w:u w:color="000000"/>
          <w:bdr w:val="nil"/>
          <w:lang w:val="es-ES"/>
        </w:rPr>
        <w:t>1.750</w:t>
      </w:r>
      <w:r w:rsidRPr="002F3DA4">
        <w:rPr>
          <w:rFonts w:ascii="Arial" w:eastAsia="Calibri" w:hAnsi="Arial" w:cs="Arial"/>
          <w:sz w:val="22"/>
          <w:szCs w:val="22"/>
          <w:u w:color="000000"/>
          <w:bdr w:val="nil"/>
          <w:lang w:val="es-ES"/>
        </w:rPr>
        <w:t xml:space="preserve"> </w:t>
      </w:r>
      <w:r w:rsidRPr="002F3DA4">
        <w:rPr>
          <w:rFonts w:ascii="Arial" w:eastAsia="Calibri" w:hAnsi="Arial" w:cs="Arial"/>
          <w:sz w:val="22"/>
          <w:szCs w:val="22"/>
          <w:u w:val="single"/>
          <w:bdr w:val="nil"/>
          <w:lang w:val="es-ES"/>
        </w:rPr>
        <w:t xml:space="preserve">Familias con Bienestar </w:t>
      </w:r>
      <w:r w:rsidRPr="002F3DA4">
        <w:rPr>
          <w:rFonts w:ascii="Arial" w:eastAsia="Calibri" w:hAnsi="Arial" w:cs="Arial"/>
          <w:sz w:val="22"/>
          <w:szCs w:val="22"/>
          <w:u w:color="000000"/>
          <w:bdr w:val="nil"/>
          <w:lang w:val="es-ES"/>
        </w:rPr>
        <w:t xml:space="preserve">en los 15 municipios del Departamento y apoyo a </w:t>
      </w:r>
      <w:r w:rsidRPr="002F3DA4">
        <w:rPr>
          <w:rFonts w:ascii="Arial" w:eastAsia="Calibri" w:hAnsi="Arial" w:cs="Arial"/>
          <w:b/>
          <w:sz w:val="22"/>
          <w:szCs w:val="22"/>
          <w:u w:color="000000"/>
          <w:bdr w:val="nil"/>
          <w:lang w:val="es-ES"/>
        </w:rPr>
        <w:t>20 proyectos</w:t>
      </w:r>
      <w:r w:rsidRPr="002F3DA4">
        <w:rPr>
          <w:rFonts w:ascii="Arial" w:eastAsia="Calibri" w:hAnsi="Arial" w:cs="Arial"/>
          <w:sz w:val="22"/>
          <w:szCs w:val="22"/>
          <w:u w:color="000000"/>
          <w:bdr w:val="nil"/>
          <w:lang w:val="es-ES"/>
        </w:rPr>
        <w:t xml:space="preserve"> de </w:t>
      </w:r>
      <w:r w:rsidRPr="002F3DA4">
        <w:rPr>
          <w:rFonts w:ascii="Arial" w:eastAsia="Calibri" w:hAnsi="Arial" w:cs="Arial"/>
          <w:sz w:val="22"/>
          <w:szCs w:val="22"/>
          <w:u w:val="single"/>
          <w:bdr w:val="nil"/>
          <w:lang w:val="es-ES"/>
        </w:rPr>
        <w:t>Territorios Étnicos con Bienestar</w:t>
      </w:r>
      <w:r w:rsidRPr="002F3DA4">
        <w:rPr>
          <w:rFonts w:ascii="Arial" w:eastAsia="Calibri" w:hAnsi="Arial" w:cs="Arial"/>
          <w:sz w:val="22"/>
          <w:szCs w:val="22"/>
          <w:u w:color="000000"/>
          <w:bdr w:val="nil"/>
          <w:lang w:val="es-ES"/>
        </w:rPr>
        <w:t xml:space="preserve"> que con una inversión superior a los $3.000 millones, benefician a 3.068 familias, </w:t>
      </w:r>
      <w:r w:rsidRPr="002F3DA4">
        <w:rPr>
          <w:rFonts w:ascii="Arial" w:eastAsia="Calibri" w:hAnsi="Arial" w:cs="Arial"/>
          <w:sz w:val="22"/>
          <w:szCs w:val="22"/>
          <w:u w:color="000000"/>
          <w:bdr w:val="nil"/>
        </w:rPr>
        <w:t>78% de la comunidad wayuu</w:t>
      </w:r>
      <w:r w:rsidRPr="002F3DA4">
        <w:rPr>
          <w:rFonts w:ascii="Arial" w:eastAsia="Calibri" w:hAnsi="Arial" w:cs="Arial"/>
          <w:sz w:val="22"/>
          <w:szCs w:val="22"/>
          <w:u w:color="000000"/>
          <w:bdr w:val="nil"/>
          <w:lang w:val="es-ES"/>
        </w:rPr>
        <w:t>.</w:t>
      </w:r>
    </w:p>
    <w:p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rsidR="00E273F4" w:rsidRPr="002F3DA4" w:rsidRDefault="00E273F4" w:rsidP="00D712DC">
      <w:pPr>
        <w:pStyle w:val="NormalWeb"/>
        <w:numPr>
          <w:ilvl w:val="0"/>
          <w:numId w:val="181"/>
        </w:numPr>
        <w:spacing w:before="0" w:beforeAutospacing="0" w:after="0" w:afterAutospacing="0"/>
        <w:jc w:val="both"/>
        <w:rPr>
          <w:rFonts w:ascii="Arial" w:eastAsia="Calibri" w:hAnsi="Arial" w:cs="Arial"/>
          <w:sz w:val="22"/>
          <w:szCs w:val="22"/>
          <w:u w:color="000000"/>
          <w:bdr w:val="nil"/>
          <w:lang w:val="es-ES"/>
        </w:rPr>
      </w:pPr>
      <w:r w:rsidRPr="002F3DA4">
        <w:rPr>
          <w:rFonts w:ascii="Arial" w:eastAsia="Calibri" w:hAnsi="Arial" w:cs="Arial"/>
          <w:sz w:val="22"/>
          <w:szCs w:val="22"/>
          <w:u w:val="single"/>
          <w:bdr w:val="nil"/>
        </w:rPr>
        <w:t>Unidad de Apoyo y Fortalecimiento a la Familia (UNAFA)</w:t>
      </w:r>
      <w:r w:rsidRPr="002F3DA4">
        <w:rPr>
          <w:rFonts w:ascii="Arial" w:eastAsia="Calibri" w:hAnsi="Arial" w:cs="Arial"/>
          <w:sz w:val="22"/>
          <w:szCs w:val="22"/>
          <w:bdr w:val="nil"/>
        </w:rPr>
        <w:t xml:space="preserve">: </w:t>
      </w:r>
      <w:r w:rsidRPr="002F3DA4">
        <w:rPr>
          <w:rFonts w:ascii="Arial" w:eastAsia="Calibri" w:hAnsi="Arial" w:cs="Arial"/>
          <w:b/>
          <w:sz w:val="22"/>
          <w:szCs w:val="22"/>
          <w:bdr w:val="nil"/>
        </w:rPr>
        <w:t>80 familias</w:t>
      </w:r>
      <w:r w:rsidRPr="002F3DA4">
        <w:rPr>
          <w:rFonts w:ascii="Arial" w:eastAsia="Calibri" w:hAnsi="Arial" w:cs="Arial"/>
          <w:sz w:val="22"/>
          <w:szCs w:val="22"/>
          <w:bdr w:val="nil"/>
        </w:rPr>
        <w:t xml:space="preserve"> con acompañamiento para la promoción del </w:t>
      </w:r>
      <w:r w:rsidRPr="002F3DA4">
        <w:rPr>
          <w:rFonts w:ascii="Arial" w:eastAsia="Calibri" w:hAnsi="Arial" w:cs="Arial"/>
          <w:sz w:val="22"/>
          <w:szCs w:val="22"/>
          <w:u w:color="000000"/>
          <w:bdr w:val="nil"/>
          <w:lang w:val="es-ES"/>
        </w:rPr>
        <w:t xml:space="preserve">goce efectivo de los derechos de </w:t>
      </w:r>
      <w:r w:rsidRPr="002F3DA4">
        <w:rPr>
          <w:rFonts w:ascii="Arial" w:eastAsia="Calibri" w:hAnsi="Arial" w:cs="Arial"/>
          <w:b/>
          <w:sz w:val="22"/>
          <w:szCs w:val="22"/>
          <w:u w:color="000000"/>
          <w:bdr w:val="nil"/>
          <w:lang w:val="es-ES"/>
        </w:rPr>
        <w:t>niños, niñas y adolescentes con discapacidad</w:t>
      </w:r>
      <w:r w:rsidRPr="002F3DA4">
        <w:rPr>
          <w:rFonts w:ascii="Arial" w:eastAsia="Calibri" w:hAnsi="Arial" w:cs="Arial"/>
          <w:sz w:val="22"/>
          <w:szCs w:val="22"/>
          <w:u w:color="000000"/>
          <w:bdr w:val="nil"/>
          <w:lang w:val="es-ES"/>
        </w:rPr>
        <w:t>.</w:t>
      </w:r>
    </w:p>
    <w:p w:rsidR="00E273F4" w:rsidRPr="002F3DA4" w:rsidRDefault="00E273F4" w:rsidP="00E273F4">
      <w:pPr>
        <w:pStyle w:val="NormalWeb"/>
        <w:spacing w:before="0" w:beforeAutospacing="0" w:after="0" w:afterAutospacing="0"/>
        <w:jc w:val="both"/>
        <w:rPr>
          <w:rFonts w:ascii="Arial" w:eastAsia="Calibri" w:hAnsi="Arial" w:cs="Arial"/>
          <w:sz w:val="22"/>
          <w:szCs w:val="22"/>
          <w:u w:color="000000"/>
          <w:bdr w:val="nil"/>
          <w:lang w:val="es-ES"/>
        </w:rPr>
      </w:pP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rPr>
        <w:t xml:space="preserve">Nuevo </w:t>
      </w:r>
      <w:r w:rsidRPr="002F3DA4">
        <w:rPr>
          <w:rFonts w:cs="Arial"/>
          <w:bCs/>
          <w:u w:val="single"/>
        </w:rPr>
        <w:t xml:space="preserve">Centro Zonal ICBF </w:t>
      </w:r>
      <w:r w:rsidRPr="002F3DA4">
        <w:rPr>
          <w:rFonts w:cs="Arial"/>
          <w:u w:val="single"/>
        </w:rPr>
        <w:t>de Nazareth</w:t>
      </w:r>
      <w:r w:rsidRPr="002F3DA4">
        <w:rPr>
          <w:rFonts w:cs="Arial"/>
        </w:rPr>
        <w:t xml:space="preserve"> (Uribia) en funcionamiento: creado mediante Resolución No. 3961 del 6 de mayo de 2016, acerca los servicios Protección, Nutrición, Atención Integral a la Primera Infancia y Fortalecimiento Familiar a las comunidades de los corregimientos del </w:t>
      </w:r>
      <w:r w:rsidRPr="002F3DA4">
        <w:rPr>
          <w:rFonts w:cs="Arial"/>
          <w:b/>
        </w:rPr>
        <w:t>Noreste de Uribia</w:t>
      </w:r>
      <w:r w:rsidRPr="002F3DA4">
        <w:rPr>
          <w:rFonts w:cs="Arial"/>
        </w:rPr>
        <w:t>: Punta Espada, Taroa, Guareepa, Taguaira, Porshina, Nazareth, Puerto Estrella, Siapana, Puerto López, Castilletes y Wimpeshi.</w:t>
      </w:r>
    </w:p>
    <w:p w:rsidR="00E273F4" w:rsidRPr="002F3DA4" w:rsidRDefault="00E273F4" w:rsidP="00E273F4">
      <w:pPr>
        <w:spacing w:after="0" w:line="240" w:lineRule="auto"/>
        <w:contextualSpacing/>
        <w:jc w:val="both"/>
        <w:rPr>
          <w:rFonts w:cs="Arial"/>
        </w:rPr>
      </w:pP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u w:val="single"/>
        </w:rPr>
        <w:t>Incidencia en los planes de desarrollo municipal 2016-2019</w:t>
      </w:r>
      <w:r w:rsidRPr="002F3DA4">
        <w:rPr>
          <w:rFonts w:cs="Arial"/>
        </w:rPr>
        <w:t xml:space="preserve"> de los </w:t>
      </w:r>
      <w:r w:rsidRPr="002F3DA4">
        <w:rPr>
          <w:rFonts w:cs="Arial"/>
          <w:b/>
        </w:rPr>
        <w:t>15 municipios</w:t>
      </w:r>
      <w:r w:rsidRPr="002F3DA4">
        <w:rPr>
          <w:rFonts w:cs="Arial"/>
        </w:rPr>
        <w:t xml:space="preserve"> de La Guajira para la inclusión de los temas de primera infancia, niñez, adolescencia y fortalecimiento familiar (Sistema Nacional de Bienestar Familiar - SNBF). Implementación de una estrategia de fortalecimiento en convenio con Save the Children.</w:t>
      </w:r>
    </w:p>
    <w:p w:rsidR="00E273F4" w:rsidRPr="002F3DA4" w:rsidRDefault="00E273F4" w:rsidP="00E273F4">
      <w:pPr>
        <w:spacing w:after="0" w:line="240" w:lineRule="auto"/>
        <w:contextualSpacing/>
        <w:jc w:val="both"/>
        <w:rPr>
          <w:rFonts w:cs="Arial"/>
        </w:rPr>
      </w:pPr>
    </w:p>
    <w:p w:rsidR="00E273F4" w:rsidRPr="002F3DA4" w:rsidRDefault="00E273F4" w:rsidP="00D712DC">
      <w:pPr>
        <w:pStyle w:val="Prrafodelista"/>
        <w:numPr>
          <w:ilvl w:val="0"/>
          <w:numId w:val="181"/>
        </w:numPr>
        <w:pBdr>
          <w:top w:val="nil"/>
          <w:left w:val="nil"/>
          <w:bottom w:val="nil"/>
          <w:right w:val="nil"/>
          <w:between w:val="nil"/>
          <w:bar w:val="nil"/>
        </w:pBdr>
        <w:spacing w:after="0" w:line="240" w:lineRule="auto"/>
        <w:ind w:left="714" w:hanging="357"/>
        <w:contextualSpacing/>
        <w:jc w:val="both"/>
        <w:rPr>
          <w:rFonts w:cs="Arial"/>
        </w:rPr>
      </w:pPr>
      <w:r w:rsidRPr="002F3DA4">
        <w:rPr>
          <w:rFonts w:cs="Arial"/>
          <w:u w:val="single"/>
        </w:rPr>
        <w:t>Convenio con Fundalianza</w:t>
      </w:r>
      <w:r w:rsidRPr="002F3DA4">
        <w:rPr>
          <w:rFonts w:cs="Arial"/>
        </w:rPr>
        <w:t xml:space="preserve"> para la articulación de agentes del SNBF en </w:t>
      </w:r>
      <w:r w:rsidRPr="002F3DA4">
        <w:rPr>
          <w:rFonts w:cs="Arial"/>
          <w:b/>
        </w:rPr>
        <w:t xml:space="preserve">50 comunidades </w:t>
      </w:r>
      <w:r w:rsidRPr="002F3DA4">
        <w:rPr>
          <w:rFonts w:cs="Arial"/>
        </w:rPr>
        <w:t xml:space="preserve">de Manaure Maicao y Uribia, </w:t>
      </w:r>
      <w:r w:rsidRPr="002F3DA4">
        <w:rPr>
          <w:rFonts w:cs="Arial"/>
          <w:b/>
        </w:rPr>
        <w:t>2.500 familias</w:t>
      </w:r>
      <w:r w:rsidRPr="002F3DA4">
        <w:rPr>
          <w:rFonts w:cs="Arial"/>
        </w:rPr>
        <w:t xml:space="preserve"> en procesos de fortalecimiento familiar, socio-organizativo, productivo y cultural para el mejoramiento de su calidad de vida y soberanía alimentaria.</w:t>
      </w:r>
    </w:p>
    <w:p w:rsidR="00823561" w:rsidRPr="00D23FA4" w:rsidRDefault="00823561" w:rsidP="00823561">
      <w:pPr>
        <w:spacing w:after="0" w:line="240" w:lineRule="auto"/>
        <w:rPr>
          <w:rFonts w:cs="Arial"/>
        </w:rPr>
      </w:pPr>
    </w:p>
    <w:p w:rsidR="00823561" w:rsidRPr="00823561" w:rsidRDefault="00823561" w:rsidP="007342CF">
      <w:pPr>
        <w:pStyle w:val="Prrafodelista"/>
        <w:keepNext/>
        <w:keepLines/>
        <w:numPr>
          <w:ilvl w:val="1"/>
          <w:numId w:val="242"/>
        </w:numPr>
        <w:spacing w:after="0" w:line="240" w:lineRule="auto"/>
        <w:outlineLvl w:val="1"/>
        <w:rPr>
          <w:rFonts w:eastAsiaTheme="majorEastAsia" w:cs="Arial"/>
          <w:b/>
        </w:rPr>
      </w:pPr>
      <w:bookmarkStart w:id="151" w:name="_Toc473581443"/>
      <w:r w:rsidRPr="00823561">
        <w:rPr>
          <w:rFonts w:eastAsia="Times New Roman" w:cs="Arial"/>
          <w:b/>
          <w:bCs/>
          <w:kern w:val="32"/>
        </w:rPr>
        <w:lastRenderedPageBreak/>
        <w:t>Modelo de Enfoque Diferencial de Derechos</w:t>
      </w:r>
      <w:bookmarkEnd w:id="151"/>
      <w:r w:rsidRPr="00823561">
        <w:rPr>
          <w:rFonts w:eastAsia="Times New Roman" w:cs="Arial"/>
          <w:b/>
          <w:bCs/>
          <w:kern w:val="32"/>
        </w:rPr>
        <w:t xml:space="preserve"> </w:t>
      </w:r>
    </w:p>
    <w:p w:rsidR="00823561" w:rsidRDefault="00823561" w:rsidP="00823561">
      <w:pPr>
        <w:spacing w:after="0" w:line="240" w:lineRule="auto"/>
        <w:contextualSpacing/>
        <w:jc w:val="both"/>
        <w:rPr>
          <w:rFonts w:cs="Arial"/>
        </w:rPr>
      </w:pPr>
    </w:p>
    <w:p w:rsidR="00E273F4" w:rsidRPr="002F3DA4" w:rsidRDefault="00E273F4" w:rsidP="00E273F4">
      <w:pPr>
        <w:spacing w:after="0" w:line="240" w:lineRule="auto"/>
        <w:jc w:val="both"/>
        <w:rPr>
          <w:rFonts w:cs="Arial"/>
        </w:rPr>
      </w:pPr>
      <w:r w:rsidRPr="002F3DA4">
        <w:rPr>
          <w:rFonts w:cs="Arial"/>
        </w:rPr>
        <w:t xml:space="preserve">En el marco de las funciones asignadas a la Subdirección General en cuanto a la implementación, evaluación y seguimiento del Moldeo de Enfoque Diferencial de Derechos del ICBF, se avanzó en: </w:t>
      </w:r>
    </w:p>
    <w:p w:rsidR="00E273F4" w:rsidRPr="002F3DA4" w:rsidRDefault="00E273F4" w:rsidP="00E273F4">
      <w:pPr>
        <w:spacing w:after="0" w:line="240" w:lineRule="auto"/>
        <w:jc w:val="both"/>
        <w:rPr>
          <w:rFonts w:cs="Arial"/>
        </w:rPr>
      </w:pPr>
    </w:p>
    <w:p w:rsidR="00E273F4" w:rsidRDefault="00E273F4" w:rsidP="00D712DC">
      <w:pPr>
        <w:pStyle w:val="Prrafodelista"/>
        <w:numPr>
          <w:ilvl w:val="0"/>
          <w:numId w:val="183"/>
        </w:numPr>
        <w:spacing w:after="0" w:line="240" w:lineRule="auto"/>
        <w:contextualSpacing/>
        <w:jc w:val="both"/>
        <w:rPr>
          <w:rFonts w:cs="Arial"/>
        </w:rPr>
      </w:pPr>
      <w:r w:rsidRPr="002F3DA4">
        <w:rPr>
          <w:rFonts w:cs="Arial"/>
        </w:rPr>
        <w:t>Revisión, socialización, implementación y adopción del Modelo del Enfoque Diferencial derechos del ICBF mediante acto administrativo.</w:t>
      </w:r>
    </w:p>
    <w:p w:rsidR="009B308B" w:rsidRPr="002F3DA4" w:rsidRDefault="009B308B" w:rsidP="009B308B">
      <w:pPr>
        <w:pStyle w:val="Prrafodelista"/>
        <w:spacing w:after="0" w:line="240" w:lineRule="auto"/>
        <w:ind w:left="360"/>
        <w:contextualSpacing/>
        <w:jc w:val="both"/>
        <w:rPr>
          <w:rFonts w:cs="Arial"/>
        </w:rPr>
      </w:pPr>
    </w:p>
    <w:p w:rsidR="00E273F4" w:rsidRPr="002F3DA4" w:rsidRDefault="00E273F4" w:rsidP="00D712DC">
      <w:pPr>
        <w:pStyle w:val="Prrafodelista"/>
        <w:numPr>
          <w:ilvl w:val="0"/>
          <w:numId w:val="183"/>
        </w:numPr>
        <w:spacing w:after="0" w:line="240" w:lineRule="auto"/>
        <w:contextualSpacing/>
        <w:jc w:val="both"/>
        <w:rPr>
          <w:rFonts w:cs="Arial"/>
        </w:rPr>
      </w:pPr>
      <w:r w:rsidRPr="002F3DA4">
        <w:rPr>
          <w:rFonts w:cs="Arial"/>
        </w:rPr>
        <w:t>Formulación del plan de implementación del Modelo de Enfoque Diferencial de Derechos para la Dirección Regional Tolima.</w:t>
      </w:r>
    </w:p>
    <w:p w:rsidR="00E273F4" w:rsidRPr="002F3DA4" w:rsidRDefault="00E273F4" w:rsidP="00E273F4">
      <w:pPr>
        <w:spacing w:after="0" w:line="240" w:lineRule="auto"/>
        <w:rPr>
          <w:rFonts w:cs="Arial"/>
          <w:lang w:eastAsia="es-ES"/>
        </w:rPr>
      </w:pPr>
    </w:p>
    <w:p w:rsidR="00E273F4" w:rsidRDefault="00E273F4" w:rsidP="00E273F4">
      <w:pPr>
        <w:spacing w:after="0" w:line="240" w:lineRule="auto"/>
        <w:jc w:val="both"/>
        <w:rPr>
          <w:rFonts w:cs="Arial"/>
        </w:rPr>
      </w:pPr>
      <w:r w:rsidRPr="002F3DA4">
        <w:rPr>
          <w:rFonts w:cs="Arial"/>
        </w:rPr>
        <w:t>En este marco, y de manera particular frente a la categoría de análisis de Enfoque Diferencial Étnico del modelo de enfoque diferencial, durante 2016 se apoyaron y desarro</w:t>
      </w:r>
      <w:r w:rsidR="00717DE1">
        <w:rPr>
          <w:rFonts w:cs="Arial"/>
        </w:rPr>
        <w:t>llaron las siguientes acciones:</w:t>
      </w:r>
    </w:p>
    <w:p w:rsidR="00717DE1" w:rsidRPr="002F3DA4" w:rsidRDefault="00717DE1" w:rsidP="00E273F4">
      <w:pPr>
        <w:spacing w:after="0" w:line="240" w:lineRule="auto"/>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En el marco del Plan Nacional de Desarrollo 2014-2018 “Todos por un Nuevo País” se construyeron las Fichas Técnicas y hoja de vida de los compromisos asumidos con la Mesa Permanente de Concertación Indígena, la Meda de Dialogo y Concertación Wayuú y la</w:t>
      </w:r>
      <w:r w:rsidR="00717DE1">
        <w:rPr>
          <w:rFonts w:cs="Arial"/>
        </w:rPr>
        <w:t xml:space="preserve"> Mesa Nacional de Dialogo Rrom.</w:t>
      </w:r>
    </w:p>
    <w:p w:rsidR="00717DE1" w:rsidRPr="002F3DA4" w:rsidRDefault="00717DE1" w:rsidP="00717DE1">
      <w:pPr>
        <w:pStyle w:val="Prrafodelista"/>
        <w:spacing w:after="0" w:line="240" w:lineRule="auto"/>
        <w:ind w:left="360"/>
        <w:contextualSpacing/>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Se ha realizado proceso de seguimiento coordinación y gestión para abordar el tema de la Situación de los depar</w:t>
      </w:r>
      <w:r w:rsidR="00717DE1">
        <w:rPr>
          <w:rFonts w:cs="Arial"/>
        </w:rPr>
        <w:t>tamentos de la Guajira y Choco.</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Apoyo a las Direcciones Misionales en los proceso de concertación, para la implementación de modalidades de atención del ICBF y para la construcción de m</w:t>
      </w:r>
      <w:r w:rsidR="00717DE1">
        <w:rPr>
          <w:rFonts w:cs="Arial"/>
        </w:rPr>
        <w:t>odalidades propias de atención.</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Participación y asesoría a la mesa técnica del Estudio Nacional de la Situación Alimentaria y Nutricional de los Pueblos Indígenas en Colombia-ENSANI, para el desarrollo del mismo con los pueblos Sion</w:t>
      </w:r>
      <w:r w:rsidR="00717DE1">
        <w:rPr>
          <w:rFonts w:cs="Arial"/>
        </w:rPr>
        <w:t>a, Kofa, Koreguaje y Makaguaje.</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Seguimiento a los acuerdo del ICBF con la Mesa de la Marcha en el marco de la crisis humanitaria del municipio de Buenaventura.</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6"/>
        </w:numPr>
        <w:spacing w:after="0" w:line="240" w:lineRule="auto"/>
        <w:contextualSpacing/>
        <w:jc w:val="both"/>
        <w:rPr>
          <w:rFonts w:cs="Arial"/>
        </w:rPr>
      </w:pPr>
      <w:r w:rsidRPr="002F3DA4">
        <w:rPr>
          <w:rFonts w:cs="Arial"/>
        </w:rPr>
        <w:t>Participación en las mesas de Derechos Humanos convocada por el Senado de la Republica para el abordaje de temas étnico en los departamentos de Guajira y Amaz</w:t>
      </w:r>
      <w:r w:rsidR="00717DE1">
        <w:rPr>
          <w:rFonts w:cs="Arial"/>
        </w:rPr>
        <w:t>onas.</w:t>
      </w:r>
    </w:p>
    <w:p w:rsidR="00717DE1" w:rsidRPr="00717DE1" w:rsidRDefault="00717DE1" w:rsidP="00717DE1">
      <w:pPr>
        <w:spacing w:after="0" w:line="240" w:lineRule="auto"/>
        <w:contextualSpacing/>
        <w:jc w:val="both"/>
        <w:rPr>
          <w:rFonts w:cs="Arial"/>
        </w:rPr>
      </w:pPr>
    </w:p>
    <w:p w:rsidR="00E273F4" w:rsidRPr="002F3DA4" w:rsidRDefault="00E273F4" w:rsidP="00D712DC">
      <w:pPr>
        <w:pStyle w:val="Prrafodelista"/>
        <w:numPr>
          <w:ilvl w:val="0"/>
          <w:numId w:val="186"/>
        </w:numPr>
        <w:spacing w:after="0" w:line="240" w:lineRule="auto"/>
        <w:contextualSpacing/>
        <w:jc w:val="both"/>
        <w:rPr>
          <w:rFonts w:cs="Arial"/>
        </w:rPr>
      </w:pPr>
      <w:r w:rsidRPr="002F3DA4">
        <w:rPr>
          <w:rFonts w:cs="Arial"/>
        </w:rPr>
        <w:t>Acompañamiento a las Direcciones Regionales en los Comités Territoriales y Municipales de Justicia Transicional, en los que se abordaron problemáticas de los grupos étnicos.</w:t>
      </w:r>
    </w:p>
    <w:p w:rsidR="00E273F4" w:rsidRPr="002F3DA4" w:rsidRDefault="00E273F4" w:rsidP="00CF6668"/>
    <w:p w:rsidR="00E273F4" w:rsidRPr="007C502E" w:rsidRDefault="00E273F4" w:rsidP="00CF6668">
      <w:pPr>
        <w:ind w:firstLine="708"/>
        <w:rPr>
          <w:b/>
        </w:rPr>
      </w:pPr>
      <w:r w:rsidRPr="007C502E">
        <w:rPr>
          <w:b/>
        </w:rPr>
        <w:t>Seguimiento al cumplimiento de  Sentencias y Autos de la Corte Constitucional</w:t>
      </w:r>
    </w:p>
    <w:p w:rsidR="00E273F4" w:rsidRPr="002F3DA4" w:rsidRDefault="00E273F4" w:rsidP="00E273F4">
      <w:pPr>
        <w:spacing w:after="0" w:line="240" w:lineRule="auto"/>
        <w:jc w:val="both"/>
        <w:rPr>
          <w:rFonts w:cs="Arial"/>
        </w:rPr>
      </w:pPr>
      <w:r w:rsidRPr="002F3DA4">
        <w:rPr>
          <w:rFonts w:cs="Arial"/>
        </w:rPr>
        <w:t>A continuación se presentan las acciones adelantadas para dar cumplimiento a sentencias y autos de la corte en relación con asuntos étnicos:</w:t>
      </w:r>
    </w:p>
    <w:p w:rsidR="00E273F4" w:rsidRPr="002F3DA4" w:rsidRDefault="00E273F4" w:rsidP="00E273F4">
      <w:pPr>
        <w:spacing w:after="0" w:line="240" w:lineRule="auto"/>
        <w:jc w:val="both"/>
        <w:rPr>
          <w:rFonts w:cs="Arial"/>
        </w:rPr>
      </w:pPr>
    </w:p>
    <w:p w:rsidR="00E273F4" w:rsidRDefault="00E273F4" w:rsidP="00D712DC">
      <w:pPr>
        <w:pStyle w:val="Prrafodelista"/>
        <w:numPr>
          <w:ilvl w:val="0"/>
          <w:numId w:val="180"/>
        </w:numPr>
        <w:spacing w:after="0" w:line="240" w:lineRule="auto"/>
        <w:contextualSpacing/>
        <w:jc w:val="both"/>
        <w:rPr>
          <w:rFonts w:cs="Arial"/>
        </w:rPr>
      </w:pPr>
      <w:r w:rsidRPr="002F3DA4">
        <w:rPr>
          <w:rFonts w:cs="Arial"/>
        </w:rPr>
        <w:lastRenderedPageBreak/>
        <w:t>Se ha realizado el seguimiento y la coordinación para el cumplimiento del Auto 051 de 2013, en cuanto al proceso de acompañamiento y atención a través de la oferta institucional para la población Emberá retornada y receptora de los municipios de Mistrató y Pueblo Rico en Risaralda y el Resguardo Alto Andágueda del municipio de Bagadó –Choco, de igual modo se ha realizado el acompañamiento a la Regional Choco en el proceso de Gestión y Coordinación para el cumplimiento de la Sentencia No 007 de 2014 de Restitución de Derechos territoriales para el Alto Andágueda y de la Sentencia 05 de 2016 sobre la  Restitución de Derechos Territoriales de Eyakera.</w:t>
      </w:r>
    </w:p>
    <w:p w:rsidR="00717DE1" w:rsidRPr="002F3DA4" w:rsidRDefault="00717DE1" w:rsidP="00717DE1">
      <w:pPr>
        <w:pStyle w:val="Prrafodelista"/>
        <w:spacing w:after="0" w:line="240" w:lineRule="auto"/>
        <w:ind w:left="720"/>
        <w:contextualSpacing/>
        <w:jc w:val="both"/>
        <w:rPr>
          <w:rFonts w:cs="Arial"/>
        </w:rPr>
      </w:pPr>
    </w:p>
    <w:p w:rsidR="00E273F4" w:rsidRDefault="00E273F4" w:rsidP="00D712DC">
      <w:pPr>
        <w:pStyle w:val="Prrafodelista"/>
        <w:numPr>
          <w:ilvl w:val="0"/>
          <w:numId w:val="180"/>
        </w:numPr>
        <w:spacing w:after="0" w:line="240" w:lineRule="auto"/>
        <w:contextualSpacing/>
        <w:jc w:val="both"/>
        <w:rPr>
          <w:rFonts w:cs="Arial"/>
        </w:rPr>
      </w:pPr>
      <w:r w:rsidRPr="002F3DA4">
        <w:rPr>
          <w:rFonts w:cs="Arial"/>
        </w:rPr>
        <w:t>Se ha realizado el proceso de Gestión y Coordinación para el cumplimiento de la orden 16 de la Sentencia No 071 de 2014 de Restitución de Derechos territoriales para el Consejo Comunitario Renacer Negro de Timbiquí.</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0"/>
        </w:numPr>
        <w:spacing w:after="0" w:line="240" w:lineRule="auto"/>
        <w:contextualSpacing/>
        <w:jc w:val="both"/>
        <w:rPr>
          <w:rFonts w:cs="Arial"/>
        </w:rPr>
      </w:pPr>
      <w:r w:rsidRPr="002F3DA4">
        <w:rPr>
          <w:rFonts w:cs="Arial"/>
        </w:rPr>
        <w:t>Se ha realizado el seguimiento y la coordinación para el cumplimiento del Auto 173 de 2012, en cuanto al proceso de acompañamiento y atención a través de la oferta institucional para la población Jiw y Nukak de los departamentos de Meta y Guaviare, al igual que se realizó la participación en la mesa de trabajo citada por la Corte Constitución en el mes de diciembre para el seguimiento al cumplimiento del Auto.</w:t>
      </w:r>
    </w:p>
    <w:p w:rsidR="00717DE1" w:rsidRPr="00717DE1" w:rsidRDefault="00717DE1" w:rsidP="00717DE1">
      <w:pPr>
        <w:spacing w:after="0" w:line="240" w:lineRule="auto"/>
        <w:contextualSpacing/>
        <w:jc w:val="both"/>
        <w:rPr>
          <w:rFonts w:cs="Arial"/>
        </w:rPr>
      </w:pPr>
    </w:p>
    <w:p w:rsidR="00E273F4" w:rsidRDefault="00E273F4" w:rsidP="00D712DC">
      <w:pPr>
        <w:pStyle w:val="Prrafodelista"/>
        <w:numPr>
          <w:ilvl w:val="0"/>
          <w:numId w:val="180"/>
        </w:numPr>
        <w:spacing w:after="0" w:line="240" w:lineRule="auto"/>
        <w:contextualSpacing/>
        <w:jc w:val="both"/>
        <w:rPr>
          <w:rFonts w:cs="Arial"/>
        </w:rPr>
      </w:pPr>
      <w:r w:rsidRPr="002F3DA4">
        <w:rPr>
          <w:rFonts w:cs="Arial"/>
        </w:rPr>
        <w:t>Coordinación con las Direcciones misionales y la Dirección de Planeación  para la Participación, concertación y seguimiento a los Planes de Salvaguarda Étnica ordenados por el Auto  004  de  2009, con los pueblos U´wa Capitulo Arauca, Kokonuko, Totoró, Kankuamo, Emberá Eyabida, Dóvida, Chami, Katío y Eperara Siapedara, Misak, Nasa , Zenú, Wiwa y Coreguaje.</w:t>
      </w:r>
    </w:p>
    <w:p w:rsidR="00717DE1" w:rsidRPr="00717DE1" w:rsidRDefault="00717DE1" w:rsidP="00717DE1">
      <w:pPr>
        <w:spacing w:after="0" w:line="240" w:lineRule="auto"/>
        <w:contextualSpacing/>
        <w:jc w:val="both"/>
        <w:rPr>
          <w:rFonts w:cs="Arial"/>
        </w:rPr>
      </w:pPr>
    </w:p>
    <w:p w:rsidR="00E273F4" w:rsidRPr="002F3DA4" w:rsidRDefault="00E273F4" w:rsidP="00D712DC">
      <w:pPr>
        <w:pStyle w:val="Prrafodelista"/>
        <w:numPr>
          <w:ilvl w:val="0"/>
          <w:numId w:val="180"/>
        </w:numPr>
        <w:spacing w:after="0" w:line="240" w:lineRule="auto"/>
        <w:contextualSpacing/>
        <w:jc w:val="both"/>
        <w:rPr>
          <w:rFonts w:cs="Arial"/>
        </w:rPr>
      </w:pPr>
      <w:r w:rsidRPr="002F3DA4">
        <w:rPr>
          <w:rFonts w:cs="Arial"/>
        </w:rPr>
        <w:t>Se ha realizado el proceso de gestión y coordinación para el proceso de consulta previa de los Planes de Reparación Colectiva en el marco de los Decretos 4633, 4634 y 4635 con las comunidades de Guacoche del departamento de Cesar, Ktek Kiwe del departamento del Cauca, Tecueyo, San Francisco y Toribio del Proyecto Nasa, Bojayá, Bagadó y Carmen de Atrato del Departamento de Chocó, proceso de reparación Colectiva de la Asociación Nacional de Mujeres Campesinas Indígenas- ANMUCIC y proceso de reparación colectiva del Pueblo Rrom.</w:t>
      </w:r>
    </w:p>
    <w:p w:rsidR="00E273F4" w:rsidRPr="002F3DA4" w:rsidRDefault="00E273F4" w:rsidP="00CF6668"/>
    <w:p w:rsidR="00E273F4" w:rsidRPr="007C502E" w:rsidRDefault="00E273F4" w:rsidP="00CF6668">
      <w:pPr>
        <w:ind w:left="708"/>
        <w:jc w:val="both"/>
        <w:rPr>
          <w:b/>
        </w:rPr>
      </w:pPr>
      <w:r w:rsidRPr="007C502E">
        <w:rPr>
          <w:b/>
        </w:rPr>
        <w:t>Actuaciones especiales de Autoridad Administrativa con Enfoque Diferencial y Poblacional</w:t>
      </w:r>
    </w:p>
    <w:p w:rsidR="00E273F4" w:rsidRPr="002F3DA4" w:rsidRDefault="00E273F4" w:rsidP="00E273F4">
      <w:pPr>
        <w:spacing w:after="0" w:line="240" w:lineRule="auto"/>
        <w:jc w:val="both"/>
        <w:rPr>
          <w:rFonts w:cs="Arial"/>
        </w:rPr>
      </w:pPr>
      <w:r w:rsidRPr="002F3DA4">
        <w:rPr>
          <w:rFonts w:cs="Arial"/>
        </w:rPr>
        <w:t xml:space="preserve">En el marco de los procesos de interlegalidad y del reconocimiento de las facultades jurisdiccionales de las Autoridades Tradicionales Indígenas, el ICBF emitió en el año 2010 un procedimiento especial para adelantar el Trámite Administrativo para el Restablecimiento de los Derechos de los niños, niñas y adolescentes pertenecientes a comunidades indígenas, consagrado en el Anexo 7 del Lineamiento Técnico Administrativo de Ruta de Actuaciones, vigente con Resolución </w:t>
      </w:r>
      <w:r w:rsidR="008E5100">
        <w:rPr>
          <w:rFonts w:cs="Arial"/>
        </w:rPr>
        <w:t>actualizada No. 1526 del 23 de F</w:t>
      </w:r>
      <w:r w:rsidRPr="002F3DA4">
        <w:rPr>
          <w:rFonts w:cs="Arial"/>
        </w:rPr>
        <w:t xml:space="preserve">ebrero de 2016. El anexo tiene como objetivo definir los procedimientos diferenciales que las Autoridades Administrativas deben seguir para garantizar el restablecimiento de los derechos individuales y colectivos de los niños, niñas y </w:t>
      </w:r>
      <w:r w:rsidRPr="002F3DA4">
        <w:rPr>
          <w:rFonts w:cs="Arial"/>
        </w:rPr>
        <w:lastRenderedPageBreak/>
        <w:t>adolescente pertenecientes a los pueblos ind</w:t>
      </w:r>
      <w:r w:rsidR="00D50D3A">
        <w:rPr>
          <w:rFonts w:cs="Arial"/>
        </w:rPr>
        <w:t xml:space="preserve">ígenas. </w:t>
      </w:r>
      <w:r w:rsidRPr="002F3DA4">
        <w:rPr>
          <w:rFonts w:cs="Arial"/>
        </w:rPr>
        <w:t xml:space="preserve">Como avances significativos en 2016 se encuentran: </w:t>
      </w:r>
    </w:p>
    <w:p w:rsidR="00E273F4" w:rsidRPr="002F3DA4" w:rsidRDefault="00E273F4" w:rsidP="00E273F4">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En cumplimiento del indicador del PND 2014 – 2018, relacionado con la “formulación concertada con las autoridades y organizaciones indígenas de las acciones de prevención y atención de explotación sexual y comercial de niños, niñas y adolescentes, y otras vulneraciones (abuso sexual)” se suscribió el Convenio de Asociación No. 1457 de 2016, con la Corporación Opción Legal, focalizando dos experiencias que se realizaron con el pueblo Totoró, en el departamento del Cauca y Embera en el departamento de Córdoba.</w:t>
      </w:r>
    </w:p>
    <w:p w:rsidR="00717DE1" w:rsidRPr="002F3DA4" w:rsidRDefault="00717DE1" w:rsidP="00717DE1">
      <w:pPr>
        <w:spacing w:after="0" w:line="240" w:lineRule="auto"/>
        <w:ind w:left="360"/>
        <w:contextualSpacing/>
        <w:jc w:val="both"/>
        <w:rPr>
          <w:rFonts w:cs="Arial"/>
        </w:rPr>
      </w:pPr>
    </w:p>
    <w:p w:rsidR="008E5100" w:rsidRDefault="00E273F4" w:rsidP="00D712DC">
      <w:pPr>
        <w:numPr>
          <w:ilvl w:val="0"/>
          <w:numId w:val="10"/>
        </w:numPr>
        <w:spacing w:after="0" w:line="240" w:lineRule="auto"/>
        <w:contextualSpacing/>
        <w:jc w:val="both"/>
        <w:rPr>
          <w:rFonts w:cs="Arial"/>
        </w:rPr>
      </w:pPr>
      <w:r w:rsidRPr="002F3DA4">
        <w:rPr>
          <w:rFonts w:cs="Arial"/>
        </w:rPr>
        <w:t xml:space="preserve">En el marco del Convenio de Asociación No. 1457 de 2016, se logró la concertación de los planes de trabajo con autoridades indígenas de los pueblos indígenas focalizados (Pueblo Totoró 12 autoridades indígenas de las cuales 9 fueron mujeres; Pueblo Embera 35 autoridades indígenas de los cuales 11 fueron mujeres). Se desarrollaron 14 talleres con cada pueblo indígena focalizado (pueblo indígena Totoró del departamento del Cauca y con el pueblo indígena Embera del departamento de Córdoba) para reflexionar frente a temas relacionados con la definición de la violencia sexual contra niños, niñas y adolescentes y para realizar un diagnóstico participativo de riesgos y potencialidades e identificación de factores de riesgo para la ocurrencia de violencia sexual contra niños, niñas y adolescentes en cada una de las comunidades. Se logró construir mecanismos comunitarios y de autocuidado para la prevención de la violencia sexual contra niños, niñas y adolescentes por cada pueblo indígena (Totoró en el departamento del Cauca y Embera en el departamento de Córdoba). </w:t>
      </w:r>
    </w:p>
    <w:p w:rsidR="00D50D3A" w:rsidRDefault="00D50D3A" w:rsidP="00D50D3A">
      <w:pPr>
        <w:spacing w:after="0" w:line="240" w:lineRule="auto"/>
        <w:contextualSpacing/>
        <w:jc w:val="both"/>
        <w:rPr>
          <w:rFonts w:cs="Arial"/>
        </w:rPr>
      </w:pPr>
    </w:p>
    <w:p w:rsidR="00E273F4" w:rsidRDefault="00E273F4" w:rsidP="00D50D3A">
      <w:pPr>
        <w:spacing w:after="0" w:line="240" w:lineRule="auto"/>
        <w:contextualSpacing/>
        <w:jc w:val="both"/>
        <w:rPr>
          <w:rFonts w:cs="Arial"/>
        </w:rPr>
      </w:pPr>
      <w:r w:rsidRPr="008E5100">
        <w:rPr>
          <w:rFonts w:cs="Arial"/>
        </w:rPr>
        <w:t>Se realizaron encuentros de sensibilización a funcionarios y funcionarias competentes frente al tema de violencia sexual contra niños, niñas y adolescentes y mesas de trabajo para la articulación de los procesos comunitarios e institucionales para la atención, protección y restablecimiento de derechos de niños, niñas y adolescentes indígenas víctimas de violencia sexual, en el pueblo indígena Totoró, departamento del Cauca y Embera en el departamento de Córdoba.</w:t>
      </w:r>
    </w:p>
    <w:p w:rsidR="00537437" w:rsidRPr="008E5100" w:rsidRDefault="00537437" w:rsidP="00D50D3A">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 xml:space="preserve">En cumplimiento del compromiso asumido en PND 2014 - 2018 y en los planes de salvaguarda de cada uno de estos pueblos, se suscribió el Convenio de Asociación No. 1557 de 2016, con la Corporación de Juristas Akubadaura, con el objeto de desarrollar espacios de participación y de deliberación que aporten al fortalecimiento de mecanismos interculturales propios para la atención integral y la recuperación de la armonía en las comunidades indígenas Embera, Wounnan, Awá y Nasa respecto del retorno digno y con garantía de derechos de los niños, niñas y adolescentes indígenas víctimas del reclutamiento forzado </w:t>
      </w:r>
      <w:r w:rsidR="00537437">
        <w:rPr>
          <w:rFonts w:cs="Arial"/>
        </w:rPr>
        <w:t>que retornan a sus comunidades.</w:t>
      </w:r>
    </w:p>
    <w:p w:rsidR="00537437" w:rsidRPr="002F3DA4" w:rsidRDefault="00537437" w:rsidP="00537437">
      <w:pPr>
        <w:spacing w:after="0" w:line="240" w:lineRule="auto"/>
        <w:ind w:left="360"/>
        <w:contextualSpacing/>
        <w:jc w:val="both"/>
        <w:rPr>
          <w:rFonts w:cs="Arial"/>
        </w:rPr>
      </w:pPr>
    </w:p>
    <w:p w:rsidR="00E273F4" w:rsidRDefault="00E273F4" w:rsidP="00D712DC">
      <w:pPr>
        <w:pStyle w:val="Prrafodelista"/>
        <w:numPr>
          <w:ilvl w:val="0"/>
          <w:numId w:val="10"/>
        </w:numPr>
        <w:spacing w:after="0" w:line="240" w:lineRule="auto"/>
        <w:contextualSpacing/>
        <w:jc w:val="both"/>
        <w:rPr>
          <w:rFonts w:cs="Arial"/>
        </w:rPr>
      </w:pPr>
      <w:r w:rsidRPr="002F3DA4">
        <w:rPr>
          <w:rFonts w:cs="Arial"/>
        </w:rPr>
        <w:t xml:space="preserve">En el marco del Convenio de Asociación No. 1557, con la Corporación de Juristas Akubadaura, se logró avanzar en la concertación de los planes de trabajo y metodologías con los cuatro pueblos indígenas. Los pueblos indígenas focalizados (Embera, en el departamento de Putumayo, Wounnan en el departamento del Valle del Cauca, Awá en el departamento de Nariño y Nasa en el departamento del Cauca) avanzaron en el reconocimiento de sus derechos como pueblos indígenas que han sufrido las consecuencias del conflicto armado y en los derechos de los niños, niñas y adolescentes víctimas del reclutamiento forzado. Se </w:t>
      </w:r>
      <w:r w:rsidRPr="002F3DA4">
        <w:rPr>
          <w:rFonts w:cs="Arial"/>
        </w:rPr>
        <w:lastRenderedPageBreak/>
        <w:t>logró apoyar un proceso de intercambio de experiencias entre los cuatro pueblos indígenas focalizados que facilitara la construcción de rutas propias para la atención de los niños, niñas y adolescentes indígenas desvinculados de los grupos armados. Se avanzó en la identificación de potencialidades y vulnerabilidades en torno a las dimensiones económicas, sociales, culturales, políticas y de seguridad con perspectiva de género, que se presentan en los entornos comunitarios de las zonas focalizadas. Se logró generar espacios de construcción que aporten al fortalecimiento de sus propios mecanismos interculturales para la atención integral y para la recuperación de la armonía a través del retorno de los niños, niñas y adolescentes indígenas víctimas del reclutamiento forzado a sus comunidades.</w:t>
      </w:r>
    </w:p>
    <w:p w:rsidR="00537437" w:rsidRPr="002F3DA4" w:rsidRDefault="00537437" w:rsidP="00537437">
      <w:pPr>
        <w:pStyle w:val="Prrafodelista"/>
        <w:spacing w:after="0" w:line="240" w:lineRule="auto"/>
        <w:ind w:left="360"/>
        <w:contextualSpacing/>
        <w:jc w:val="both"/>
        <w:rPr>
          <w:rFonts w:cs="Arial"/>
        </w:rPr>
      </w:pPr>
    </w:p>
    <w:p w:rsidR="00E273F4" w:rsidRDefault="00E273F4" w:rsidP="00D712DC">
      <w:pPr>
        <w:pStyle w:val="Prrafodelista"/>
        <w:numPr>
          <w:ilvl w:val="0"/>
          <w:numId w:val="10"/>
        </w:numPr>
        <w:spacing w:after="0" w:line="240" w:lineRule="auto"/>
        <w:contextualSpacing/>
        <w:jc w:val="both"/>
        <w:rPr>
          <w:rFonts w:cs="Arial"/>
        </w:rPr>
      </w:pPr>
      <w:r w:rsidRPr="002F3DA4">
        <w:rPr>
          <w:rFonts w:cs="Arial"/>
        </w:rPr>
        <w:t>Se ha avanzado con un 50% el cumplimiento de los compromisos asumidos en los 11 planes de salvaguarda concertados con los pueblos indígenas Siona, Kamentza, Embera, Wounnan, Wayúu, Uwa, Awa, Kokonuco, Totoró, Kofan, Inga y pueblos indígenas del Gran Resguardo de Caño Mochuelo</w:t>
      </w:r>
      <w:r w:rsidRPr="002F3DA4">
        <w:rPr>
          <w:rStyle w:val="Refdenotaalpie"/>
          <w:rFonts w:cs="Arial"/>
        </w:rPr>
        <w:footnoteReference w:id="38"/>
      </w:r>
      <w:r w:rsidRPr="002F3DA4">
        <w:rPr>
          <w:rFonts w:cs="Arial"/>
        </w:rPr>
        <w:t>.</w:t>
      </w:r>
    </w:p>
    <w:p w:rsidR="00537437" w:rsidRPr="00537437" w:rsidRDefault="00537437" w:rsidP="00537437">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Se construyó un memorando para orientar la atención de los niños, niñas y adolescentes indígenas en contextos de la práctica de la mendicidad, en concertación con las autoridades indígenas del pueblo Embera, para desarrollarse especialmente en los departamentos de Antioquia, Caldas, Risaralda, la ciudad de Bogotá, Valle del Cauca y Tolima. Se ha realizado seguimiento al cumplimiento de estos compromisos y asistencia técnic</w:t>
      </w:r>
      <w:r w:rsidR="00537437">
        <w:rPr>
          <w:rFonts w:cs="Arial"/>
        </w:rPr>
        <w:t>a a las Regionales focalizadas.</w:t>
      </w:r>
    </w:p>
    <w:p w:rsidR="00537437" w:rsidRPr="002F3DA4" w:rsidRDefault="00537437" w:rsidP="00537437">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Se efectuaron ajustes en el aplicativo del Sistema de Información Misional (SIM) y en el Registro Único de Información (RUI) -Niños, niñas y adolescentes desvinculados de los actores armados al margen de la ley-, para garantizar el registro de las acciones de articulación adelantadas por las Autoridades Administrativas en los procesos de restablecimiento de derechos de niños, niñas y adolescentes indígenas, de acuerdo a lo estipulado en el “Trámite Administrativo para el Restablecimiento de los Derechos de los niños, niñas y adolescentes pertenecientes a comunidades indígenas” con Resolución actualizada No. 1526 del 23 de febrero de 2016.</w:t>
      </w:r>
    </w:p>
    <w:p w:rsidR="00537437" w:rsidRPr="002F3DA4" w:rsidRDefault="00537437" w:rsidP="00537437">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 xml:space="preserve">Se han facilitado espacios de socialización de la ruta PARD - Anexo 7, en coordinación con el Ministerio del Interior. Se contó con la participación de autoridades indígenas y autoridades administrativas de los departamentos de Risaralda (10 autoridades administrativas y 70 autoridades indígenas), Norte de Santander (5 autoridades administrativas y 29 autoridades indígenas), Caquetá (5 autoridades administrativas y 32 autoridades indígenas), Valle del Cauca (39 autoridades indígenas y 37 autoridades administrativas), Caldas (39 autoridades </w:t>
      </w:r>
      <w:r w:rsidRPr="002F3DA4">
        <w:rPr>
          <w:rFonts w:cs="Arial"/>
        </w:rPr>
        <w:lastRenderedPageBreak/>
        <w:t>indígenas y 61 autoridades administrativas), Cauca (37 autoridades indígenas y 28 autoridades administrativas), Vichada (4 autoridades administrativas y 66 autoridades Indígenas), Guainía (22 autoridades indígenas, 2 autoridades administrativas), Putumayo (37 autoridades indígenas, 9 autoridades administrativas), Antioquia (32 autoridades administrativas) y Casanare (23 autoridades indígenas</w:t>
      </w:r>
      <w:r w:rsidR="00C65253">
        <w:rPr>
          <w:rFonts w:cs="Arial"/>
        </w:rPr>
        <w:t xml:space="preserve"> y 1 autoridad administrativa).</w:t>
      </w:r>
    </w:p>
    <w:p w:rsidR="00C65253" w:rsidRPr="002F3DA4" w:rsidRDefault="00C65253" w:rsidP="00C65253">
      <w:pPr>
        <w:spacing w:after="0" w:line="240" w:lineRule="auto"/>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Se avanzó en el cumplimiento del compromiso del Plan Nacional de Desarrollo 2014 - 2018 al “involucrar a las autoridades indígenas en las fases de la ruta PARD”, para ello, se realizaron los dos espacios técnicos con los delegados de la subcomisión de niñez indígena de la Mesa Permanente de Concertación (MPC), con el objetivo de revisar y ajustar el documento que específica el trámite para el restablecimiento de derechos de niños, niñas y adolescentes indígenas.</w:t>
      </w:r>
    </w:p>
    <w:p w:rsidR="00537437" w:rsidRPr="002F3DA4" w:rsidRDefault="00537437" w:rsidP="00537437">
      <w:pPr>
        <w:spacing w:after="0" w:line="240" w:lineRule="auto"/>
        <w:ind w:left="360"/>
        <w:contextualSpacing/>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Se realizó un evento de socialización del enfoque diferencial étnico en el marco de los procesos de protección a los niños, niñas y adolescentes indígenas, a los diferentes referentes de las Regionales ICBF.</w:t>
      </w:r>
    </w:p>
    <w:p w:rsidR="00537437" w:rsidRPr="002F3DA4" w:rsidRDefault="00537437" w:rsidP="00537437">
      <w:pPr>
        <w:spacing w:after="0" w:line="240" w:lineRule="auto"/>
        <w:contextualSpacing/>
        <w:jc w:val="both"/>
        <w:rPr>
          <w:rFonts w:cs="Arial"/>
        </w:rPr>
      </w:pPr>
    </w:p>
    <w:p w:rsidR="00E273F4" w:rsidRDefault="00E273F4" w:rsidP="00D712DC">
      <w:pPr>
        <w:numPr>
          <w:ilvl w:val="0"/>
          <w:numId w:val="10"/>
        </w:numPr>
        <w:spacing w:after="0" w:line="240" w:lineRule="auto"/>
        <w:jc w:val="both"/>
        <w:rPr>
          <w:rFonts w:cs="Arial"/>
        </w:rPr>
      </w:pPr>
      <w:r w:rsidRPr="002F3DA4">
        <w:rPr>
          <w:rFonts w:cs="Arial"/>
        </w:rPr>
        <w:t>A través de la estrategia de acompañamiento psicosocial “Unidad Móvil” se ha dado cumplimiento a los diferentes compromisos de Autos, Sentencias de la Corte y Planes de Salvaguarda relac</w:t>
      </w:r>
      <w:r w:rsidR="00537437">
        <w:rPr>
          <w:rFonts w:cs="Arial"/>
        </w:rPr>
        <w:t>ionados con población indígena.</w:t>
      </w:r>
    </w:p>
    <w:p w:rsidR="00537437" w:rsidRPr="002F3DA4" w:rsidRDefault="00537437" w:rsidP="00537437">
      <w:pPr>
        <w:spacing w:after="0" w:line="240" w:lineRule="auto"/>
        <w:jc w:val="both"/>
        <w:rPr>
          <w:rFonts w:cs="Arial"/>
        </w:rPr>
      </w:pPr>
    </w:p>
    <w:p w:rsidR="00E273F4" w:rsidRDefault="00E273F4" w:rsidP="00D712DC">
      <w:pPr>
        <w:numPr>
          <w:ilvl w:val="0"/>
          <w:numId w:val="10"/>
        </w:numPr>
        <w:spacing w:after="0" w:line="240" w:lineRule="auto"/>
        <w:jc w:val="both"/>
        <w:rPr>
          <w:rFonts w:cs="Arial"/>
        </w:rPr>
      </w:pPr>
      <w:r w:rsidRPr="002F3DA4">
        <w:rPr>
          <w:rFonts w:cs="Arial"/>
        </w:rPr>
        <w:t>14 Unidades Móviles cuentan con profesionales o promotores comunitarios indígenas que apoyan el proceso de interlocución y atención con los diferentes pueblos indígenas desde</w:t>
      </w:r>
      <w:r w:rsidR="00537437">
        <w:rPr>
          <w:rFonts w:cs="Arial"/>
        </w:rPr>
        <w:t xml:space="preserve"> un enfoque diferencial étnico.</w:t>
      </w:r>
    </w:p>
    <w:p w:rsidR="00537437" w:rsidRPr="002F3DA4" w:rsidRDefault="00537437" w:rsidP="00537437">
      <w:pPr>
        <w:spacing w:after="0" w:line="240" w:lineRule="auto"/>
        <w:jc w:val="both"/>
        <w:rPr>
          <w:rFonts w:cs="Arial"/>
        </w:rPr>
      </w:pPr>
    </w:p>
    <w:p w:rsidR="00E273F4" w:rsidRDefault="00E273F4" w:rsidP="00D712DC">
      <w:pPr>
        <w:numPr>
          <w:ilvl w:val="0"/>
          <w:numId w:val="10"/>
        </w:numPr>
        <w:spacing w:after="0" w:line="240" w:lineRule="auto"/>
        <w:contextualSpacing/>
        <w:jc w:val="both"/>
        <w:rPr>
          <w:rFonts w:cs="Arial"/>
        </w:rPr>
      </w:pPr>
      <w:r w:rsidRPr="002F3DA4">
        <w:rPr>
          <w:rFonts w:cs="Arial"/>
        </w:rPr>
        <w:t>Se realizó seguimiento a los planes de trabajo de los equipos de Unidades Móviles de las Regionales Meta, Risaralda, Guaviare, Cauca, Caldas, Cesar, Guainía, Guajira y Vaupés.</w:t>
      </w:r>
    </w:p>
    <w:p w:rsidR="007C502E" w:rsidRDefault="007C502E" w:rsidP="00CF6668"/>
    <w:p w:rsidR="00E50049" w:rsidRDefault="004146E3" w:rsidP="004146E3">
      <w:pPr>
        <w:rPr>
          <w:b/>
        </w:rPr>
      </w:pPr>
      <w:r>
        <w:rPr>
          <w:b/>
        </w:rPr>
        <w:t>3.8 ASEGURAMIENTO DE LA CALIDAD</w:t>
      </w:r>
    </w:p>
    <w:p w:rsidR="00E50049" w:rsidRPr="004B69AB" w:rsidRDefault="00E50049" w:rsidP="00E50049">
      <w:pPr>
        <w:spacing w:after="0" w:line="240" w:lineRule="auto"/>
        <w:jc w:val="both"/>
        <w:rPr>
          <w:rFonts w:cs="Arial"/>
        </w:rPr>
      </w:pPr>
      <w:r w:rsidRPr="004B69AB">
        <w:rPr>
          <w:rFonts w:cs="Arial"/>
        </w:rPr>
        <w:t xml:space="preserve">El artículo 5 del Decreto 987 de 2012 establece las funciones que se encuentran asignadas a la Oficina de Aseguramiento de la Calidad, teniendo como principales establecer los lineamientos para el otorgamiento, reconocimiento y renovación de personerías jurídicas y licencias de funcionamiento, así como coordinar la ejecución y seguimiento de las acciones de Inspección, Vigilancia y  Control. </w:t>
      </w:r>
    </w:p>
    <w:p w:rsidR="00E50049" w:rsidRPr="004B69AB" w:rsidRDefault="00E50049" w:rsidP="00E50049">
      <w:pPr>
        <w:spacing w:after="0" w:line="240" w:lineRule="auto"/>
        <w:jc w:val="both"/>
        <w:rPr>
          <w:rFonts w:cs="Arial"/>
        </w:rPr>
      </w:pPr>
    </w:p>
    <w:p w:rsidR="00E50049" w:rsidRPr="004B69AB" w:rsidRDefault="00E50049" w:rsidP="00E50049">
      <w:pPr>
        <w:spacing w:after="0" w:line="240" w:lineRule="auto"/>
        <w:jc w:val="both"/>
        <w:rPr>
          <w:rFonts w:cs="Arial"/>
        </w:rPr>
      </w:pPr>
      <w:r w:rsidRPr="004B69AB">
        <w:rPr>
          <w:rFonts w:cs="Arial"/>
        </w:rPr>
        <w:t>Dentro del nuevo modelo definido por la Dirección General del ICBF, la labor de la Oficina de Aseguramiento de la Calidad está enfocada en la realización de actividades de inspección, vigilancia y control sobre todas las personas naturales o jurídicas que alberguen o cuiden niños, niñas o adolescentes, mediante la realización de auditorías y visitas que podrán realizase de oficio o a petición de autoridad competente, o por queja o denuncia proveniente de cualquier ciudadano; así como las acciones de seguimiento y evaluación sobre las condiciones en la prestación del servicio, y la sustanciación y trámite de los procesos administrativos sancionatorios.</w:t>
      </w:r>
    </w:p>
    <w:p w:rsidR="00E50049" w:rsidRPr="004B69AB" w:rsidRDefault="00E50049" w:rsidP="00E50049">
      <w:pPr>
        <w:spacing w:after="0" w:line="240" w:lineRule="auto"/>
        <w:jc w:val="both"/>
        <w:rPr>
          <w:rFonts w:cs="Arial"/>
        </w:rPr>
      </w:pPr>
    </w:p>
    <w:p w:rsidR="00E50049" w:rsidRPr="004B69AB" w:rsidRDefault="00E50049" w:rsidP="00E50049">
      <w:pPr>
        <w:spacing w:after="0" w:line="240" w:lineRule="auto"/>
        <w:jc w:val="both"/>
        <w:rPr>
          <w:rFonts w:cs="Arial"/>
        </w:rPr>
      </w:pPr>
      <w:r w:rsidRPr="004B69AB">
        <w:rPr>
          <w:rFonts w:cs="Arial"/>
        </w:rPr>
        <w:lastRenderedPageBreak/>
        <w:t>Con el propósito de  dar cumplimiento a la estrategia institucional de realizar la evaluación de la calidad en la prestación de los servicios misionales del ICBF, la Oficina de Aseguramiento de la Calidad  tiene el compromiso de adelantar entre 2015 y 2018 la inspección a través de visitas y auditorías, con el fin de evaluar el cumplimiento de los requisitos legales, técnicos, administrativos y financieros establecidos en la normativa vigente a las instituciones que presenten el Servicio Público  de Bienestar Familiar</w:t>
      </w:r>
      <w:r w:rsidRPr="004B69AB">
        <w:rPr>
          <w:rStyle w:val="Refdenotaalpie"/>
          <w:rFonts w:cs="Arial"/>
        </w:rPr>
        <w:footnoteReference w:id="39"/>
      </w:r>
      <w:r w:rsidRPr="004B69AB">
        <w:rPr>
          <w:rFonts w:cs="Arial"/>
        </w:rPr>
        <w:t>.</w:t>
      </w:r>
    </w:p>
    <w:p w:rsidR="00E50049" w:rsidRPr="004B69AB" w:rsidRDefault="00E50049" w:rsidP="00E50049">
      <w:pPr>
        <w:spacing w:after="0" w:line="240" w:lineRule="auto"/>
        <w:jc w:val="both"/>
        <w:rPr>
          <w:rFonts w:cs="Arial"/>
        </w:rPr>
      </w:pPr>
    </w:p>
    <w:p w:rsidR="00E50049" w:rsidRPr="004B69AB" w:rsidRDefault="00E50049" w:rsidP="00E50049">
      <w:pPr>
        <w:spacing w:after="0" w:line="240" w:lineRule="auto"/>
        <w:jc w:val="both"/>
        <w:rPr>
          <w:rFonts w:cs="Arial"/>
        </w:rPr>
      </w:pPr>
      <w:r w:rsidRPr="004B69AB">
        <w:rPr>
          <w:rFonts w:cs="Arial"/>
        </w:rPr>
        <w:t>Para la vigencia 2016 la Oficina de Aseguramiento de la Calidad estableció los siguientes indicadores, cuyos resultados a diciembre de 2016 son:</w:t>
      </w:r>
    </w:p>
    <w:p w:rsidR="00E50049" w:rsidRPr="004B69AB" w:rsidRDefault="00E50049" w:rsidP="00E50049">
      <w:pPr>
        <w:spacing w:after="0" w:line="240" w:lineRule="auto"/>
        <w:jc w:val="both"/>
        <w:rPr>
          <w:rFonts w:cs="Arial"/>
        </w:rPr>
      </w:pPr>
      <w:r w:rsidRPr="004B69AB">
        <w:rPr>
          <w:rFonts w:cs="Arial"/>
        </w:rPr>
        <w:t xml:space="preserve"> </w:t>
      </w:r>
    </w:p>
    <w:p w:rsidR="00E50049" w:rsidRDefault="00E50049" w:rsidP="00D712DC">
      <w:pPr>
        <w:pStyle w:val="Prrafodelista"/>
        <w:numPr>
          <w:ilvl w:val="0"/>
          <w:numId w:val="109"/>
        </w:numPr>
        <w:spacing w:after="0" w:line="240" w:lineRule="auto"/>
        <w:jc w:val="both"/>
        <w:rPr>
          <w:rFonts w:cs="Arial"/>
          <w:bCs/>
        </w:rPr>
      </w:pPr>
      <w:r w:rsidRPr="004B69AB">
        <w:rPr>
          <w:rFonts w:cs="Arial"/>
          <w:b/>
          <w:bCs/>
        </w:rPr>
        <w:t>Indicador 1:</w:t>
      </w:r>
      <w:r w:rsidRPr="004B69AB">
        <w:rPr>
          <w:rFonts w:cs="Arial"/>
        </w:rPr>
        <w:t xml:space="preserve"> </w:t>
      </w:r>
      <w:r w:rsidRPr="004B69AB">
        <w:rPr>
          <w:rFonts w:cs="Arial"/>
          <w:bCs/>
        </w:rPr>
        <w:t xml:space="preserve">Número de visitas a entidades prestadoras del Servicio Público de </w:t>
      </w:r>
      <w:r>
        <w:rPr>
          <w:rFonts w:cs="Arial"/>
          <w:bCs/>
        </w:rPr>
        <w:t xml:space="preserve">Bienestar Familiar realizadas: </w:t>
      </w:r>
      <w:r w:rsidRPr="005B32F2">
        <w:rPr>
          <w:rFonts w:cs="Arial"/>
          <w:bCs/>
        </w:rPr>
        <w:t>66 visitas – estado óptimo.</w:t>
      </w:r>
    </w:p>
    <w:p w:rsidR="003A0576" w:rsidRPr="005B32F2" w:rsidRDefault="003A0576" w:rsidP="003A0576">
      <w:pPr>
        <w:pStyle w:val="Prrafodelista"/>
        <w:spacing w:after="0" w:line="240" w:lineRule="auto"/>
        <w:ind w:left="360"/>
        <w:jc w:val="both"/>
        <w:rPr>
          <w:rFonts w:cs="Arial"/>
          <w:bCs/>
        </w:rPr>
      </w:pPr>
    </w:p>
    <w:p w:rsidR="00E50049" w:rsidRPr="003A0576" w:rsidRDefault="00E50049" w:rsidP="00D712DC">
      <w:pPr>
        <w:pStyle w:val="Prrafodelista"/>
        <w:numPr>
          <w:ilvl w:val="0"/>
          <w:numId w:val="109"/>
        </w:numPr>
        <w:spacing w:after="0" w:line="240" w:lineRule="auto"/>
        <w:jc w:val="both"/>
        <w:rPr>
          <w:rFonts w:cs="Arial"/>
          <w:b/>
          <w:bCs/>
        </w:rPr>
      </w:pPr>
      <w:r w:rsidRPr="005B32F2">
        <w:rPr>
          <w:rFonts w:cs="Arial"/>
          <w:b/>
          <w:bCs/>
        </w:rPr>
        <w:t>Indicador 2:</w:t>
      </w:r>
      <w:r w:rsidRPr="005B32F2">
        <w:rPr>
          <w:rFonts w:cs="Arial"/>
          <w:bCs/>
        </w:rPr>
        <w:t xml:space="preserve"> Número de auditorías a entidades prestadoras del Servicio Público de Bienestar Familiar realizadas: 102 auditorías – estado óptimo.</w:t>
      </w:r>
    </w:p>
    <w:p w:rsidR="003A0576" w:rsidRPr="003A0576" w:rsidRDefault="003A0576" w:rsidP="003A0576">
      <w:pPr>
        <w:spacing w:after="0" w:line="240" w:lineRule="auto"/>
        <w:jc w:val="both"/>
        <w:rPr>
          <w:rFonts w:cs="Arial"/>
          <w:b/>
          <w:bCs/>
        </w:rPr>
      </w:pPr>
    </w:p>
    <w:p w:rsidR="00E50049" w:rsidRPr="005B32F2" w:rsidRDefault="00E50049" w:rsidP="00D712DC">
      <w:pPr>
        <w:pStyle w:val="Prrafodelista"/>
        <w:numPr>
          <w:ilvl w:val="0"/>
          <w:numId w:val="109"/>
        </w:numPr>
        <w:spacing w:after="0" w:line="240" w:lineRule="auto"/>
        <w:jc w:val="both"/>
        <w:rPr>
          <w:rFonts w:cs="Arial"/>
          <w:b/>
          <w:bCs/>
        </w:rPr>
      </w:pPr>
      <w:r w:rsidRPr="005B32F2">
        <w:rPr>
          <w:rFonts w:cs="Arial"/>
          <w:b/>
          <w:bCs/>
        </w:rPr>
        <w:t xml:space="preserve">Indicador 3: </w:t>
      </w:r>
      <w:r w:rsidRPr="005B32F2">
        <w:rPr>
          <w:rFonts w:cs="Arial"/>
          <w:bCs/>
        </w:rPr>
        <w:t>Numero de Instituciones prestadoras del Servicio Público de Bienestar Familiar a los cuales se les socializó la Norma Técnica de Empresa- ICBF- NTE 001: 50 instituciones – estado óptimo.</w:t>
      </w:r>
    </w:p>
    <w:p w:rsidR="00E50049" w:rsidRPr="004B69AB" w:rsidRDefault="00E50049" w:rsidP="00E50049">
      <w:pPr>
        <w:pStyle w:val="Default"/>
        <w:rPr>
          <w:rFonts w:ascii="Arial" w:hAnsi="Arial" w:cs="Arial"/>
          <w:color w:val="auto"/>
          <w:sz w:val="22"/>
          <w:szCs w:val="22"/>
        </w:rPr>
      </w:pPr>
      <w:r w:rsidRPr="004B69AB">
        <w:rPr>
          <w:rFonts w:ascii="Arial" w:hAnsi="Arial" w:cs="Arial"/>
          <w:color w:val="auto"/>
          <w:sz w:val="22"/>
          <w:szCs w:val="22"/>
        </w:rPr>
        <w:t xml:space="preserve">                   </w:t>
      </w:r>
    </w:p>
    <w:p w:rsidR="00E50049" w:rsidRPr="004B69AB" w:rsidRDefault="00E50049" w:rsidP="00E50049">
      <w:pPr>
        <w:spacing w:after="0" w:line="240" w:lineRule="auto"/>
        <w:jc w:val="both"/>
        <w:rPr>
          <w:rFonts w:cs="Arial"/>
        </w:rPr>
      </w:pPr>
      <w:r w:rsidRPr="004B69AB">
        <w:rPr>
          <w:rFonts w:cs="Arial"/>
        </w:rPr>
        <w:t>Adicional a lo anterior, durante la vigencia 2016, la Oficina de Aseguramiento de la Calidad realizó una revisión de la normativa aplicable a la prestación del Servicio Público de Bienestar Familiar, en especial a los Lineamientos Técnicos Administrativos correspondientes a cada modalidad de atención del Instituto, a partir de lo cual diseñó y actualizó los instrumentos tipo lista de chequeo con base en los aspectos exigibles a las entidades. Por medio de estas listas de chequeo, se cuenta con una estructura unificada y específica para cada modalidad evaluada que eleva la precisión en los criterios de evaluación, facilita la organización y desarrollo de las visitas o auditorías, y permite soportar la toma de decisiones en los resultados de la evaluación, generar planes de mejora con objetivos verificables, sustentar situaciones ante eventuales Procesos Administrativos Sancionatorios y generar recomendaciones para las Direcciones Misionales.</w:t>
      </w:r>
    </w:p>
    <w:p w:rsidR="00E50049" w:rsidRPr="004B69AB" w:rsidRDefault="00E50049" w:rsidP="00E50049">
      <w:pPr>
        <w:spacing w:after="0" w:line="240" w:lineRule="auto"/>
        <w:jc w:val="both"/>
        <w:rPr>
          <w:rFonts w:cs="Arial"/>
        </w:rPr>
      </w:pPr>
    </w:p>
    <w:p w:rsidR="00E50049" w:rsidRPr="004B69AB" w:rsidRDefault="00E50049" w:rsidP="00E50049">
      <w:pPr>
        <w:spacing w:after="0" w:line="240" w:lineRule="auto"/>
        <w:jc w:val="both"/>
        <w:rPr>
          <w:rFonts w:cs="Arial"/>
        </w:rPr>
      </w:pPr>
      <w:r w:rsidRPr="004B69AB">
        <w:rPr>
          <w:rFonts w:cs="Arial"/>
        </w:rPr>
        <w:t xml:space="preserve">Como resultado, durante la vigencia se actualizaron 64 listas de chequeo, de las cuales 57 corresponden a la modalidad de Protección y 7 a Primera Infancia. </w:t>
      </w:r>
    </w:p>
    <w:p w:rsidR="00E50049" w:rsidRPr="004B69AB" w:rsidRDefault="00E50049" w:rsidP="00E50049">
      <w:pPr>
        <w:spacing w:after="0" w:line="240" w:lineRule="auto"/>
        <w:jc w:val="both"/>
        <w:rPr>
          <w:rFonts w:cs="Arial"/>
        </w:rPr>
      </w:pPr>
    </w:p>
    <w:p w:rsidR="00E50049" w:rsidRPr="004B69AB" w:rsidRDefault="00E50049" w:rsidP="00E50049">
      <w:pPr>
        <w:spacing w:after="0" w:line="240" w:lineRule="auto"/>
        <w:jc w:val="both"/>
        <w:rPr>
          <w:rFonts w:cs="Arial"/>
        </w:rPr>
      </w:pPr>
      <w:r w:rsidRPr="004B69AB">
        <w:rPr>
          <w:rFonts w:cs="Arial"/>
        </w:rPr>
        <w:t>Así mismo, se realizó la construcción de los instrumentos para otorgar, renovar, suspender o negar Licencias de Funcionamiento para cada modalidad de Protección, contándose actualmente con 51 instrumentos; y, en el marco de la migración al nuevo modelo de procesos de acuerdo con la Resolución 8080 de 2016, se realizó la actualización de los procedimientos de auditorías, visitas de inspección, licencias de funcionamiento y caracterización del proceso de Inspección, Vigilancia y Control.</w:t>
      </w:r>
    </w:p>
    <w:p w:rsidR="00E50049" w:rsidRPr="004B69AB" w:rsidRDefault="00E50049" w:rsidP="00E50049">
      <w:pPr>
        <w:spacing w:after="0" w:line="240" w:lineRule="auto"/>
        <w:rPr>
          <w:rFonts w:cs="Arial"/>
        </w:rPr>
      </w:pPr>
    </w:p>
    <w:p w:rsidR="00E50049" w:rsidRPr="004B69AB" w:rsidRDefault="00E50049" w:rsidP="00E50049">
      <w:pPr>
        <w:spacing w:after="0" w:line="240" w:lineRule="auto"/>
        <w:jc w:val="both"/>
        <w:rPr>
          <w:rFonts w:cs="Arial"/>
        </w:rPr>
      </w:pPr>
      <w:r w:rsidRPr="004B69AB">
        <w:rPr>
          <w:rFonts w:cs="Arial"/>
        </w:rPr>
        <w:t xml:space="preserve">Las </w:t>
      </w:r>
      <w:r>
        <w:rPr>
          <w:rFonts w:cs="Arial"/>
        </w:rPr>
        <w:t xml:space="preserve">acciones realizadas </w:t>
      </w:r>
      <w:r w:rsidRPr="004B69AB">
        <w:rPr>
          <w:rFonts w:cs="Arial"/>
        </w:rPr>
        <w:t>en el periodo 2016 se sinte</w:t>
      </w:r>
      <w:bookmarkStart w:id="152" w:name="_Toc426972031"/>
      <w:r w:rsidRPr="004B69AB">
        <w:rPr>
          <w:rFonts w:cs="Arial"/>
        </w:rPr>
        <w:t xml:space="preserve">tizan en los siguientes ítems: </w:t>
      </w:r>
    </w:p>
    <w:p w:rsidR="00E50049" w:rsidRPr="004B69AB" w:rsidRDefault="00E50049" w:rsidP="00E50049">
      <w:pPr>
        <w:spacing w:after="0" w:line="240" w:lineRule="auto"/>
        <w:rPr>
          <w:rFonts w:cs="Arial"/>
        </w:rPr>
      </w:pPr>
    </w:p>
    <w:p w:rsidR="003A0576" w:rsidRDefault="00E50049" w:rsidP="00470DCA">
      <w:pPr>
        <w:pStyle w:val="Arialsinespacio"/>
        <w:numPr>
          <w:ilvl w:val="0"/>
          <w:numId w:val="214"/>
        </w:numPr>
        <w:rPr>
          <w:lang w:val="es-CO"/>
        </w:rPr>
      </w:pPr>
      <w:bookmarkStart w:id="153" w:name="_Toc469893790"/>
      <w:bookmarkEnd w:id="152"/>
      <w:r w:rsidRPr="00F51C47">
        <w:rPr>
          <w:b/>
        </w:rPr>
        <w:lastRenderedPageBreak/>
        <w:t>Acciones de inspección</w:t>
      </w:r>
      <w:bookmarkEnd w:id="153"/>
      <w:r w:rsidRPr="00F51C47">
        <w:rPr>
          <w:b/>
        </w:rPr>
        <w:t>:</w:t>
      </w:r>
      <w:r w:rsidRPr="004B69AB">
        <w:t xml:space="preserve"> </w:t>
      </w:r>
      <w:r w:rsidRPr="004B69AB">
        <w:rPr>
          <w:lang w:val="es-CO"/>
        </w:rPr>
        <w:t>S</w:t>
      </w:r>
      <w:r w:rsidRPr="004B69AB">
        <w:t xml:space="preserve">e </w:t>
      </w:r>
      <w:r w:rsidRPr="005B32F2">
        <w:t xml:space="preserve">realizaron en total </w:t>
      </w:r>
      <w:r w:rsidRPr="005B32F2">
        <w:rPr>
          <w:lang w:val="es-CO"/>
        </w:rPr>
        <w:t>168 acciones</w:t>
      </w:r>
      <w:r w:rsidRPr="005B32F2">
        <w:t xml:space="preserve"> de inspección</w:t>
      </w:r>
      <w:r w:rsidRPr="005B32F2">
        <w:rPr>
          <w:lang w:val="es-CO"/>
        </w:rPr>
        <w:t xml:space="preserve"> que se distribuyeron en 102 auditorías y 66 visitas, cuyo estado es </w:t>
      </w:r>
      <w:r w:rsidR="003A0576">
        <w:rPr>
          <w:lang w:val="es-CO"/>
        </w:rPr>
        <w:t>el siguiente:</w:t>
      </w:r>
    </w:p>
    <w:p w:rsidR="003A0576" w:rsidRPr="003A0576" w:rsidRDefault="003A0576" w:rsidP="003A0576">
      <w:pPr>
        <w:pStyle w:val="Arialsinespacio"/>
        <w:ind w:left="360"/>
        <w:rPr>
          <w:lang w:val="es-CO"/>
        </w:rPr>
      </w:pPr>
    </w:p>
    <w:p w:rsidR="00E50049" w:rsidRPr="003A0576" w:rsidRDefault="00E50049" w:rsidP="00D712DC">
      <w:pPr>
        <w:pStyle w:val="Prrafodelista"/>
        <w:numPr>
          <w:ilvl w:val="0"/>
          <w:numId w:val="111"/>
        </w:numPr>
        <w:spacing w:after="0" w:line="240" w:lineRule="auto"/>
        <w:jc w:val="both"/>
        <w:rPr>
          <w:rFonts w:cs="Arial"/>
          <w:color w:val="0070C0"/>
          <w:lang w:val="es-CO"/>
        </w:rPr>
      </w:pPr>
      <w:r w:rsidRPr="003A0576">
        <w:rPr>
          <w:rFonts w:cs="Arial"/>
          <w:b/>
          <w:lang w:val="es-CO"/>
        </w:rPr>
        <w:t>Visitas:</w:t>
      </w:r>
      <w:r w:rsidRPr="005B32F2">
        <w:rPr>
          <w:rFonts w:cs="Arial"/>
          <w:b/>
          <w:lang w:val="es-CO"/>
        </w:rPr>
        <w:t xml:space="preserve"> </w:t>
      </w:r>
      <w:r w:rsidRPr="005B32F2">
        <w:rPr>
          <w:rFonts w:cs="Arial"/>
          <w:lang w:val="es-CO"/>
        </w:rPr>
        <w:t>De las 66</w:t>
      </w:r>
      <w:r w:rsidRPr="005B32F2">
        <w:rPr>
          <w:rFonts w:cs="Arial"/>
          <w:color w:val="0070C0"/>
          <w:lang w:val="es-CO"/>
        </w:rPr>
        <w:t xml:space="preserve"> </w:t>
      </w:r>
      <w:r w:rsidRPr="005B32F2">
        <w:rPr>
          <w:rFonts w:cs="Arial"/>
          <w:lang w:val="es-CO"/>
        </w:rPr>
        <w:t>visitas realizadas, 22 se encuentran en plan de mejora, 5 cerradas y 39 en Proceso Administrativo Sancionatorio (13 planes de mejora cerrados); estas 39 visitas corresponden a 14 procesos sancionatorios.</w:t>
      </w:r>
    </w:p>
    <w:p w:rsidR="003A0576" w:rsidRPr="005B32F2" w:rsidRDefault="003A0576" w:rsidP="003A0576">
      <w:pPr>
        <w:pStyle w:val="Prrafodelista"/>
        <w:spacing w:after="0" w:line="240" w:lineRule="auto"/>
        <w:ind w:left="360"/>
        <w:jc w:val="both"/>
        <w:rPr>
          <w:rFonts w:cs="Arial"/>
          <w:color w:val="0070C0"/>
          <w:lang w:val="es-CO"/>
        </w:rPr>
      </w:pPr>
    </w:p>
    <w:p w:rsidR="00E50049" w:rsidRPr="005B32F2" w:rsidRDefault="00E50049" w:rsidP="00D712DC">
      <w:pPr>
        <w:pStyle w:val="Prrafodelista"/>
        <w:numPr>
          <w:ilvl w:val="0"/>
          <w:numId w:val="111"/>
        </w:numPr>
        <w:spacing w:after="0" w:line="240" w:lineRule="auto"/>
        <w:jc w:val="both"/>
        <w:rPr>
          <w:rFonts w:cs="Arial"/>
          <w:color w:val="0070C0"/>
          <w:lang w:val="es-CO"/>
        </w:rPr>
      </w:pPr>
      <w:r w:rsidRPr="003A0576">
        <w:rPr>
          <w:rFonts w:cs="Arial"/>
          <w:b/>
          <w:lang w:val="es-CO"/>
        </w:rPr>
        <w:t>Auditorías:</w:t>
      </w:r>
      <w:r w:rsidRPr="005B32F2">
        <w:rPr>
          <w:rFonts w:cs="Arial"/>
          <w:lang w:val="es-CO"/>
        </w:rPr>
        <w:t xml:space="preserve"> De las 102</w:t>
      </w:r>
      <w:r w:rsidRPr="005B32F2">
        <w:rPr>
          <w:rFonts w:cs="Arial"/>
          <w:color w:val="0070C0"/>
          <w:lang w:val="es-CO"/>
        </w:rPr>
        <w:t xml:space="preserve"> </w:t>
      </w:r>
      <w:r w:rsidRPr="005B32F2">
        <w:rPr>
          <w:rFonts w:cs="Arial"/>
          <w:lang w:val="es-CO"/>
        </w:rPr>
        <w:t xml:space="preserve">auditorías </w:t>
      </w:r>
      <w:r w:rsidRPr="005B32F2">
        <w:rPr>
          <w:rFonts w:cs="Arial"/>
        </w:rPr>
        <w:t xml:space="preserve">realizadas, 53 </w:t>
      </w:r>
      <w:r w:rsidRPr="005B32F2">
        <w:rPr>
          <w:rFonts w:cs="Arial"/>
          <w:lang w:val="es-CO"/>
        </w:rPr>
        <w:t>se encuentran en plan de mejora, 4 cerradas y 45 en Proceso Administrativo Sancionatorio (5 planes de mejora cerrados); estas 45 auditorías corresponden a 21 procesos sancionatorios.</w:t>
      </w:r>
    </w:p>
    <w:p w:rsidR="00E50049" w:rsidRPr="00AB6213" w:rsidRDefault="00E50049" w:rsidP="00E50049">
      <w:pPr>
        <w:pStyle w:val="Prrafodelista"/>
        <w:spacing w:after="0" w:line="240" w:lineRule="auto"/>
        <w:ind w:left="0"/>
        <w:jc w:val="both"/>
        <w:rPr>
          <w:rFonts w:cs="Arial"/>
          <w:color w:val="0070C0"/>
        </w:rPr>
      </w:pPr>
    </w:p>
    <w:p w:rsidR="00E50049" w:rsidRDefault="00E50049" w:rsidP="00470DCA">
      <w:pPr>
        <w:pStyle w:val="Prrafodelista"/>
        <w:numPr>
          <w:ilvl w:val="0"/>
          <w:numId w:val="213"/>
        </w:numPr>
        <w:spacing w:after="0" w:line="240" w:lineRule="auto"/>
        <w:jc w:val="both"/>
        <w:rPr>
          <w:rFonts w:cs="Arial"/>
        </w:rPr>
      </w:pPr>
      <w:bookmarkStart w:id="154" w:name="_Toc469893791"/>
      <w:r w:rsidRPr="00F51C47">
        <w:rPr>
          <w:rFonts w:cs="Arial"/>
        </w:rPr>
        <w:t>Licencias de funcionamiento – personerías jurídicas</w:t>
      </w:r>
      <w:bookmarkEnd w:id="154"/>
      <w:r w:rsidRPr="00F51C47">
        <w:rPr>
          <w:rFonts w:cs="Arial"/>
        </w:rPr>
        <w:t xml:space="preserve">: La Oficina ha adelantado las siguientes actividades en materia de reconocimiento de personerías jurídicas y otorgamiento o renovación de licencias de funcionamiento: </w:t>
      </w:r>
    </w:p>
    <w:p w:rsidR="003A0576" w:rsidRPr="00F51C47" w:rsidRDefault="003A0576" w:rsidP="003A0576">
      <w:pPr>
        <w:pStyle w:val="Prrafodelista"/>
        <w:spacing w:after="0" w:line="240" w:lineRule="auto"/>
        <w:ind w:left="360"/>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Videoconferencias con 128 servidores públicos a nivel nacional en el primer trimestre de 2016, a fin de cualificar el conocimiento sobre el proceso de Personerías Jurídicas y Licencias de Funcionamiento.</w:t>
      </w:r>
    </w:p>
    <w:p w:rsidR="003A0576" w:rsidRPr="004B69AB" w:rsidRDefault="003A0576" w:rsidP="004146E3">
      <w:pPr>
        <w:spacing w:after="0" w:line="240" w:lineRule="auto"/>
        <w:ind w:left="425"/>
        <w:jc w:val="both"/>
        <w:rPr>
          <w:rFonts w:cs="Arial"/>
        </w:rPr>
      </w:pPr>
    </w:p>
    <w:p w:rsidR="003A0576" w:rsidRDefault="00E50049" w:rsidP="004146E3">
      <w:pPr>
        <w:numPr>
          <w:ilvl w:val="0"/>
          <w:numId w:val="112"/>
        </w:numPr>
        <w:spacing w:after="0" w:line="240" w:lineRule="auto"/>
        <w:ind w:left="425" w:hanging="425"/>
        <w:jc w:val="both"/>
        <w:rPr>
          <w:rFonts w:cs="Arial"/>
        </w:rPr>
      </w:pPr>
      <w:r w:rsidRPr="004B69AB">
        <w:rPr>
          <w:rFonts w:cs="Arial"/>
        </w:rPr>
        <w:t>Realización del Encuentro Nacional de Enlaces de Aseguramiento de la Calidad, donde se capacitaron 40 profesionales de las 33 regionales del ICBF en temas relacionados con Personerías Jurídicas, Licencias de Funcionamiento y Sistema de Información OAC ONLINE.</w:t>
      </w:r>
    </w:p>
    <w:p w:rsidR="00E50049" w:rsidRPr="004B69AB" w:rsidRDefault="00E50049" w:rsidP="004146E3">
      <w:pPr>
        <w:spacing w:after="0" w:line="240" w:lineRule="auto"/>
        <w:jc w:val="both"/>
        <w:rPr>
          <w:rFonts w:cs="Arial"/>
        </w:rPr>
      </w:pPr>
      <w:r w:rsidRPr="004B69AB">
        <w:rPr>
          <w:rFonts w:cs="Arial"/>
        </w:rPr>
        <w:t xml:space="preserve"> </w:t>
      </w:r>
    </w:p>
    <w:p w:rsidR="00E50049" w:rsidRDefault="00E50049" w:rsidP="004146E3">
      <w:pPr>
        <w:numPr>
          <w:ilvl w:val="0"/>
          <w:numId w:val="112"/>
        </w:numPr>
        <w:spacing w:after="0" w:line="240" w:lineRule="auto"/>
        <w:ind w:left="425" w:hanging="425"/>
        <w:jc w:val="both"/>
        <w:rPr>
          <w:rFonts w:cs="Arial"/>
        </w:rPr>
      </w:pPr>
      <w:r w:rsidRPr="004B69AB">
        <w:rPr>
          <w:rFonts w:cs="Arial"/>
        </w:rPr>
        <w:t>Capacitación a ocho personas del Call Center del ICBF en el módulo de Personerías Jurídicas y Licencias de Funcionamiento del Sistema de Información OAC ONLINE, con el fin de que se dé respuesta a inquietudes y soluciones a errores y fallos del aplicativo.</w:t>
      </w:r>
    </w:p>
    <w:p w:rsidR="003A0576" w:rsidRPr="004B69AB" w:rsidRDefault="003A0576" w:rsidP="004146E3">
      <w:pPr>
        <w:spacing w:after="0" w:line="240" w:lineRule="auto"/>
        <w:jc w:val="both"/>
        <w:rPr>
          <w:rFonts w:cs="Arial"/>
        </w:rPr>
      </w:pPr>
    </w:p>
    <w:p w:rsidR="00E50049" w:rsidRPr="003A0576" w:rsidRDefault="00E50049" w:rsidP="004146E3">
      <w:pPr>
        <w:numPr>
          <w:ilvl w:val="0"/>
          <w:numId w:val="112"/>
        </w:numPr>
        <w:spacing w:after="0" w:line="240" w:lineRule="auto"/>
        <w:ind w:left="425" w:hanging="425"/>
        <w:jc w:val="both"/>
        <w:rPr>
          <w:rFonts w:cs="Arial"/>
        </w:rPr>
      </w:pPr>
      <w:r w:rsidRPr="004B69AB">
        <w:rPr>
          <w:rFonts w:cs="Arial"/>
        </w:rPr>
        <w:t>Envío de 35 directrices a los Directores Regionales del ICBF sobre la aplicación de la normativa vigente para el otorgamiento, reconocimiento, suspensión, renovación y cancelación de personerías jurídicas y licencias de funcionamiento</w:t>
      </w:r>
      <w:r w:rsidRPr="004B69AB">
        <w:rPr>
          <w:rFonts w:cs="Arial"/>
          <w:lang w:val="es-CO"/>
        </w:rPr>
        <w:t>.</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Asistencia técnica a cada una de la Regionales ICBF y personas interesadas frente a la aplicación de la normativa vigente, procedimientos, formatos e instrumentos para el otorgamiento, reconocimiento, suspensión, renovación y cancelación de personerías jurídicas y licencias de funcionamiento.</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Elaboración de 51 Instrumentos de Verificación de Requisitos para Licencias de Funcionamiento, publicados en la página Intranet del ICBF.</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 xml:space="preserve">Realización y publicación en la página intranet del ICBF de los procedimientos de </w:t>
      </w:r>
      <w:r w:rsidRPr="004B69AB">
        <w:rPr>
          <w:rFonts w:cs="Arial"/>
          <w:lang w:eastAsia="es-CO"/>
        </w:rPr>
        <w:t xml:space="preserve">“Licencias de Funcionamiento Madres Gestantes y Adopción V1”, “Licencias de Funcionamiento Regional V1” y </w:t>
      </w:r>
      <w:r w:rsidRPr="004B69AB">
        <w:rPr>
          <w:rFonts w:cs="Arial"/>
        </w:rPr>
        <w:t>“</w:t>
      </w:r>
      <w:r w:rsidRPr="004B69AB">
        <w:rPr>
          <w:rFonts w:cs="Arial"/>
          <w:lang w:eastAsia="es-CO"/>
        </w:rPr>
        <w:t>Personerías Jurídicas y Reformas Estatutarias a Entidades V1”.</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Seguimiento a las Direcciones Regionales frente al estado de licencias de funcionamiento próximas a vencer en el periodo.</w:t>
      </w:r>
    </w:p>
    <w:p w:rsidR="003A0576" w:rsidRPr="004B69AB" w:rsidRDefault="003A0576" w:rsidP="004146E3">
      <w:pPr>
        <w:spacing w:after="0" w:line="240" w:lineRule="auto"/>
        <w:ind w:left="425"/>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lastRenderedPageBreak/>
        <w:t>Verificación en el Registro de Prestadores de Servicios de Salud (REPS) de la fecha de inscripción y vencimiento de la inscripción de las entidades que prestan el Servicio Público de Bienestar a los niños, niñas, adolescentes y mayores de 18 años con discapacidad.</w:t>
      </w:r>
    </w:p>
    <w:p w:rsidR="003A0576" w:rsidRPr="004B69AB" w:rsidRDefault="003A0576" w:rsidP="004146E3">
      <w:pPr>
        <w:spacing w:after="0" w:line="240" w:lineRule="auto"/>
        <w:ind w:left="425"/>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Asistencia técnica a las y los Directores Regionales en relación con el estado de Habilitación en Salud de los operadores que actualmente están prestando el servicio en la modalidad de Discapacidad y D</w:t>
      </w:r>
      <w:r w:rsidR="003A0576">
        <w:rPr>
          <w:rFonts w:cs="Arial"/>
        </w:rPr>
        <w:t>iscapacidad Mental Psicosocial.</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Modificación de la Resolución 3899 de 2010 por medio de las Resoluciones 3435 de 2016 y 9555 de 2016.</w:t>
      </w:r>
    </w:p>
    <w:p w:rsidR="003A0576" w:rsidRPr="004B69AB" w:rsidRDefault="003A0576" w:rsidP="004146E3">
      <w:pPr>
        <w:spacing w:after="0" w:line="240" w:lineRule="auto"/>
        <w:jc w:val="both"/>
        <w:rPr>
          <w:rFonts w:cs="Arial"/>
        </w:rPr>
      </w:pPr>
    </w:p>
    <w:p w:rsidR="00E50049" w:rsidRDefault="00E50049" w:rsidP="004146E3">
      <w:pPr>
        <w:numPr>
          <w:ilvl w:val="0"/>
          <w:numId w:val="112"/>
        </w:numPr>
        <w:spacing w:after="0" w:line="240" w:lineRule="auto"/>
        <w:ind w:left="425" w:hanging="425"/>
        <w:jc w:val="both"/>
        <w:rPr>
          <w:rFonts w:cs="Arial"/>
        </w:rPr>
      </w:pPr>
      <w:r w:rsidRPr="004B69AB">
        <w:rPr>
          <w:rFonts w:cs="Arial"/>
        </w:rPr>
        <w:t>Consolidación a nivel nacional de la información sobre Licencias de Funcionamiento, para un total de 1.338 registros (936 Licencias de Funcionamiento de Protección  y 402 de SRPA).</w:t>
      </w:r>
    </w:p>
    <w:p w:rsidR="003A0576" w:rsidRPr="004B69AB" w:rsidRDefault="003A0576" w:rsidP="004146E3">
      <w:pPr>
        <w:spacing w:after="0" w:line="240" w:lineRule="auto"/>
        <w:jc w:val="both"/>
        <w:rPr>
          <w:rFonts w:cs="Arial"/>
        </w:rPr>
      </w:pPr>
    </w:p>
    <w:p w:rsidR="00E50049" w:rsidRPr="004B69AB" w:rsidRDefault="00E50049" w:rsidP="004146E3">
      <w:pPr>
        <w:numPr>
          <w:ilvl w:val="0"/>
          <w:numId w:val="112"/>
        </w:numPr>
        <w:spacing w:after="0" w:line="240" w:lineRule="auto"/>
        <w:ind w:left="425" w:hanging="425"/>
        <w:jc w:val="both"/>
        <w:rPr>
          <w:rFonts w:cs="Arial"/>
        </w:rPr>
      </w:pPr>
      <w:r w:rsidRPr="004B69AB">
        <w:rPr>
          <w:rFonts w:cs="Arial"/>
        </w:rPr>
        <w:t xml:space="preserve">Revisión de Licencias de Funcionamiento y Personerías Jurídicas en 14 Regionales del ICBF (Amazonas, Boyacá, Caldas, Cauca, Cesar, Chocó, La Guajira, Meta, Nariño, Norte de Santander, Pasto, Quindío, Valle del Cauca y Sucre), con el fin de mejorar el proceso de otorgamiento y renovación de licencias de funcionamiento y reconocimiento de personerías jurídicas. </w:t>
      </w:r>
    </w:p>
    <w:p w:rsidR="00E50049" w:rsidRPr="00641CEA" w:rsidRDefault="00E50049" w:rsidP="00E50049">
      <w:pPr>
        <w:spacing w:after="0" w:line="240" w:lineRule="auto"/>
        <w:ind w:left="1134"/>
        <w:jc w:val="both"/>
        <w:rPr>
          <w:rFonts w:cs="Arial"/>
        </w:rPr>
      </w:pPr>
    </w:p>
    <w:p w:rsidR="00E50049" w:rsidRPr="005B32F2" w:rsidRDefault="00E50049" w:rsidP="00D712DC">
      <w:pPr>
        <w:pStyle w:val="Prrafodelista"/>
        <w:numPr>
          <w:ilvl w:val="0"/>
          <w:numId w:val="110"/>
        </w:numPr>
        <w:spacing w:after="0" w:line="240" w:lineRule="auto"/>
        <w:jc w:val="both"/>
        <w:rPr>
          <w:rFonts w:cs="Arial"/>
          <w:color w:val="0070C0"/>
        </w:rPr>
      </w:pPr>
      <w:r w:rsidRPr="00641CEA">
        <w:rPr>
          <w:rFonts w:cs="Arial"/>
          <w:b/>
        </w:rPr>
        <w:t xml:space="preserve">Licencias de funcionamiento iniciales: </w:t>
      </w:r>
      <w:r w:rsidRPr="005B32F2">
        <w:rPr>
          <w:rFonts w:cs="Arial"/>
        </w:rPr>
        <w:t>durante 2016 se recibieron 335 solicitudes de Licencias Iniciales</w:t>
      </w:r>
      <w:r w:rsidRPr="005B32F2">
        <w:rPr>
          <w:rFonts w:cs="Arial"/>
          <w:b/>
        </w:rPr>
        <w:t xml:space="preserve"> </w:t>
      </w:r>
      <w:r w:rsidRPr="005B32F2">
        <w:rPr>
          <w:rFonts w:cs="Arial"/>
        </w:rPr>
        <w:t xml:space="preserve">a diciembre de 2016, se otorgaron 29 Licencias de Funcionamiento, se revisaron 132, se está en espera de respuesta por parte de la entidad de 116, se proyectaron actos administrativos de 6, se desistió de 35 y se cancelaron 17. </w:t>
      </w:r>
    </w:p>
    <w:p w:rsidR="00E50049" w:rsidRPr="00AB6213" w:rsidRDefault="00E50049" w:rsidP="00E50049">
      <w:pPr>
        <w:spacing w:after="0" w:line="240" w:lineRule="auto"/>
        <w:jc w:val="both"/>
        <w:rPr>
          <w:rFonts w:cs="Arial"/>
          <w:color w:val="0070C0"/>
        </w:rPr>
      </w:pPr>
    </w:p>
    <w:p w:rsidR="00E50049" w:rsidRPr="00641CEA" w:rsidRDefault="00E50049" w:rsidP="00D712DC">
      <w:pPr>
        <w:pStyle w:val="Prrafodelista"/>
        <w:numPr>
          <w:ilvl w:val="0"/>
          <w:numId w:val="110"/>
        </w:numPr>
        <w:spacing w:after="0" w:line="240" w:lineRule="auto"/>
        <w:jc w:val="both"/>
        <w:rPr>
          <w:rFonts w:cs="Arial"/>
        </w:rPr>
      </w:pPr>
      <w:r w:rsidRPr="00641CEA">
        <w:rPr>
          <w:rFonts w:cs="Arial"/>
          <w:b/>
        </w:rPr>
        <w:t xml:space="preserve">Renovación de Licencias de Funcionamiento de la modalidad Internado Gestantes y/o Lactantes y Programa de Adopción: </w:t>
      </w:r>
      <w:r w:rsidRPr="00641CEA">
        <w:rPr>
          <w:rFonts w:cs="Arial"/>
        </w:rPr>
        <w:t>durante 2016 se renovaron siete Licencias de Funcionamiento para el Programa de Adopción y 18 para el Programa Especializado de Gestantes y/o Lactantes.</w:t>
      </w:r>
    </w:p>
    <w:p w:rsidR="00E50049" w:rsidRPr="00641CEA" w:rsidRDefault="00E50049" w:rsidP="00E50049">
      <w:pPr>
        <w:spacing w:after="0" w:line="240" w:lineRule="auto"/>
        <w:ind w:left="1080"/>
        <w:jc w:val="both"/>
        <w:rPr>
          <w:rFonts w:cs="Arial"/>
        </w:rPr>
      </w:pPr>
    </w:p>
    <w:p w:rsidR="00E50049" w:rsidRPr="00641CEA" w:rsidRDefault="00E50049" w:rsidP="00D712DC">
      <w:pPr>
        <w:pStyle w:val="Prrafodelista"/>
        <w:numPr>
          <w:ilvl w:val="0"/>
          <w:numId w:val="110"/>
        </w:numPr>
        <w:spacing w:after="0" w:line="240" w:lineRule="auto"/>
        <w:jc w:val="both"/>
        <w:rPr>
          <w:rFonts w:cs="Arial"/>
        </w:rPr>
      </w:pPr>
      <w:r w:rsidRPr="00641CEA">
        <w:rPr>
          <w:rFonts w:cs="Arial"/>
          <w:b/>
        </w:rPr>
        <w:t xml:space="preserve">Licencias de Funcionamiento Transitorias del SRPA: </w:t>
      </w:r>
      <w:r w:rsidRPr="00641CEA">
        <w:rPr>
          <w:rFonts w:cs="Arial"/>
        </w:rPr>
        <w:t>De acuerdo con la Resolución 6130 de 2015, la Oficina de Aseguramiento de la Calidad en conjunto con la Dirección de Protección han realizado la revisión y aprobación de los planes de mejoramiento presentados por la entidades que operan las modalidades del SRPA, de lo cual se ha obtenido en 2016 160 planes aprobados, 9 planes desistidos y 52 en revisión.</w:t>
      </w:r>
    </w:p>
    <w:p w:rsidR="00E50049" w:rsidRPr="00641CEA" w:rsidRDefault="00E50049" w:rsidP="00E50049">
      <w:pPr>
        <w:spacing w:after="0" w:line="240" w:lineRule="auto"/>
        <w:jc w:val="both"/>
        <w:rPr>
          <w:rFonts w:cs="Arial"/>
        </w:rPr>
      </w:pPr>
    </w:p>
    <w:p w:rsidR="00E50049" w:rsidRPr="00F51C47" w:rsidRDefault="00E50049" w:rsidP="00D712DC">
      <w:pPr>
        <w:pStyle w:val="Prrafodelista"/>
        <w:numPr>
          <w:ilvl w:val="0"/>
          <w:numId w:val="110"/>
        </w:numPr>
        <w:spacing w:after="0" w:line="240" w:lineRule="auto"/>
        <w:jc w:val="both"/>
        <w:rPr>
          <w:rFonts w:cs="Arial"/>
          <w:b/>
        </w:rPr>
      </w:pPr>
      <w:bookmarkStart w:id="155" w:name="_Toc469893792"/>
      <w:r w:rsidRPr="00F51C47">
        <w:rPr>
          <w:rFonts w:cs="Arial"/>
          <w:b/>
        </w:rPr>
        <w:t>Procesos Administrativos Sancionatorios</w:t>
      </w:r>
      <w:bookmarkEnd w:id="155"/>
      <w:r w:rsidRPr="00F51C47">
        <w:rPr>
          <w:rFonts w:cs="Arial"/>
          <w:b/>
        </w:rPr>
        <w:t xml:space="preserve">: </w:t>
      </w:r>
      <w:r w:rsidRPr="00F51C47">
        <w:rPr>
          <w:rFonts w:cs="Arial"/>
        </w:rPr>
        <w:t>Durante 2016 se realizaron 10 comités de inspección, vigilancia y control, donde se conceptuó la procedencia de iniciar 53 procesos administrativos sancionatorios, de los cuales se han expedido 12 pliegos de cargos. Para los casos frente a los cuales se había conceptuado en 2014 y 2015, se elaboraron un total de 29 autos de cargos y se emitieron 8 fallos.</w:t>
      </w:r>
      <w:r w:rsidRPr="00F51C47">
        <w:rPr>
          <w:rFonts w:cs="Arial"/>
          <w:b/>
        </w:rPr>
        <w:t xml:space="preserve"> </w:t>
      </w:r>
    </w:p>
    <w:p w:rsidR="00E50049" w:rsidRPr="00E46852" w:rsidRDefault="00E50049" w:rsidP="00E50049">
      <w:pPr>
        <w:spacing w:after="0" w:line="240" w:lineRule="auto"/>
        <w:ind w:left="284" w:hanging="284"/>
        <w:jc w:val="both"/>
        <w:rPr>
          <w:rFonts w:cs="Arial"/>
        </w:rPr>
      </w:pPr>
    </w:p>
    <w:p w:rsidR="00E50049" w:rsidRDefault="00E50049" w:rsidP="00D712DC">
      <w:pPr>
        <w:pStyle w:val="Prrafodelista"/>
        <w:numPr>
          <w:ilvl w:val="0"/>
          <w:numId w:val="110"/>
        </w:numPr>
        <w:spacing w:after="0" w:line="240" w:lineRule="auto"/>
        <w:jc w:val="both"/>
        <w:rPr>
          <w:rFonts w:cs="Arial"/>
          <w:b/>
        </w:rPr>
      </w:pPr>
      <w:bookmarkStart w:id="156" w:name="_Toc469893793"/>
      <w:r w:rsidRPr="00F51C47">
        <w:rPr>
          <w:rFonts w:cs="Arial"/>
          <w:b/>
        </w:rPr>
        <w:t>Situaciones de reporte inmediato</w:t>
      </w:r>
      <w:bookmarkEnd w:id="156"/>
      <w:r w:rsidRPr="00F51C47">
        <w:rPr>
          <w:rFonts w:cs="Arial"/>
          <w:b/>
        </w:rPr>
        <w:t xml:space="preserve">: </w:t>
      </w:r>
      <w:r w:rsidRPr="00F51C47">
        <w:rPr>
          <w:rFonts w:cs="Arial"/>
        </w:rPr>
        <w:t xml:space="preserve">Frente a las 1.558 situaciones de reporte inmediato abiertas entre 2010, 2011, 2012, 2013 y 2014, se inició en 2016 la gestión de estos casos con las Regionales de Antioquia, Atlántico, Bogotá, Bolívar, Boyacá, Caldas, Caquetá, Casanare, Cesar, Chocó, Córdoba, Cundinamarca, Guaviare, Huila, Meta, Nariño, Norte de Santander, </w:t>
      </w:r>
      <w:r w:rsidRPr="00F51C47">
        <w:rPr>
          <w:rFonts w:cs="Arial"/>
        </w:rPr>
        <w:lastRenderedPageBreak/>
        <w:t>Putumayo, Quindío, Risaralda, Santander, Tolima, Valle, Vaupés y Vichada. Al final de este proceso se logró reducir a 461 el número de reportes abiertos.</w:t>
      </w:r>
      <w:bookmarkStart w:id="157" w:name="_Toc469893798"/>
    </w:p>
    <w:p w:rsidR="003A0576" w:rsidRPr="003A0576" w:rsidRDefault="003A0576" w:rsidP="003A0576">
      <w:pPr>
        <w:spacing w:after="0" w:line="240" w:lineRule="auto"/>
        <w:jc w:val="both"/>
        <w:rPr>
          <w:rFonts w:cs="Arial"/>
          <w:b/>
        </w:rPr>
      </w:pPr>
    </w:p>
    <w:p w:rsidR="00E50049" w:rsidRPr="00F51C47" w:rsidRDefault="00E50049" w:rsidP="00D712DC">
      <w:pPr>
        <w:pStyle w:val="Prrafodelista"/>
        <w:numPr>
          <w:ilvl w:val="0"/>
          <w:numId w:val="110"/>
        </w:numPr>
        <w:spacing w:after="0" w:line="240" w:lineRule="auto"/>
        <w:jc w:val="both"/>
        <w:rPr>
          <w:rFonts w:cs="Arial"/>
          <w:b/>
        </w:rPr>
      </w:pPr>
      <w:r w:rsidRPr="00F51C47">
        <w:rPr>
          <w:rFonts w:cs="Arial"/>
          <w:b/>
        </w:rPr>
        <w:t>Sistema de Información OAC ONLINE</w:t>
      </w:r>
      <w:bookmarkEnd w:id="157"/>
      <w:r w:rsidRPr="00F51C47">
        <w:rPr>
          <w:rFonts w:cs="Arial"/>
          <w:b/>
        </w:rPr>
        <w:t>:</w:t>
      </w:r>
      <w:r w:rsidRPr="00F51C47">
        <w:rPr>
          <w:rFonts w:cs="Arial"/>
        </w:rPr>
        <w:t xml:space="preserve"> Para 2016 se realizaron ajustes al Sistema de Información OAC Online, con lo cual se lograron crear los usuarios de cada una de las regionales del ICBF, actualizar la información sobre procedimientos relacionados con licencias y personerías jurídicas, entre otros resultados.</w:t>
      </w:r>
    </w:p>
    <w:p w:rsidR="00E50049" w:rsidRDefault="00E50049" w:rsidP="008A4675"/>
    <w:p w:rsidR="00E50049" w:rsidRDefault="004146E3" w:rsidP="004146E3">
      <w:pPr>
        <w:rPr>
          <w:b/>
        </w:rPr>
      </w:pPr>
      <w:r>
        <w:rPr>
          <w:b/>
        </w:rPr>
        <w:t xml:space="preserve">3.8.1 </w:t>
      </w:r>
      <w:r w:rsidR="00E50049" w:rsidRPr="00FD32E4">
        <w:rPr>
          <w:b/>
        </w:rPr>
        <w:t>Logros 2016</w:t>
      </w:r>
    </w:p>
    <w:p w:rsidR="00E50049" w:rsidRDefault="00E50049" w:rsidP="00470DCA">
      <w:pPr>
        <w:pStyle w:val="Prrafodelista"/>
        <w:numPr>
          <w:ilvl w:val="0"/>
          <w:numId w:val="206"/>
        </w:numPr>
        <w:spacing w:after="0" w:line="240" w:lineRule="auto"/>
        <w:jc w:val="both"/>
        <w:rPr>
          <w:rFonts w:cs="Arial"/>
          <w:lang w:eastAsia="es-CO"/>
        </w:rPr>
      </w:pPr>
      <w:r w:rsidRPr="006F6F89">
        <w:rPr>
          <w:rFonts w:cs="Arial"/>
          <w:lang w:eastAsia="es-CO"/>
        </w:rPr>
        <w:t>La modificación de la Resolución 3899 de 2010 a través de la Resolución 3435 de 2016</w:t>
      </w:r>
      <w:r>
        <w:rPr>
          <w:rFonts w:cs="Arial"/>
          <w:lang w:eastAsia="es-CO"/>
        </w:rPr>
        <w:t>,</w:t>
      </w:r>
      <w:r w:rsidRPr="006F6F89">
        <w:rPr>
          <w:rFonts w:cs="Arial"/>
          <w:lang w:eastAsia="es-CO"/>
        </w:rPr>
        <w:t xml:space="preserve"> donde se ampliaron las faltas en las que pueden estar incursas las entidades que prestan el servicio público de bienestar familiar, la competencia de la Oficina de Aseguramiento de la Calidad para otorgar o negar las licencias de funcionamiento iniciales para las modalidades de Protección</w:t>
      </w:r>
      <w:r>
        <w:rPr>
          <w:rFonts w:cs="Arial"/>
          <w:lang w:eastAsia="es-CO"/>
        </w:rPr>
        <w:t>,</w:t>
      </w:r>
      <w:r w:rsidRPr="006F6F89">
        <w:rPr>
          <w:rFonts w:cs="Arial"/>
          <w:lang w:eastAsia="es-CO"/>
        </w:rPr>
        <w:t xml:space="preserve"> con el fin de mejorar la calidad en la prestación del Servicio Público de Bienestar Familiar.</w:t>
      </w:r>
    </w:p>
    <w:p w:rsidR="00E50049" w:rsidRPr="006F6F89" w:rsidRDefault="00E50049" w:rsidP="00E50049">
      <w:pPr>
        <w:pStyle w:val="Prrafodelista"/>
        <w:spacing w:after="0" w:line="240" w:lineRule="auto"/>
        <w:ind w:left="360"/>
        <w:jc w:val="both"/>
        <w:rPr>
          <w:rFonts w:cs="Arial"/>
          <w:lang w:eastAsia="es-CO"/>
        </w:rPr>
      </w:pPr>
    </w:p>
    <w:p w:rsidR="00E50049" w:rsidRPr="006F6F89" w:rsidRDefault="00E50049" w:rsidP="00470DCA">
      <w:pPr>
        <w:pStyle w:val="Prrafodelista"/>
        <w:numPr>
          <w:ilvl w:val="0"/>
          <w:numId w:val="205"/>
        </w:numPr>
        <w:spacing w:after="0" w:line="240" w:lineRule="auto"/>
        <w:jc w:val="both"/>
        <w:rPr>
          <w:rFonts w:cs="Arial"/>
          <w:lang w:eastAsia="es-CO"/>
        </w:rPr>
      </w:pPr>
      <w:r w:rsidRPr="006F6F89">
        <w:rPr>
          <w:rFonts w:cs="Arial"/>
          <w:lang w:eastAsia="es-CO"/>
        </w:rPr>
        <w:t xml:space="preserve">La actualización y formulación de 64 listas de chequeo para acciones de </w:t>
      </w:r>
      <w:r>
        <w:rPr>
          <w:rFonts w:cs="Arial"/>
          <w:lang w:eastAsia="es-CO"/>
        </w:rPr>
        <w:t>inspección de acuerdo con</w:t>
      </w:r>
      <w:r w:rsidRPr="006F6F89">
        <w:rPr>
          <w:rFonts w:cs="Arial"/>
          <w:lang w:eastAsia="es-CO"/>
        </w:rPr>
        <w:t xml:space="preserve"> la modificación de los lineamientos técnico</w:t>
      </w:r>
      <w:r>
        <w:rPr>
          <w:rFonts w:cs="Arial"/>
          <w:lang w:eastAsia="es-CO"/>
        </w:rPr>
        <w:t>-</w:t>
      </w:r>
      <w:r w:rsidRPr="006F6F89">
        <w:rPr>
          <w:rFonts w:cs="Arial"/>
          <w:lang w:eastAsia="es-CO"/>
        </w:rPr>
        <w:t>administrativos</w:t>
      </w:r>
      <w:r>
        <w:rPr>
          <w:rFonts w:cs="Arial"/>
          <w:lang w:eastAsia="es-CO"/>
        </w:rPr>
        <w:t>,</w:t>
      </w:r>
      <w:r w:rsidRPr="006F6F89">
        <w:rPr>
          <w:rFonts w:cs="Arial"/>
          <w:lang w:eastAsia="es-CO"/>
        </w:rPr>
        <w:t xml:space="preserve"> lo cual permite contar con una estructura unificada y una especificidad para cada modalidad evaluada, precisión en los criterios a evaluar, mayor organización para el desarrollo de las visitas o auditorías, soportar la toma de decisiones a partir de los resultados de la evaluación, generar planes de mejora objetivos y verificables, sustentar situaciones ante eventuales Procesos Administrativos Sancionatorios y generar recomendaciones para las Direcciones Misionales.</w:t>
      </w:r>
    </w:p>
    <w:p w:rsidR="00E50049" w:rsidRPr="006F6F89" w:rsidRDefault="00E50049" w:rsidP="00E50049">
      <w:pPr>
        <w:spacing w:after="0" w:line="240" w:lineRule="auto"/>
        <w:jc w:val="both"/>
        <w:rPr>
          <w:rFonts w:cs="Arial"/>
          <w:lang w:eastAsia="es-CO"/>
        </w:rPr>
      </w:pPr>
    </w:p>
    <w:p w:rsidR="00E50049" w:rsidRDefault="00E50049" w:rsidP="00470DCA">
      <w:pPr>
        <w:pStyle w:val="Prrafodelista"/>
        <w:numPr>
          <w:ilvl w:val="0"/>
          <w:numId w:val="204"/>
        </w:numPr>
        <w:spacing w:after="0" w:line="240" w:lineRule="auto"/>
        <w:jc w:val="both"/>
        <w:rPr>
          <w:rFonts w:cs="Arial"/>
          <w:lang w:eastAsia="es-CO"/>
        </w:rPr>
      </w:pPr>
      <w:r w:rsidRPr="006F6F89">
        <w:rPr>
          <w:rFonts w:cs="Arial"/>
          <w:lang w:eastAsia="es-CO"/>
        </w:rPr>
        <w:t>La elaboración de 51 instrumentos para otorgar, renovar o negar Licencias de Funcionamiento de los programas de protección, con el fin de garantizar el cumplimiento de todos los requisitos legales, financieros y técnico administrativos.</w:t>
      </w:r>
    </w:p>
    <w:p w:rsidR="00E50049" w:rsidRPr="006F6F89" w:rsidRDefault="00E50049" w:rsidP="008A4675">
      <w:pPr>
        <w:rPr>
          <w:lang w:eastAsia="es-CO"/>
        </w:rPr>
      </w:pPr>
    </w:p>
    <w:p w:rsidR="00E50049" w:rsidRDefault="004146E3" w:rsidP="004146E3">
      <w:pPr>
        <w:rPr>
          <w:b/>
        </w:rPr>
      </w:pPr>
      <w:r>
        <w:rPr>
          <w:b/>
        </w:rPr>
        <w:t xml:space="preserve">3.8.2 </w:t>
      </w:r>
      <w:r w:rsidR="00E50049" w:rsidRPr="00FD32E4">
        <w:rPr>
          <w:b/>
        </w:rPr>
        <w:t>Retos 2017</w:t>
      </w:r>
    </w:p>
    <w:p w:rsidR="00E50049" w:rsidRDefault="00E50049" w:rsidP="00470DCA">
      <w:pPr>
        <w:pStyle w:val="Prrafodelista"/>
        <w:numPr>
          <w:ilvl w:val="0"/>
          <w:numId w:val="207"/>
        </w:numPr>
        <w:spacing w:after="0" w:line="240" w:lineRule="auto"/>
        <w:jc w:val="both"/>
        <w:rPr>
          <w:rFonts w:cs="Arial"/>
        </w:rPr>
      </w:pPr>
      <w:r>
        <w:rPr>
          <w:rFonts w:cs="Arial"/>
        </w:rPr>
        <w:t xml:space="preserve">Elevar </w:t>
      </w:r>
      <w:r w:rsidRPr="006F6F89">
        <w:rPr>
          <w:rFonts w:cs="Arial"/>
        </w:rPr>
        <w:t xml:space="preserve">la capacidad operativa </w:t>
      </w:r>
      <w:r>
        <w:rPr>
          <w:rFonts w:cs="Arial"/>
        </w:rPr>
        <w:t>de</w:t>
      </w:r>
      <w:r w:rsidRPr="006F6F89">
        <w:rPr>
          <w:rFonts w:cs="Arial"/>
        </w:rPr>
        <w:t xml:space="preserve"> la Oficina de Aseguramiento de la Calidad </w:t>
      </w:r>
      <w:r>
        <w:rPr>
          <w:rFonts w:cs="Arial"/>
        </w:rPr>
        <w:t xml:space="preserve">en materia de </w:t>
      </w:r>
      <w:r w:rsidRPr="006F6F89">
        <w:rPr>
          <w:rFonts w:cs="Arial"/>
        </w:rPr>
        <w:t>talento humano</w:t>
      </w:r>
      <w:r>
        <w:rPr>
          <w:rFonts w:cs="Arial"/>
        </w:rPr>
        <w:t xml:space="preserve">, a fin de </w:t>
      </w:r>
      <w:r w:rsidRPr="006F6F89">
        <w:rPr>
          <w:rFonts w:cs="Arial"/>
        </w:rPr>
        <w:t>atender oportunamente todas las solicitudes de licencias de funcionamiento de carácter inicial, así como todos los requerimientos frente a ac</w:t>
      </w:r>
      <w:r w:rsidR="003A0576">
        <w:rPr>
          <w:rFonts w:cs="Arial"/>
        </w:rPr>
        <w:t>ciones de inspección y control.</w:t>
      </w:r>
    </w:p>
    <w:p w:rsidR="003A0576" w:rsidRPr="006F6F89" w:rsidRDefault="003A0576" w:rsidP="003A0576">
      <w:pPr>
        <w:pStyle w:val="Prrafodelista"/>
        <w:spacing w:after="0" w:line="240" w:lineRule="auto"/>
        <w:ind w:left="360"/>
        <w:jc w:val="both"/>
        <w:rPr>
          <w:rFonts w:cs="Arial"/>
        </w:rPr>
      </w:pPr>
    </w:p>
    <w:p w:rsidR="00E50049" w:rsidRDefault="00E50049" w:rsidP="00470DCA">
      <w:pPr>
        <w:pStyle w:val="Prrafodelista"/>
        <w:numPr>
          <w:ilvl w:val="0"/>
          <w:numId w:val="207"/>
        </w:numPr>
        <w:spacing w:after="0" w:line="240" w:lineRule="auto"/>
        <w:jc w:val="both"/>
        <w:rPr>
          <w:rFonts w:cs="Arial"/>
        </w:rPr>
      </w:pPr>
      <w:r>
        <w:rPr>
          <w:rFonts w:cs="Arial"/>
        </w:rPr>
        <w:t>Reducir la alta rotación de</w:t>
      </w:r>
      <w:r w:rsidRPr="006F6F89">
        <w:rPr>
          <w:rFonts w:cs="Arial"/>
        </w:rPr>
        <w:t xml:space="preserve"> los equipos interdisciplinarios de las Regionales que realizan la verificación de requisitos legales, financieros y técnico-administrativos de Licencias de Funcionamiento.</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Pr>
          <w:rFonts w:cs="Arial"/>
        </w:rPr>
        <w:t>Mejorar el</w:t>
      </w:r>
      <w:r w:rsidRPr="006F6F89">
        <w:rPr>
          <w:rFonts w:cs="Arial"/>
        </w:rPr>
        <w:t xml:space="preserve"> registro de Personerías Jurídicas y Licencias de Funcionamiento.</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Pr>
          <w:rFonts w:cs="Arial"/>
        </w:rPr>
        <w:t>Fortalecer los niveles de</w:t>
      </w:r>
      <w:r w:rsidRPr="006F6F89">
        <w:rPr>
          <w:rFonts w:cs="Arial"/>
        </w:rPr>
        <w:t xml:space="preserve"> cumplimiento de los procedimientos de Personerías Jurídicas y Licencias de Funcionamiento a nivel Regional.</w:t>
      </w:r>
    </w:p>
    <w:p w:rsidR="00E50049" w:rsidRDefault="00E50049" w:rsidP="00470DCA">
      <w:pPr>
        <w:pStyle w:val="Prrafodelista"/>
        <w:numPr>
          <w:ilvl w:val="0"/>
          <w:numId w:val="207"/>
        </w:numPr>
        <w:spacing w:after="0" w:line="240" w:lineRule="auto"/>
        <w:jc w:val="both"/>
        <w:rPr>
          <w:rFonts w:cs="Arial"/>
        </w:rPr>
      </w:pPr>
      <w:r w:rsidRPr="006F6F89">
        <w:rPr>
          <w:rFonts w:cs="Arial"/>
        </w:rPr>
        <w:lastRenderedPageBreak/>
        <w:t>P</w:t>
      </w:r>
      <w:r>
        <w:rPr>
          <w:rFonts w:cs="Arial"/>
        </w:rPr>
        <w:t xml:space="preserve">oner en marcha </w:t>
      </w:r>
      <w:r w:rsidRPr="006F6F89">
        <w:rPr>
          <w:rFonts w:cs="Arial"/>
        </w:rPr>
        <w:t xml:space="preserve">el Sistema de Información OAC ONLINE, una vez la DIT actualice los manuales y videos tutoriales y aplique el control de cambios solicitado, con el fin de que la Oficina de Aseguramiento de la Calidad y la Oficina </w:t>
      </w:r>
      <w:r>
        <w:rPr>
          <w:rFonts w:cs="Arial"/>
        </w:rPr>
        <w:t>Asesora de Comunicaciones pueda</w:t>
      </w:r>
      <w:r w:rsidRPr="006F6F89">
        <w:rPr>
          <w:rFonts w:cs="Arial"/>
        </w:rPr>
        <w:t xml:space="preserve"> efectuar el lanzamiento </w:t>
      </w:r>
      <w:r w:rsidR="003A0576">
        <w:rPr>
          <w:rFonts w:cs="Arial"/>
        </w:rPr>
        <w:t>de la estrategia publicitaria.</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Continuar con la capacitación de los equipos interdisciplinarios que realizan la verificación de requisitos para el otorgamiento de licencias de funcionamiento y reconocimiento de personerías jurídicas en las Direcciones Regionales.</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 xml:space="preserve">Continuar con la asistencia técnica a cada una de la Regionales ICBF y personas interesadas en general </w:t>
      </w:r>
      <w:r>
        <w:rPr>
          <w:rFonts w:cs="Arial"/>
        </w:rPr>
        <w:t>en relación con</w:t>
      </w:r>
      <w:r w:rsidRPr="006F6F89">
        <w:rPr>
          <w:rFonts w:cs="Arial"/>
        </w:rPr>
        <w:t xml:space="preserve"> la aplicación de la normativa vigente, procedimientos, formatos e instrumentos para el otorgamiento, reconocimiento, suspensión, renovación y cancelación de personerías jurídicas y licencias de funcionamiento.</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Continuar con el seguimiento a las Direcciones Regionales frente al estado de licencias de funcionamiento enviando oficios a los Directores Regionales con alertas tempranas de las licencias de funcionamiento próximas a vencer en el periodo y solicita</w:t>
      </w:r>
      <w:r>
        <w:rPr>
          <w:rFonts w:cs="Arial"/>
        </w:rPr>
        <w:t>r</w:t>
      </w:r>
      <w:r w:rsidRPr="006F6F89">
        <w:rPr>
          <w:rFonts w:cs="Arial"/>
        </w:rPr>
        <w:t xml:space="preserve"> copia del acto administrativo correspondiente.</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Continuar con la revisión de Licencias de Funcionamiento y Personerías Jurídicas en las 19 Regionales faltantes del ICBF por visita.</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Adelantar el trámite de revisión de los diferentes componentes para el otorgamiento o no de las 163 solicitudes de licencias de Funcionamiento Iniciales pendientes.</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Renova</w:t>
      </w:r>
      <w:r>
        <w:rPr>
          <w:rFonts w:cs="Arial"/>
        </w:rPr>
        <w:t>r las</w:t>
      </w:r>
      <w:r w:rsidRPr="006F6F89">
        <w:rPr>
          <w:rFonts w:cs="Arial"/>
        </w:rPr>
        <w:t xml:space="preserve"> Licencias de Funcionamiento para los programas de Gestantes y/o Lactantes y Adopción.</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Revis</w:t>
      </w:r>
      <w:r>
        <w:rPr>
          <w:rFonts w:cs="Arial"/>
        </w:rPr>
        <w:t xml:space="preserve">ar </w:t>
      </w:r>
      <w:r w:rsidRPr="006F6F89">
        <w:rPr>
          <w:rFonts w:cs="Arial"/>
        </w:rPr>
        <w:t>y aproba</w:t>
      </w:r>
      <w:r>
        <w:rPr>
          <w:rFonts w:cs="Arial"/>
        </w:rPr>
        <w:t>r los</w:t>
      </w:r>
      <w:r w:rsidRPr="006F6F89">
        <w:rPr>
          <w:rFonts w:cs="Arial"/>
        </w:rPr>
        <w:t xml:space="preserve"> 52 Planes de Mejoramiento para otorgar Licencias de Funcionamiento Transitorias del SRPA.</w:t>
      </w:r>
    </w:p>
    <w:p w:rsidR="003A0576" w:rsidRPr="003A0576" w:rsidRDefault="003A0576" w:rsidP="003A0576">
      <w:pPr>
        <w:spacing w:after="0" w:line="240" w:lineRule="auto"/>
        <w:jc w:val="both"/>
        <w:rPr>
          <w:rFonts w:cs="Arial"/>
        </w:rPr>
      </w:pPr>
    </w:p>
    <w:p w:rsidR="00E50049" w:rsidRDefault="00E50049" w:rsidP="00470DCA">
      <w:pPr>
        <w:pStyle w:val="Prrafodelista"/>
        <w:numPr>
          <w:ilvl w:val="0"/>
          <w:numId w:val="207"/>
        </w:numPr>
        <w:spacing w:after="0" w:line="240" w:lineRule="auto"/>
        <w:jc w:val="both"/>
        <w:rPr>
          <w:rFonts w:cs="Arial"/>
        </w:rPr>
      </w:pPr>
      <w:r w:rsidRPr="006F6F89">
        <w:rPr>
          <w:rFonts w:cs="Arial"/>
        </w:rPr>
        <w:t>Realizar seguimiento a los 461 casos que siguen abiertos y a los oficios generados para las Regionales que aún tienen Situaciones de Reporte Inmediato de las vigencias 2010, 2011, 2012, 2013 y 2014.</w:t>
      </w:r>
    </w:p>
    <w:p w:rsidR="00E50049" w:rsidRDefault="00E50049" w:rsidP="007C502E">
      <w:pPr>
        <w:spacing w:after="0" w:line="240" w:lineRule="auto"/>
        <w:contextualSpacing/>
        <w:jc w:val="both"/>
        <w:rPr>
          <w:rFonts w:cs="Arial"/>
        </w:rPr>
      </w:pPr>
    </w:p>
    <w:p w:rsidR="00E50049" w:rsidRDefault="00E50049">
      <w:pPr>
        <w:spacing w:after="0" w:line="240" w:lineRule="auto"/>
        <w:rPr>
          <w:rFonts w:cs="Arial"/>
        </w:rPr>
      </w:pPr>
      <w:r>
        <w:rPr>
          <w:rFonts w:cs="Arial"/>
        </w:rPr>
        <w:br w:type="page"/>
      </w:r>
    </w:p>
    <w:p w:rsidR="000506C4" w:rsidRPr="004146E3" w:rsidRDefault="000506C4" w:rsidP="004146E3">
      <w:pPr>
        <w:pStyle w:val="Prrafodelista"/>
        <w:numPr>
          <w:ilvl w:val="0"/>
          <w:numId w:val="33"/>
        </w:numPr>
        <w:spacing w:after="0" w:line="240" w:lineRule="auto"/>
        <w:jc w:val="both"/>
        <w:outlineLvl w:val="0"/>
        <w:rPr>
          <w:rFonts w:cs="Arial"/>
          <w:b/>
        </w:rPr>
      </w:pPr>
      <w:bookmarkStart w:id="158" w:name="_Toc473581444"/>
      <w:r w:rsidRPr="004146E3">
        <w:rPr>
          <w:rFonts w:cs="Arial"/>
          <w:b/>
        </w:rPr>
        <w:lastRenderedPageBreak/>
        <w:t>TRANSPARENCIA, PARTICIPACIÓN Y SERVICIO AL CIUDADANO</w:t>
      </w:r>
      <w:bookmarkEnd w:id="158"/>
    </w:p>
    <w:p w:rsidR="00C64AF6" w:rsidRPr="00D35939" w:rsidRDefault="00C64AF6" w:rsidP="00C64AF6">
      <w:pPr>
        <w:spacing w:after="0" w:line="240" w:lineRule="auto"/>
        <w:jc w:val="both"/>
        <w:rPr>
          <w:rFonts w:cs="Arial"/>
        </w:rPr>
      </w:pPr>
    </w:p>
    <w:p w:rsidR="00823561" w:rsidRPr="00823561" w:rsidRDefault="00823561" w:rsidP="004146E3">
      <w:pPr>
        <w:pStyle w:val="Prrafodelista"/>
        <w:keepNext/>
        <w:keepLines/>
        <w:numPr>
          <w:ilvl w:val="0"/>
          <w:numId w:val="33"/>
        </w:numPr>
        <w:spacing w:before="40" w:after="0" w:line="240" w:lineRule="auto"/>
        <w:outlineLvl w:val="1"/>
        <w:rPr>
          <w:rFonts w:eastAsiaTheme="majorEastAsia" w:cs="Arial"/>
          <w:b/>
          <w:vanish/>
        </w:rPr>
      </w:pPr>
      <w:bookmarkStart w:id="159" w:name="_Toc473508494"/>
      <w:bookmarkStart w:id="160" w:name="_Toc473508569"/>
      <w:bookmarkStart w:id="161" w:name="_Toc473509149"/>
      <w:bookmarkStart w:id="162" w:name="_Toc473525882"/>
      <w:bookmarkStart w:id="163" w:name="_Toc473526367"/>
      <w:bookmarkStart w:id="164" w:name="_Toc473527430"/>
      <w:bookmarkStart w:id="165" w:name="_Toc473529424"/>
      <w:bookmarkStart w:id="166" w:name="_Toc473539915"/>
      <w:bookmarkStart w:id="167" w:name="_Toc473540083"/>
      <w:bookmarkStart w:id="168" w:name="_Toc473540185"/>
      <w:bookmarkStart w:id="169" w:name="_Toc473540636"/>
      <w:bookmarkStart w:id="170" w:name="_Toc473541159"/>
      <w:bookmarkStart w:id="171" w:name="_Toc473541248"/>
      <w:bookmarkStart w:id="172" w:name="_Toc473541647"/>
      <w:bookmarkStart w:id="173" w:name="_Toc473561588"/>
      <w:bookmarkStart w:id="174" w:name="_Toc473581445"/>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823561" w:rsidRPr="00823561" w:rsidRDefault="00823561" w:rsidP="004146E3">
      <w:pPr>
        <w:pStyle w:val="Prrafodelista"/>
        <w:keepNext/>
        <w:keepLines/>
        <w:numPr>
          <w:ilvl w:val="0"/>
          <w:numId w:val="33"/>
        </w:numPr>
        <w:spacing w:before="40" w:after="0" w:line="240" w:lineRule="auto"/>
        <w:outlineLvl w:val="1"/>
        <w:rPr>
          <w:rFonts w:eastAsiaTheme="majorEastAsia" w:cs="Arial"/>
          <w:b/>
          <w:vanish/>
        </w:rPr>
      </w:pPr>
      <w:bookmarkStart w:id="175" w:name="_Toc473508495"/>
      <w:bookmarkStart w:id="176" w:name="_Toc473508570"/>
      <w:bookmarkStart w:id="177" w:name="_Toc473509150"/>
      <w:bookmarkStart w:id="178" w:name="_Toc473525883"/>
      <w:bookmarkStart w:id="179" w:name="_Toc473526368"/>
      <w:bookmarkStart w:id="180" w:name="_Toc473527431"/>
      <w:bookmarkStart w:id="181" w:name="_Toc473529425"/>
      <w:bookmarkStart w:id="182" w:name="_Toc473539916"/>
      <w:bookmarkStart w:id="183" w:name="_Toc473540084"/>
      <w:bookmarkStart w:id="184" w:name="_Toc473540186"/>
      <w:bookmarkStart w:id="185" w:name="_Toc473540637"/>
      <w:bookmarkStart w:id="186" w:name="_Toc473541160"/>
      <w:bookmarkStart w:id="187" w:name="_Toc473541249"/>
      <w:bookmarkStart w:id="188" w:name="_Toc473541648"/>
      <w:bookmarkStart w:id="189" w:name="_Toc473561589"/>
      <w:bookmarkStart w:id="190" w:name="_Toc473581446"/>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823561" w:rsidRPr="00823561" w:rsidRDefault="00823561" w:rsidP="004146E3">
      <w:pPr>
        <w:pStyle w:val="Prrafodelista"/>
        <w:keepNext/>
        <w:keepLines/>
        <w:numPr>
          <w:ilvl w:val="0"/>
          <w:numId w:val="33"/>
        </w:numPr>
        <w:spacing w:before="40" w:after="0" w:line="240" w:lineRule="auto"/>
        <w:outlineLvl w:val="1"/>
        <w:rPr>
          <w:rFonts w:eastAsiaTheme="majorEastAsia" w:cs="Arial"/>
          <w:b/>
          <w:vanish/>
        </w:rPr>
      </w:pPr>
      <w:bookmarkStart w:id="191" w:name="_Toc473508496"/>
      <w:bookmarkStart w:id="192" w:name="_Toc473508571"/>
      <w:bookmarkStart w:id="193" w:name="_Toc473509151"/>
      <w:bookmarkStart w:id="194" w:name="_Toc473525884"/>
      <w:bookmarkStart w:id="195" w:name="_Toc473526369"/>
      <w:bookmarkStart w:id="196" w:name="_Toc473527432"/>
      <w:bookmarkStart w:id="197" w:name="_Toc473529426"/>
      <w:bookmarkStart w:id="198" w:name="_Toc473539917"/>
      <w:bookmarkStart w:id="199" w:name="_Toc473540085"/>
      <w:bookmarkStart w:id="200" w:name="_Toc473540187"/>
      <w:bookmarkStart w:id="201" w:name="_Toc473540638"/>
      <w:bookmarkStart w:id="202" w:name="_Toc473541161"/>
      <w:bookmarkStart w:id="203" w:name="_Toc473541250"/>
      <w:bookmarkStart w:id="204" w:name="_Toc473541649"/>
      <w:bookmarkStart w:id="205" w:name="_Toc473561590"/>
      <w:bookmarkStart w:id="206" w:name="_Toc473581447"/>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823561" w:rsidRPr="00823561" w:rsidRDefault="00823561" w:rsidP="004146E3">
      <w:pPr>
        <w:pStyle w:val="Prrafodelista"/>
        <w:keepNext/>
        <w:keepLines/>
        <w:numPr>
          <w:ilvl w:val="0"/>
          <w:numId w:val="33"/>
        </w:numPr>
        <w:spacing w:before="40" w:after="0" w:line="240" w:lineRule="auto"/>
        <w:outlineLvl w:val="1"/>
        <w:rPr>
          <w:rFonts w:eastAsiaTheme="majorEastAsia" w:cs="Arial"/>
          <w:b/>
          <w:vanish/>
        </w:rPr>
      </w:pPr>
      <w:bookmarkStart w:id="207" w:name="_Toc473508497"/>
      <w:bookmarkStart w:id="208" w:name="_Toc473508572"/>
      <w:bookmarkStart w:id="209" w:name="_Toc473509152"/>
      <w:bookmarkStart w:id="210" w:name="_Toc473525885"/>
      <w:bookmarkStart w:id="211" w:name="_Toc473526370"/>
      <w:bookmarkStart w:id="212" w:name="_Toc473527433"/>
      <w:bookmarkStart w:id="213" w:name="_Toc473529427"/>
      <w:bookmarkStart w:id="214" w:name="_Toc473539918"/>
      <w:bookmarkStart w:id="215" w:name="_Toc473540086"/>
      <w:bookmarkStart w:id="216" w:name="_Toc473540188"/>
      <w:bookmarkStart w:id="217" w:name="_Toc473540639"/>
      <w:bookmarkStart w:id="218" w:name="_Toc473541162"/>
      <w:bookmarkStart w:id="219" w:name="_Toc473541251"/>
      <w:bookmarkStart w:id="220" w:name="_Toc473541650"/>
      <w:bookmarkStart w:id="221" w:name="_Toc473561591"/>
      <w:bookmarkStart w:id="222" w:name="_Toc473581448"/>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823561" w:rsidRPr="00823561" w:rsidRDefault="00823561" w:rsidP="004146E3">
      <w:pPr>
        <w:pStyle w:val="Prrafodelista"/>
        <w:keepNext/>
        <w:keepLines/>
        <w:numPr>
          <w:ilvl w:val="0"/>
          <w:numId w:val="33"/>
        </w:numPr>
        <w:spacing w:before="40" w:after="0" w:line="240" w:lineRule="auto"/>
        <w:outlineLvl w:val="1"/>
        <w:rPr>
          <w:rFonts w:eastAsiaTheme="majorEastAsia" w:cs="Arial"/>
          <w:b/>
          <w:vanish/>
        </w:rPr>
      </w:pPr>
      <w:bookmarkStart w:id="223" w:name="_Toc473508498"/>
      <w:bookmarkStart w:id="224" w:name="_Toc473508573"/>
      <w:bookmarkStart w:id="225" w:name="_Toc473509153"/>
      <w:bookmarkStart w:id="226" w:name="_Toc473525886"/>
      <w:bookmarkStart w:id="227" w:name="_Toc473526371"/>
      <w:bookmarkStart w:id="228" w:name="_Toc473527434"/>
      <w:bookmarkStart w:id="229" w:name="_Toc473529428"/>
      <w:bookmarkStart w:id="230" w:name="_Toc473539919"/>
      <w:bookmarkStart w:id="231" w:name="_Toc473540087"/>
      <w:bookmarkStart w:id="232" w:name="_Toc473540189"/>
      <w:bookmarkStart w:id="233" w:name="_Toc473540640"/>
      <w:bookmarkStart w:id="234" w:name="_Toc473541163"/>
      <w:bookmarkStart w:id="235" w:name="_Toc473541252"/>
      <w:bookmarkStart w:id="236" w:name="_Toc473541651"/>
      <w:bookmarkStart w:id="237" w:name="_Toc473561592"/>
      <w:bookmarkStart w:id="238" w:name="_Toc4735814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C64AF6" w:rsidRPr="004146E3" w:rsidRDefault="004146E3" w:rsidP="004146E3">
      <w:pPr>
        <w:keepNext/>
        <w:keepLines/>
        <w:spacing w:before="40" w:after="0" w:line="240" w:lineRule="auto"/>
        <w:outlineLvl w:val="1"/>
        <w:rPr>
          <w:rFonts w:eastAsiaTheme="majorEastAsia" w:cs="Arial"/>
          <w:b/>
        </w:rPr>
      </w:pPr>
      <w:bookmarkStart w:id="239" w:name="_Toc473581450"/>
      <w:r>
        <w:rPr>
          <w:rFonts w:eastAsiaTheme="majorEastAsia" w:cs="Arial"/>
          <w:b/>
        </w:rPr>
        <w:t xml:space="preserve">4.1 </w:t>
      </w:r>
      <w:r w:rsidR="00C64AF6" w:rsidRPr="004146E3">
        <w:rPr>
          <w:rFonts w:eastAsiaTheme="majorEastAsia" w:cs="Arial"/>
          <w:b/>
        </w:rPr>
        <w:t>Transparencia y acceso a la información pública</w:t>
      </w:r>
      <w:bookmarkEnd w:id="239"/>
    </w:p>
    <w:p w:rsidR="00D35939" w:rsidRPr="008A4675" w:rsidRDefault="00D35939" w:rsidP="00C64AF6">
      <w:pPr>
        <w:rPr>
          <w:rFonts w:eastAsiaTheme="majorEastAsia"/>
          <w:b/>
        </w:rPr>
      </w:pPr>
    </w:p>
    <w:p w:rsidR="00D35939" w:rsidRPr="00D35939" w:rsidRDefault="00D35939" w:rsidP="00D712DC">
      <w:pPr>
        <w:numPr>
          <w:ilvl w:val="0"/>
          <w:numId w:val="44"/>
        </w:numPr>
        <w:contextualSpacing/>
        <w:jc w:val="both"/>
        <w:rPr>
          <w:rFonts w:cs="Arial"/>
          <w:b/>
          <w:vanish/>
        </w:rPr>
      </w:pPr>
    </w:p>
    <w:p w:rsidR="00D35939" w:rsidRPr="00D35939" w:rsidRDefault="00D35939" w:rsidP="00D35939">
      <w:pPr>
        <w:jc w:val="both"/>
        <w:rPr>
          <w:rFonts w:cs="Arial"/>
        </w:rPr>
      </w:pPr>
      <w:r w:rsidRPr="00D35939">
        <w:rPr>
          <w:rFonts w:cs="Arial"/>
        </w:rPr>
        <w:t xml:space="preserve">En materia de transparencia, participación y servicio al ciudadano, se cuenta con indicadores en tablero de control, que corresponden a la línea de política pública del Decreto 2482 de 2012, </w:t>
      </w:r>
      <w:r w:rsidRPr="00D35939">
        <w:rPr>
          <w:rFonts w:cs="Arial"/>
          <w:i/>
        </w:rPr>
        <w:t>“Por el cual se establecen los lineamientos generales para la integración de la planeación y la gestión”</w:t>
      </w:r>
    </w:p>
    <w:p w:rsidR="00D35939" w:rsidRPr="00D35939" w:rsidRDefault="00D35939" w:rsidP="00D35939">
      <w:pPr>
        <w:jc w:val="both"/>
        <w:rPr>
          <w:rFonts w:cs="Arial"/>
        </w:rPr>
      </w:pPr>
      <w:r w:rsidRPr="00D35939">
        <w:rPr>
          <w:rFonts w:cs="Arial"/>
        </w:rPr>
        <w:t>El comportamiento histórico de la línea de política durante la vigencia 2016 presentó el siguiente resultado:</w:t>
      </w:r>
    </w:p>
    <w:p w:rsidR="00D35939" w:rsidRPr="00D35939" w:rsidRDefault="00D35939" w:rsidP="00D35939">
      <w:pPr>
        <w:spacing w:after="0"/>
        <w:jc w:val="center"/>
        <w:rPr>
          <w:rFonts w:cs="Arial"/>
          <w:b/>
        </w:rPr>
      </w:pPr>
      <w:r w:rsidRPr="00D35939">
        <w:rPr>
          <w:rFonts w:cs="Arial"/>
          <w:b/>
        </w:rPr>
        <w:t>Gráfico.</w:t>
      </w:r>
      <w:r w:rsidRPr="00D35939">
        <w:rPr>
          <w:rFonts w:cs="Arial"/>
        </w:rPr>
        <w:t xml:space="preserve"> </w:t>
      </w:r>
      <w:r w:rsidRPr="00D35939">
        <w:rPr>
          <w:rFonts w:cs="Arial"/>
          <w:b/>
        </w:rPr>
        <w:t>Comparativo resultados – Corte 30 de Noviembre</w:t>
      </w:r>
    </w:p>
    <w:p w:rsidR="00D35939" w:rsidRPr="00D35939" w:rsidRDefault="00D35939" w:rsidP="00D35939">
      <w:pPr>
        <w:spacing w:after="0"/>
        <w:jc w:val="center"/>
        <w:rPr>
          <w:rFonts w:cs="Arial"/>
        </w:rPr>
      </w:pPr>
      <w:r w:rsidRPr="00D35939">
        <w:rPr>
          <w:rFonts w:cs="Arial"/>
          <w:noProof/>
          <w:lang w:val="es-CO" w:eastAsia="es-CO"/>
        </w:rPr>
        <w:drawing>
          <wp:inline distT="0" distB="0" distL="0" distR="0" wp14:anchorId="6B19EE47" wp14:editId="5CD71CEB">
            <wp:extent cx="4454202" cy="1475873"/>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11132" t="16364" r="2111" b="7600"/>
                    <a:stretch/>
                  </pic:blipFill>
                  <pic:spPr bwMode="auto">
                    <a:xfrm>
                      <a:off x="0" y="0"/>
                      <a:ext cx="4456891" cy="1476764"/>
                    </a:xfrm>
                    <a:prstGeom prst="rect">
                      <a:avLst/>
                    </a:prstGeom>
                    <a:noFill/>
                    <a:ln>
                      <a:noFill/>
                    </a:ln>
                    <a:extLst>
                      <a:ext uri="{53640926-AAD7-44D8-BBD7-CCE9431645EC}">
                        <a14:shadowObscured xmlns:a14="http://schemas.microsoft.com/office/drawing/2010/main"/>
                      </a:ext>
                    </a:extLst>
                  </pic:spPr>
                </pic:pic>
              </a:graphicData>
            </a:graphic>
          </wp:inline>
        </w:drawing>
      </w:r>
    </w:p>
    <w:p w:rsidR="00D35939" w:rsidRPr="00D35939" w:rsidRDefault="00D35939" w:rsidP="00D35939">
      <w:pPr>
        <w:spacing w:after="0"/>
        <w:jc w:val="center"/>
        <w:rPr>
          <w:rFonts w:cs="Arial"/>
        </w:rPr>
      </w:pPr>
    </w:p>
    <w:p w:rsidR="00D35939" w:rsidRPr="00D35939" w:rsidRDefault="00D35939" w:rsidP="00D35939">
      <w:pPr>
        <w:jc w:val="both"/>
        <w:rPr>
          <w:rFonts w:cs="Arial"/>
        </w:rPr>
      </w:pPr>
      <w:r w:rsidRPr="00D35939">
        <w:rPr>
          <w:rFonts w:cs="Arial"/>
        </w:rPr>
        <w:t>Al cierre de la vigencia, los indicadores quedaron en el siguiente rango:</w:t>
      </w:r>
    </w:p>
    <w:tbl>
      <w:tblPr>
        <w:tblStyle w:val="Tablaconcuadrcula2"/>
        <w:tblW w:w="4543" w:type="dxa"/>
        <w:jc w:val="center"/>
        <w:tblLook w:val="04A0" w:firstRow="1" w:lastRow="0" w:firstColumn="1" w:lastColumn="0" w:noHBand="0" w:noVBand="1"/>
      </w:tblPr>
      <w:tblGrid>
        <w:gridCol w:w="2280"/>
        <w:gridCol w:w="2263"/>
      </w:tblGrid>
      <w:tr w:rsidR="00D35939" w:rsidRPr="00D35939" w:rsidTr="003A0576">
        <w:trPr>
          <w:trHeight w:val="204"/>
          <w:jc w:val="center"/>
        </w:trPr>
        <w:tc>
          <w:tcPr>
            <w:tcW w:w="2280" w:type="dxa"/>
            <w:shd w:val="clear" w:color="auto" w:fill="76923C" w:themeFill="accent3" w:themeFillShade="BF"/>
            <w:noWrap/>
          </w:tcPr>
          <w:p w:rsidR="00D35939" w:rsidRPr="003A0576" w:rsidRDefault="00D35939" w:rsidP="00D35939">
            <w:pPr>
              <w:spacing w:after="0" w:line="240" w:lineRule="auto"/>
              <w:jc w:val="center"/>
              <w:rPr>
                <w:rFonts w:eastAsia="Times New Roman" w:cs="Arial"/>
                <w:b/>
                <w:bCs/>
                <w:color w:val="FFFFFF" w:themeColor="background1"/>
                <w:sz w:val="20"/>
              </w:rPr>
            </w:pPr>
            <w:r w:rsidRPr="003A0576">
              <w:rPr>
                <w:rFonts w:eastAsia="Times New Roman" w:cs="Arial"/>
                <w:b/>
                <w:bCs/>
                <w:color w:val="FFFFFF" w:themeColor="background1"/>
                <w:sz w:val="20"/>
              </w:rPr>
              <w:t>Rango</w:t>
            </w:r>
          </w:p>
        </w:tc>
        <w:tc>
          <w:tcPr>
            <w:tcW w:w="2263" w:type="dxa"/>
            <w:shd w:val="clear" w:color="auto" w:fill="76923C" w:themeFill="accent3" w:themeFillShade="BF"/>
            <w:noWrap/>
          </w:tcPr>
          <w:p w:rsidR="00D35939" w:rsidRPr="003A0576" w:rsidRDefault="00D35939" w:rsidP="00D35939">
            <w:pPr>
              <w:spacing w:after="0" w:line="240" w:lineRule="auto"/>
              <w:jc w:val="center"/>
              <w:rPr>
                <w:rFonts w:eastAsia="Times New Roman" w:cs="Arial"/>
                <w:b/>
                <w:bCs/>
                <w:color w:val="FFFFFF" w:themeColor="background1"/>
                <w:sz w:val="20"/>
              </w:rPr>
            </w:pPr>
            <w:r w:rsidRPr="003A0576">
              <w:rPr>
                <w:rFonts w:eastAsia="Times New Roman" w:cs="Arial"/>
                <w:b/>
                <w:bCs/>
                <w:color w:val="FFFFFF" w:themeColor="background1"/>
                <w:sz w:val="20"/>
              </w:rPr>
              <w:t>No. De Indicadores</w:t>
            </w:r>
          </w:p>
        </w:tc>
      </w:tr>
      <w:tr w:rsidR="00D35939" w:rsidRPr="00D35939" w:rsidTr="00D35939">
        <w:trPr>
          <w:trHeight w:val="204"/>
          <w:jc w:val="center"/>
        </w:trPr>
        <w:tc>
          <w:tcPr>
            <w:tcW w:w="2280"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Optimo</w:t>
            </w:r>
          </w:p>
        </w:tc>
        <w:tc>
          <w:tcPr>
            <w:tcW w:w="2263"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0</w:t>
            </w:r>
          </w:p>
        </w:tc>
      </w:tr>
      <w:tr w:rsidR="00D35939" w:rsidRPr="00D35939" w:rsidTr="00D35939">
        <w:trPr>
          <w:trHeight w:val="204"/>
          <w:jc w:val="center"/>
        </w:trPr>
        <w:tc>
          <w:tcPr>
            <w:tcW w:w="2280"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Adecuado</w:t>
            </w:r>
          </w:p>
        </w:tc>
        <w:tc>
          <w:tcPr>
            <w:tcW w:w="2263"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1</w:t>
            </w:r>
          </w:p>
        </w:tc>
      </w:tr>
      <w:tr w:rsidR="00D35939" w:rsidRPr="00D35939" w:rsidTr="00D35939">
        <w:trPr>
          <w:trHeight w:val="204"/>
          <w:jc w:val="center"/>
        </w:trPr>
        <w:tc>
          <w:tcPr>
            <w:tcW w:w="2280"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No aplica a Noviembre</w:t>
            </w:r>
          </w:p>
        </w:tc>
        <w:tc>
          <w:tcPr>
            <w:tcW w:w="2263" w:type="dxa"/>
            <w:noWrap/>
          </w:tcPr>
          <w:p w:rsidR="00D35939" w:rsidRPr="00D35939" w:rsidRDefault="00D35939" w:rsidP="00D35939">
            <w:pPr>
              <w:spacing w:after="0" w:line="240" w:lineRule="auto"/>
              <w:jc w:val="center"/>
              <w:rPr>
                <w:rFonts w:eastAsia="Times New Roman" w:cs="Arial"/>
                <w:sz w:val="20"/>
              </w:rPr>
            </w:pPr>
            <w:r w:rsidRPr="00D35939">
              <w:rPr>
                <w:rFonts w:eastAsia="Times New Roman" w:cs="Arial"/>
                <w:sz w:val="20"/>
              </w:rPr>
              <w:t>11</w:t>
            </w:r>
          </w:p>
        </w:tc>
      </w:tr>
      <w:tr w:rsidR="00D35939" w:rsidRPr="00D35939" w:rsidTr="003A0576">
        <w:trPr>
          <w:trHeight w:val="204"/>
          <w:jc w:val="center"/>
        </w:trPr>
        <w:tc>
          <w:tcPr>
            <w:tcW w:w="2280" w:type="dxa"/>
            <w:shd w:val="clear" w:color="auto" w:fill="E2EFDA"/>
            <w:noWrap/>
          </w:tcPr>
          <w:p w:rsidR="00D35939" w:rsidRPr="00D35939" w:rsidRDefault="00D35939" w:rsidP="00D35939">
            <w:pPr>
              <w:spacing w:after="0" w:line="240" w:lineRule="auto"/>
              <w:jc w:val="center"/>
              <w:rPr>
                <w:rFonts w:eastAsia="Times New Roman" w:cs="Arial"/>
                <w:b/>
                <w:bCs/>
                <w:sz w:val="20"/>
              </w:rPr>
            </w:pPr>
          </w:p>
        </w:tc>
        <w:tc>
          <w:tcPr>
            <w:tcW w:w="2263" w:type="dxa"/>
            <w:shd w:val="clear" w:color="auto" w:fill="E2EFDA"/>
            <w:noWrap/>
          </w:tcPr>
          <w:p w:rsidR="00D35939" w:rsidRPr="00D35939" w:rsidRDefault="00D35939" w:rsidP="00D35939">
            <w:pPr>
              <w:spacing w:after="0" w:line="240" w:lineRule="auto"/>
              <w:jc w:val="center"/>
              <w:rPr>
                <w:rFonts w:eastAsia="Times New Roman" w:cs="Arial"/>
                <w:b/>
                <w:bCs/>
                <w:sz w:val="20"/>
              </w:rPr>
            </w:pPr>
            <w:r w:rsidRPr="00D35939">
              <w:rPr>
                <w:rFonts w:eastAsia="Times New Roman" w:cs="Arial"/>
                <w:b/>
                <w:bCs/>
                <w:sz w:val="20"/>
              </w:rPr>
              <w:t>12</w:t>
            </w:r>
          </w:p>
        </w:tc>
      </w:tr>
    </w:tbl>
    <w:p w:rsidR="00D35939" w:rsidRDefault="00D35939" w:rsidP="00D35939">
      <w:pPr>
        <w:spacing w:after="0" w:line="240" w:lineRule="auto"/>
        <w:rPr>
          <w:rFonts w:cs="Arial"/>
          <w:sz w:val="16"/>
        </w:rPr>
      </w:pPr>
      <w:r w:rsidRPr="00D35939">
        <w:rPr>
          <w:rFonts w:cs="Arial"/>
        </w:rPr>
        <w:tab/>
      </w:r>
      <w:r w:rsidRPr="00D35939">
        <w:rPr>
          <w:rFonts w:cs="Arial"/>
        </w:rPr>
        <w:tab/>
      </w:r>
      <w:r w:rsidRPr="00D35939">
        <w:rPr>
          <w:rFonts w:cs="Arial"/>
        </w:rPr>
        <w:tab/>
      </w:r>
      <w:r w:rsidR="00C65253">
        <w:rPr>
          <w:rFonts w:cs="Arial"/>
        </w:rPr>
        <w:t xml:space="preserve">     </w:t>
      </w:r>
      <w:r w:rsidRPr="00D35939">
        <w:rPr>
          <w:rFonts w:cs="Arial"/>
          <w:b/>
          <w:sz w:val="16"/>
        </w:rPr>
        <w:t xml:space="preserve">Fuente: </w:t>
      </w:r>
      <w:r w:rsidRPr="003A0576">
        <w:rPr>
          <w:rFonts w:cs="Arial"/>
          <w:sz w:val="16"/>
        </w:rPr>
        <w:t>Tablero de Control</w:t>
      </w:r>
    </w:p>
    <w:p w:rsidR="00D8710A" w:rsidRPr="00D21160" w:rsidRDefault="00D8710A" w:rsidP="009C25F2">
      <w:pPr>
        <w:rPr>
          <w:rFonts w:cs="Arial"/>
          <w:sz w:val="16"/>
          <w:lang w:val="es-CO" w:eastAsia="es-ES"/>
        </w:rPr>
      </w:pPr>
      <w:r>
        <w:rPr>
          <w:rFonts w:cs="Arial"/>
          <w:sz w:val="16"/>
        </w:rPr>
        <w:tab/>
        <w:t xml:space="preserve">                               </w:t>
      </w:r>
    </w:p>
    <w:p w:rsidR="00D35939" w:rsidRPr="00D35939" w:rsidRDefault="00D35939" w:rsidP="00D35939">
      <w:pPr>
        <w:spacing w:after="0" w:line="240" w:lineRule="auto"/>
        <w:jc w:val="both"/>
        <w:rPr>
          <w:rFonts w:cs="Arial"/>
        </w:rPr>
      </w:pPr>
      <w:r w:rsidRPr="00D35939">
        <w:rPr>
          <w:rFonts w:cs="Arial"/>
        </w:rPr>
        <w:t xml:space="preserve">Así mismo el ICBF a adelanto las siguientes acciones </w:t>
      </w:r>
      <w:r w:rsidRPr="00D35939">
        <w:rPr>
          <w:rFonts w:eastAsia="Times New Roman" w:cs="Arial"/>
        </w:rPr>
        <w:t>para avanzar en la implementación de la “</w:t>
      </w:r>
      <w:r w:rsidRPr="00D35939">
        <w:rPr>
          <w:rFonts w:eastAsia="Times New Roman" w:cs="Arial"/>
          <w:i/>
        </w:rPr>
        <w:t>Política de Acceso a la información Pública”,</w:t>
      </w:r>
      <w:r w:rsidRPr="00D35939">
        <w:rPr>
          <w:rFonts w:eastAsia="Times New Roman" w:cs="Arial"/>
        </w:rPr>
        <w:t xml:space="preserve"> siguiendo los lineamientos de la Ley 1712 de 2014, Decreto 103 de 2015 (recopilado por el decreto </w:t>
      </w:r>
      <w:r w:rsidRPr="00D35939">
        <w:rPr>
          <w:rFonts w:cs="Arial"/>
        </w:rPr>
        <w:t>1081 de 2015):</w:t>
      </w:r>
    </w:p>
    <w:p w:rsidR="00D35939" w:rsidRPr="00D35939" w:rsidRDefault="00D35939" w:rsidP="00035132"/>
    <w:p w:rsidR="00D35939" w:rsidRPr="00035132" w:rsidRDefault="00D35939" w:rsidP="00035132">
      <w:pPr>
        <w:ind w:firstLine="708"/>
        <w:rPr>
          <w:rFonts w:eastAsiaTheme="majorEastAsia"/>
          <w:b/>
        </w:rPr>
      </w:pPr>
      <w:r w:rsidRPr="00035132">
        <w:rPr>
          <w:rFonts w:eastAsiaTheme="majorEastAsia"/>
          <w:b/>
        </w:rPr>
        <w:t>Transparencia activa</w:t>
      </w:r>
    </w:p>
    <w:p w:rsidR="00D35939" w:rsidRPr="00D35939" w:rsidRDefault="00D35939" w:rsidP="00D35939">
      <w:pPr>
        <w:spacing w:after="0" w:line="240" w:lineRule="auto"/>
        <w:contextualSpacing/>
        <w:jc w:val="both"/>
        <w:rPr>
          <w:rFonts w:cs="Arial"/>
        </w:rPr>
      </w:pPr>
      <w:r w:rsidRPr="00D35939">
        <w:rPr>
          <w:rFonts w:cs="Arial"/>
        </w:rPr>
        <w:t xml:space="preserve">La Transparencia Activa es una de las formas que ha establecido la Ley de Transparencia y del Derecho de Acceso a Información Pública, para que haya la mayor disponibilidad de información de las Entidades Públicas a través de diferentes medios electrónicos. Es así que el ICBF  desarrolló durante la vigencia 2016 las siguientes estrategias para facilitar el acceso a la información: </w:t>
      </w:r>
    </w:p>
    <w:p w:rsidR="00D35939" w:rsidRPr="00D35939" w:rsidRDefault="00D35939" w:rsidP="00D35939">
      <w:pPr>
        <w:spacing w:after="0" w:line="240" w:lineRule="auto"/>
        <w:contextualSpacing/>
        <w:jc w:val="both"/>
        <w:rPr>
          <w:rFonts w:cs="Arial"/>
        </w:rPr>
      </w:pPr>
    </w:p>
    <w:p w:rsidR="00D35939" w:rsidRPr="00D35939" w:rsidRDefault="00D35939" w:rsidP="00470DCA">
      <w:pPr>
        <w:numPr>
          <w:ilvl w:val="0"/>
          <w:numId w:val="203"/>
        </w:numPr>
        <w:spacing w:after="0" w:line="240" w:lineRule="auto"/>
        <w:contextualSpacing/>
        <w:jc w:val="both"/>
        <w:rPr>
          <w:rFonts w:cs="Arial"/>
          <w:b/>
        </w:rPr>
      </w:pPr>
      <w:r w:rsidRPr="00D35939">
        <w:rPr>
          <w:rFonts w:cs="Arial"/>
          <w:b/>
        </w:rPr>
        <w:lastRenderedPageBreak/>
        <w:t xml:space="preserve">Portal Web Institucional </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both"/>
        <w:rPr>
          <w:rFonts w:cs="Arial"/>
        </w:rPr>
      </w:pPr>
      <w:r w:rsidRPr="00D35939">
        <w:rPr>
          <w:rFonts w:cs="Arial"/>
        </w:rPr>
        <w:t xml:space="preserve">El ICBF cuenta con el Portal Web </w:t>
      </w:r>
      <w:hyperlink r:id="rId38" w:history="1">
        <w:r w:rsidRPr="00D35939">
          <w:rPr>
            <w:rFonts w:cs="Arial"/>
            <w:color w:val="0000FF"/>
            <w:u w:val="single"/>
          </w:rPr>
          <w:t>www.icbf.gob.co</w:t>
        </w:r>
      </w:hyperlink>
      <w:r w:rsidRPr="00D35939">
        <w:rPr>
          <w:rFonts w:cs="Arial"/>
        </w:rPr>
        <w:t xml:space="preserve">, en el cual converge la información que se presenta en medios electrónicos a la ciudadanía es así que para asegurar su permanente actualización se diseñó instrumento en archivo </w:t>
      </w:r>
      <w:r w:rsidRPr="00D35939">
        <w:rPr>
          <w:rFonts w:cs="Arial"/>
          <w:i/>
        </w:rPr>
        <w:t>Excel</w:t>
      </w:r>
      <w:r w:rsidRPr="00D35939">
        <w:rPr>
          <w:rFonts w:cs="Arial"/>
        </w:rPr>
        <w:t xml:space="preserve"> que permitiera a la Oficina Asesora de Comunicaciones validar la correcta publicación de información básica y de la establecida en la Ley de Transparencia y Acceso a la Información púbica, por parte de las áreas de la entidad. Asimismo, se realizaron jornadas de capacitación a gestores de contenidos del ICBF para la correcta actualización de la información publicada.</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both"/>
        <w:rPr>
          <w:rFonts w:cs="Arial"/>
        </w:rPr>
      </w:pPr>
      <w:r w:rsidRPr="00D35939">
        <w:rPr>
          <w:rFonts w:cs="Arial"/>
        </w:rPr>
        <w:t>De igual forma, se creó el Procedimiento de Actualización de Información del Portafolio Web</w:t>
      </w:r>
      <w:r w:rsidRPr="00D35939">
        <w:rPr>
          <w:rFonts w:cs="Arial"/>
          <w:vertAlign w:val="superscript"/>
        </w:rPr>
        <w:footnoteReference w:id="40"/>
      </w:r>
      <w:r w:rsidRPr="00D35939">
        <w:rPr>
          <w:rFonts w:cs="Arial"/>
        </w:rPr>
        <w:t xml:space="preserve"> y se realizó la actualización de la Guía para la gestión de contenidos en el Portafolio Web del ICBF</w:t>
      </w:r>
      <w:r w:rsidRPr="00D35939">
        <w:rPr>
          <w:rFonts w:cs="Arial"/>
          <w:vertAlign w:val="superscript"/>
        </w:rPr>
        <w:footnoteReference w:id="41"/>
      </w:r>
      <w:r w:rsidRPr="00D35939">
        <w:rPr>
          <w:rFonts w:cs="Arial"/>
        </w:rPr>
        <w:t>, la cual fue actualizada con la normatividad vigente y se dieron nuevos lineamientos para la gestión de contenidos.</w:t>
      </w:r>
    </w:p>
    <w:p w:rsidR="00D35939" w:rsidRPr="00D35939" w:rsidRDefault="00D35939" w:rsidP="00D35939">
      <w:pPr>
        <w:spacing w:after="0" w:line="240" w:lineRule="auto"/>
        <w:contextualSpacing/>
        <w:jc w:val="both"/>
        <w:rPr>
          <w:rFonts w:cs="Arial"/>
        </w:rPr>
      </w:pPr>
    </w:p>
    <w:p w:rsidR="00D35939" w:rsidRPr="00D35939" w:rsidRDefault="00D35939" w:rsidP="00470DCA">
      <w:pPr>
        <w:numPr>
          <w:ilvl w:val="0"/>
          <w:numId w:val="203"/>
        </w:numPr>
        <w:spacing w:after="0" w:line="240" w:lineRule="auto"/>
        <w:contextualSpacing/>
        <w:jc w:val="both"/>
        <w:rPr>
          <w:rFonts w:cs="Arial"/>
        </w:rPr>
      </w:pPr>
      <w:r w:rsidRPr="00D35939">
        <w:rPr>
          <w:rFonts w:cs="Arial"/>
          <w:b/>
        </w:rPr>
        <w:t>Datos Abiertos:</w:t>
      </w:r>
      <w:r w:rsidRPr="00D35939">
        <w:rPr>
          <w:rFonts w:cs="Arial"/>
        </w:rPr>
        <w:t xml:space="preserve"> Para la estrategia de datos abiertos durante la vigencia 2016:</w:t>
      </w:r>
    </w:p>
    <w:p w:rsidR="00D35939" w:rsidRPr="00D35939" w:rsidRDefault="00D35939" w:rsidP="00D35939">
      <w:pPr>
        <w:spacing w:after="0" w:line="240" w:lineRule="auto"/>
        <w:contextualSpacing/>
        <w:jc w:val="both"/>
        <w:rPr>
          <w:rFonts w:cs="Arial"/>
        </w:rPr>
      </w:pPr>
    </w:p>
    <w:p w:rsidR="00D35939" w:rsidRPr="00D35939" w:rsidRDefault="00D35939" w:rsidP="00D712DC">
      <w:pPr>
        <w:numPr>
          <w:ilvl w:val="0"/>
          <w:numId w:val="105"/>
        </w:numPr>
        <w:spacing w:after="0" w:line="240" w:lineRule="auto"/>
        <w:ind w:left="360"/>
        <w:contextualSpacing/>
        <w:jc w:val="both"/>
        <w:rPr>
          <w:rFonts w:cs="Arial"/>
        </w:rPr>
      </w:pPr>
      <w:r w:rsidRPr="003A0576">
        <w:rPr>
          <w:rFonts w:cs="Arial"/>
          <w:b/>
        </w:rPr>
        <w:t>Actualización y publicación:</w:t>
      </w:r>
      <w:r w:rsidRPr="00D35939">
        <w:rPr>
          <w:rFonts w:cs="Arial"/>
        </w:rPr>
        <w:t xml:space="preserve"> Se realizó la actualización de cinco (5) </w:t>
      </w:r>
      <w:r w:rsidRPr="00D35939">
        <w:rPr>
          <w:rFonts w:cs="Arial"/>
          <w:i/>
        </w:rPr>
        <w:t>DataSet</w:t>
      </w:r>
      <w:r w:rsidRPr="00D35939">
        <w:rPr>
          <w:rFonts w:cs="Arial"/>
        </w:rPr>
        <w:t xml:space="preserve"> y la publicación de seis (6) nuevos </w:t>
      </w:r>
      <w:r w:rsidRPr="00D35939">
        <w:rPr>
          <w:rFonts w:cs="Arial"/>
          <w:i/>
        </w:rPr>
        <w:t>DataSet</w:t>
      </w:r>
      <w:r w:rsidRPr="00D35939">
        <w:rPr>
          <w:rFonts w:cs="Arial"/>
        </w:rPr>
        <w:t xml:space="preserve"> los cuales permiten a la entidad finalizar la vigencia 2016, con once (11) </w:t>
      </w:r>
      <w:r w:rsidRPr="00D35939">
        <w:rPr>
          <w:rFonts w:cs="Arial"/>
          <w:i/>
        </w:rPr>
        <w:t xml:space="preserve">DataSets </w:t>
      </w:r>
      <w:r w:rsidRPr="00D35939">
        <w:rPr>
          <w:rFonts w:cs="Arial"/>
        </w:rPr>
        <w:t xml:space="preserve">en el Portal de Datos Colombiano </w:t>
      </w:r>
      <w:hyperlink r:id="rId39" w:history="1">
        <w:r w:rsidRPr="00D35939">
          <w:rPr>
            <w:rFonts w:cs="Arial"/>
            <w:color w:val="0000FF"/>
            <w:u w:val="single"/>
          </w:rPr>
          <w:t>www.datos.gov.co</w:t>
        </w:r>
      </w:hyperlink>
      <w:r w:rsidRPr="00D35939">
        <w:rPr>
          <w:rFonts w:cs="Arial"/>
        </w:rPr>
        <w:t xml:space="preserve"> y los cuales se relacionan a continuación</w:t>
      </w:r>
    </w:p>
    <w:p w:rsidR="00D35939" w:rsidRPr="00D35939" w:rsidRDefault="00D35939" w:rsidP="00D35939">
      <w:pPr>
        <w:spacing w:after="0" w:line="240" w:lineRule="auto"/>
        <w:ind w:left="720"/>
        <w:contextualSpacing/>
        <w:jc w:val="both"/>
        <w:rPr>
          <w:rFonts w:cs="Arial"/>
        </w:rPr>
      </w:pPr>
    </w:p>
    <w:p w:rsidR="00D35939" w:rsidRPr="00D35939" w:rsidRDefault="00D35939" w:rsidP="00D712DC">
      <w:pPr>
        <w:numPr>
          <w:ilvl w:val="0"/>
          <w:numId w:val="103"/>
        </w:numPr>
        <w:spacing w:after="0" w:line="240" w:lineRule="auto"/>
        <w:contextualSpacing/>
        <w:jc w:val="both"/>
        <w:rPr>
          <w:rFonts w:cs="Arial"/>
        </w:rPr>
      </w:pPr>
      <w:r w:rsidRPr="00D35939">
        <w:rPr>
          <w:rFonts w:cs="Arial"/>
        </w:rPr>
        <w:t>Puntos de Distribución de Bienestarina</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Directorio de Puntos de servicio</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Relación Peso Edad</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 xml:space="preserve">Relación Peso Talla </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 xml:space="preserve">Guías alimentarias </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PQRDS - ICBF Primer Semestre 2016</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Esquema de Publicación de Información ICBF 2016</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Registro de Activos de Información ICBF 2016</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Índice de Información Clasificada y Reservada ICBF 2016</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Preguntas Frecuentes sobre el Restablecimiento de Derechos de Niños, Niñas y Adolecentes</w:t>
      </w:r>
    </w:p>
    <w:p w:rsidR="00D35939" w:rsidRPr="00D35939" w:rsidRDefault="00D35939" w:rsidP="00D712DC">
      <w:pPr>
        <w:numPr>
          <w:ilvl w:val="0"/>
          <w:numId w:val="103"/>
        </w:numPr>
        <w:spacing w:after="0" w:line="240" w:lineRule="auto"/>
        <w:contextualSpacing/>
        <w:jc w:val="both"/>
        <w:rPr>
          <w:rFonts w:cs="Arial"/>
        </w:rPr>
      </w:pPr>
      <w:r w:rsidRPr="00D35939">
        <w:rPr>
          <w:rFonts w:cs="Arial"/>
        </w:rPr>
        <w:t>Portafolio de Servicios Subdirección Restablecimiento Derechos</w:t>
      </w:r>
    </w:p>
    <w:p w:rsidR="00D35939" w:rsidRPr="00D35939" w:rsidRDefault="00D35939" w:rsidP="00D35939">
      <w:pPr>
        <w:spacing w:after="0" w:line="240" w:lineRule="auto"/>
        <w:contextualSpacing/>
        <w:jc w:val="both"/>
        <w:rPr>
          <w:rFonts w:cs="Arial"/>
        </w:rPr>
      </w:pPr>
    </w:p>
    <w:p w:rsidR="00D35939" w:rsidRPr="00D35939" w:rsidRDefault="00D35939" w:rsidP="00D712DC">
      <w:pPr>
        <w:numPr>
          <w:ilvl w:val="0"/>
          <w:numId w:val="105"/>
        </w:numPr>
        <w:spacing w:after="0" w:line="240" w:lineRule="auto"/>
        <w:ind w:left="360"/>
        <w:jc w:val="both"/>
        <w:rPr>
          <w:rFonts w:cs="Arial"/>
          <w:lang w:eastAsia="es-ES"/>
        </w:rPr>
      </w:pPr>
      <w:r w:rsidRPr="003A0576">
        <w:rPr>
          <w:rFonts w:cs="Arial"/>
          <w:b/>
          <w:lang w:eastAsia="es-ES"/>
        </w:rPr>
        <w:t>Lineamientos:</w:t>
      </w:r>
      <w:r w:rsidRPr="00D35939">
        <w:rPr>
          <w:rFonts w:cs="Arial"/>
          <w:lang w:eastAsia="es-ES"/>
        </w:rPr>
        <w:t xml:space="preserve"> Se elaboró el documento Guía para la Apertura de Datos del ICBF, el cual se encuentra publicado en la página web de la Entidad en el siguiente link:</w:t>
      </w:r>
    </w:p>
    <w:p w:rsidR="00D35939" w:rsidRPr="00D35939" w:rsidRDefault="009A3CC4" w:rsidP="00D35939">
      <w:pPr>
        <w:spacing w:after="0" w:line="240" w:lineRule="auto"/>
        <w:ind w:left="360"/>
        <w:jc w:val="both"/>
        <w:rPr>
          <w:rFonts w:cs="Arial"/>
          <w:lang w:eastAsia="es-ES"/>
        </w:rPr>
      </w:pPr>
      <w:hyperlink r:id="rId40" w:history="1">
        <w:r w:rsidR="00D35939" w:rsidRPr="00D35939">
          <w:rPr>
            <w:rFonts w:cs="Arial"/>
            <w:color w:val="0000FF"/>
            <w:u w:val="single"/>
            <w:lang w:eastAsia="es-ES"/>
          </w:rPr>
          <w:t>http://www.icbf.gov.co/portal/page/portal/IntranetICBF/ProcesosICBF/estrategico/tecnologia-informacion/informacion</w:t>
        </w:r>
      </w:hyperlink>
      <w:r w:rsidR="00D35939" w:rsidRPr="00D35939">
        <w:rPr>
          <w:rFonts w:cs="Arial"/>
          <w:lang w:eastAsia="es-ES"/>
        </w:rPr>
        <w:t xml:space="preserve"> </w:t>
      </w:r>
    </w:p>
    <w:p w:rsidR="00D35939" w:rsidRPr="00D35939" w:rsidRDefault="00D35939" w:rsidP="00D35939">
      <w:pPr>
        <w:spacing w:after="0" w:line="240" w:lineRule="auto"/>
        <w:jc w:val="both"/>
        <w:rPr>
          <w:rFonts w:cs="Arial"/>
          <w:lang w:eastAsia="es-ES"/>
        </w:rPr>
      </w:pPr>
    </w:p>
    <w:p w:rsidR="00D35939" w:rsidRPr="00D35939" w:rsidRDefault="00D35939" w:rsidP="00D712DC">
      <w:pPr>
        <w:numPr>
          <w:ilvl w:val="0"/>
          <w:numId w:val="105"/>
        </w:numPr>
        <w:spacing w:after="0" w:line="240" w:lineRule="auto"/>
        <w:ind w:left="360"/>
        <w:contextualSpacing/>
        <w:jc w:val="both"/>
        <w:rPr>
          <w:rFonts w:cs="Arial"/>
        </w:rPr>
      </w:pPr>
      <w:r w:rsidRPr="003A0576">
        <w:rPr>
          <w:rFonts w:cs="Arial"/>
          <w:b/>
        </w:rPr>
        <w:lastRenderedPageBreak/>
        <w:t>Formación:</w:t>
      </w:r>
      <w:r w:rsidRPr="00D35939">
        <w:rPr>
          <w:rFonts w:cs="Arial"/>
        </w:rPr>
        <w:t xml:space="preserve"> En noviembre de 2016, se realizó una charla sobre Normativa de Acceso a la información y protección de Datos personales, aplicada a Datos Abiertos en el auditorio de la Entidad, con una participación de más de cuarenta colaboradores. </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center"/>
        <w:rPr>
          <w:rFonts w:cs="Arial"/>
          <w:noProof/>
          <w:lang w:val="es-CO" w:eastAsia="es-CO"/>
        </w:rPr>
      </w:pPr>
      <w:r w:rsidRPr="00D35939">
        <w:rPr>
          <w:rFonts w:cs="Arial"/>
          <w:noProof/>
          <w:lang w:val="es-CO" w:eastAsia="es-CO"/>
        </w:rPr>
        <w:drawing>
          <wp:inline distT="0" distB="0" distL="0" distR="0" wp14:anchorId="437D386A" wp14:editId="35EA1A91">
            <wp:extent cx="2757234" cy="1550670"/>
            <wp:effectExtent l="0" t="0" r="5080" b="0"/>
            <wp:docPr id="6" name="Imagen 6" descr="C:\Users\george.zambrano\AppData\Local\Microsoft\Windows\INetCache\Content.Outlook\NV28EYP7\IMG_20161110_16202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eorge.zambrano\AppData\Local\Microsoft\Windows\INetCache\Content.Outlook\NV28EYP7\IMG_20161110_16202052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8121" cy="1556793"/>
                    </a:xfrm>
                    <a:prstGeom prst="rect">
                      <a:avLst/>
                    </a:prstGeom>
                    <a:noFill/>
                    <a:ln>
                      <a:no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710A0144" wp14:editId="27DF90AE">
            <wp:extent cx="2066925" cy="1550599"/>
            <wp:effectExtent l="0" t="0" r="0" b="0"/>
            <wp:docPr id="9" name="Imagen 9" descr="C:\Users\george.zambrano\AppData\Local\Microsoft\Windows\INetCache\Content.Outlook\NV28EYP7\IMG-2016111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eorge.zambrano\AppData\Local\Microsoft\Windows\INetCache\Content.Outlook\NV28EYP7\IMG-20161110-WA001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82581" cy="1562344"/>
                    </a:xfrm>
                    <a:prstGeom prst="rect">
                      <a:avLst/>
                    </a:prstGeom>
                    <a:noFill/>
                    <a:ln>
                      <a:noFill/>
                    </a:ln>
                  </pic:spPr>
                </pic:pic>
              </a:graphicData>
            </a:graphic>
          </wp:inline>
        </w:drawing>
      </w:r>
    </w:p>
    <w:p w:rsidR="00D35939" w:rsidRPr="003A0576" w:rsidRDefault="00D35939" w:rsidP="00D35939">
      <w:pPr>
        <w:spacing w:after="0" w:line="240" w:lineRule="auto"/>
        <w:jc w:val="center"/>
        <w:rPr>
          <w:rFonts w:cs="Arial"/>
          <w:sz w:val="16"/>
          <w:szCs w:val="16"/>
        </w:rPr>
      </w:pPr>
      <w:r w:rsidRPr="003A0576">
        <w:rPr>
          <w:rFonts w:cs="Arial"/>
          <w:sz w:val="16"/>
          <w:szCs w:val="16"/>
        </w:rPr>
        <w:t>Registro Fotográfico Jornada formativa. Noviembre 10 de 2016.</w:t>
      </w:r>
    </w:p>
    <w:p w:rsidR="00D35939" w:rsidRPr="00D35939" w:rsidRDefault="00D35939" w:rsidP="00D35939">
      <w:pPr>
        <w:spacing w:after="0" w:line="240" w:lineRule="auto"/>
        <w:contextualSpacing/>
        <w:jc w:val="both"/>
        <w:rPr>
          <w:rFonts w:cs="Arial"/>
        </w:rPr>
      </w:pPr>
    </w:p>
    <w:p w:rsidR="00D35939" w:rsidRPr="00D35939" w:rsidRDefault="00D35939" w:rsidP="00D712DC">
      <w:pPr>
        <w:numPr>
          <w:ilvl w:val="0"/>
          <w:numId w:val="105"/>
        </w:numPr>
        <w:spacing w:after="0" w:line="240" w:lineRule="auto"/>
        <w:ind w:left="360"/>
        <w:contextualSpacing/>
        <w:jc w:val="both"/>
        <w:rPr>
          <w:rFonts w:cs="Arial"/>
        </w:rPr>
      </w:pPr>
      <w:r w:rsidRPr="003A0576">
        <w:rPr>
          <w:rFonts w:cs="Arial"/>
          <w:b/>
        </w:rPr>
        <w:t>Socialización:</w:t>
      </w:r>
      <w:r w:rsidRPr="00D35939">
        <w:rPr>
          <w:rFonts w:cs="Arial"/>
        </w:rPr>
        <w:t xml:space="preserve"> Se realizó la socialización de los DataSet publicados a través de piezas promocionales que se divulgaron a través de las Redes Sociales y Portal Web institucional.</w:t>
      </w:r>
    </w:p>
    <w:p w:rsidR="00D35939" w:rsidRPr="00D35939" w:rsidRDefault="00D35939" w:rsidP="00D35939">
      <w:pPr>
        <w:spacing w:after="0" w:line="240" w:lineRule="auto"/>
        <w:contextualSpacing/>
        <w:jc w:val="both"/>
        <w:rPr>
          <w:rFonts w:cs="Arial"/>
        </w:rPr>
      </w:pPr>
      <w:r w:rsidRPr="00D35939">
        <w:rPr>
          <w:rFonts w:cs="Arial"/>
        </w:rPr>
        <w:t xml:space="preserve"> </w:t>
      </w:r>
    </w:p>
    <w:p w:rsidR="00D35939" w:rsidRPr="00D35939" w:rsidRDefault="00D35939" w:rsidP="00D35939">
      <w:pPr>
        <w:spacing w:after="0" w:line="240" w:lineRule="auto"/>
        <w:contextualSpacing/>
        <w:jc w:val="both"/>
        <w:rPr>
          <w:rFonts w:cs="Arial"/>
        </w:rPr>
      </w:pPr>
      <w:r w:rsidRPr="00D35939">
        <w:rPr>
          <w:rFonts w:cs="Arial"/>
          <w:noProof/>
          <w:lang w:val="es-CO" w:eastAsia="es-CO"/>
        </w:rPr>
        <w:drawing>
          <wp:inline distT="0" distB="0" distL="0" distR="0" wp14:anchorId="46BE2A2B" wp14:editId="08648DFD">
            <wp:extent cx="1908098" cy="954049"/>
            <wp:effectExtent l="19050" t="19050" r="16510" b="17780"/>
            <wp:docPr id="15" name="Imagen 15" descr="\\icbf.gov.co\fs_AAC\F\Direccion de Servicios y Atencion\Contratistas 2016\INFORMES DE ACTIVIDADES 2016\GEORGE HENRY ZAMBRANO PRADA\12. DICIEMBRE\6. ACTIVIDAD\5. piezas datos abierto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cbf.gov.co\fs_AAC\F\Direccion de Servicios y Atencion\Contratistas 2016\INFORMES DE ACTIVIDADES 2016\GEORGE HENRY ZAMBRANO PRADA\12. DICIEMBRE\6. ACTIVIDAD\5. piezas datos abiertos-0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4787" cy="957393"/>
                    </a:xfrm>
                    <a:prstGeom prst="rect">
                      <a:avLst/>
                    </a:prstGeom>
                    <a:noFill/>
                    <a:ln>
                      <a:solidFill>
                        <a:sysClr val="window" lastClr="FFFFFF">
                          <a:lumMod val="85000"/>
                        </a:sysClr>
                      </a:solid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14A7D8A3" wp14:editId="062EA1C3">
            <wp:extent cx="1848897" cy="924449"/>
            <wp:effectExtent l="0" t="0" r="0" b="9525"/>
            <wp:docPr id="21" name="Imagen 21" descr="\\icbf.gov.co\fs_AAC\F\Direccion de Servicios y Atencion\Contratistas 2016\INFORMES DE ACTIVIDADES 2016\GEORGE HENRY ZAMBRANO PRADA\12. DICIEMBRE\6. ACTIVIDAD\4. piezas datos abierto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cbf.gov.co\fs_AAC\F\Direccion de Servicios y Atencion\Contratistas 2016\INFORMES DE ACTIVIDADES 2016\GEORGE HENRY ZAMBRANO PRADA\12. DICIEMBRE\6. ACTIVIDAD\4. piezas datos abiertos-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2273" cy="926137"/>
                    </a:xfrm>
                    <a:prstGeom prst="rect">
                      <a:avLst/>
                    </a:prstGeom>
                    <a:noFill/>
                    <a:ln>
                      <a:noFill/>
                    </a:ln>
                  </pic:spPr>
                </pic:pic>
              </a:graphicData>
            </a:graphic>
          </wp:inline>
        </w:drawing>
      </w:r>
      <w:r w:rsidRPr="00D35939">
        <w:rPr>
          <w:rFonts w:cs="Arial"/>
          <w:noProof/>
          <w:lang w:val="es-CO" w:eastAsia="es-CO"/>
        </w:rPr>
        <w:t xml:space="preserve">  </w:t>
      </w:r>
      <w:r w:rsidRPr="00D35939">
        <w:rPr>
          <w:rFonts w:cs="Arial"/>
          <w:noProof/>
          <w:lang w:val="es-CO" w:eastAsia="es-CO"/>
        </w:rPr>
        <w:drawing>
          <wp:inline distT="0" distB="0" distL="0" distR="0" wp14:anchorId="46006053" wp14:editId="177C299F">
            <wp:extent cx="1827740" cy="913870"/>
            <wp:effectExtent l="0" t="0" r="1270" b="635"/>
            <wp:docPr id="24" name="Imagen 24" descr="\\icbf.gov.co\fs_AAC\F\Direccion de Servicios y Atencion\Contratistas 2016\INFORMES DE ACTIVIDADES 2016\GEORGE HENRY ZAMBRANO PRADA\12. DICIEMBRE\6. ACTIVIDAD\8. piezas datos abierto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bf.gov.co\fs_AAC\F\Direccion de Servicios y Atencion\Contratistas 2016\INFORMES DE ACTIVIDADES 2016\GEORGE HENRY ZAMBRANO PRADA\12. DICIEMBRE\6. ACTIVIDAD\8. piezas datos abiertos-0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29951" cy="914976"/>
                    </a:xfrm>
                    <a:prstGeom prst="rect">
                      <a:avLst/>
                    </a:prstGeom>
                    <a:noFill/>
                    <a:ln>
                      <a:noFill/>
                    </a:ln>
                  </pic:spPr>
                </pic:pic>
              </a:graphicData>
            </a:graphic>
          </wp:inline>
        </w:drawing>
      </w:r>
    </w:p>
    <w:p w:rsidR="00D35939" w:rsidRPr="009362A9" w:rsidRDefault="00D35939" w:rsidP="00D35939">
      <w:pPr>
        <w:spacing w:after="0" w:line="240" w:lineRule="auto"/>
        <w:contextualSpacing/>
        <w:jc w:val="center"/>
        <w:rPr>
          <w:rFonts w:cs="Arial"/>
          <w:sz w:val="16"/>
          <w:szCs w:val="16"/>
        </w:rPr>
      </w:pPr>
      <w:r w:rsidRPr="009362A9">
        <w:rPr>
          <w:rFonts w:cs="Arial"/>
          <w:b/>
          <w:sz w:val="16"/>
          <w:szCs w:val="16"/>
        </w:rPr>
        <w:t>Fuente:</w:t>
      </w:r>
      <w:r w:rsidRPr="009362A9">
        <w:rPr>
          <w:rFonts w:cs="Arial"/>
          <w:sz w:val="16"/>
          <w:szCs w:val="16"/>
        </w:rPr>
        <w:t xml:space="preserve"> Dirección de Servicios y Atención del ICBF</w:t>
      </w:r>
    </w:p>
    <w:p w:rsidR="00D35939" w:rsidRPr="00D35939" w:rsidRDefault="00D35939" w:rsidP="00035132"/>
    <w:p w:rsidR="00D35939" w:rsidRPr="00A1269F" w:rsidRDefault="00D35939" w:rsidP="00035132">
      <w:pPr>
        <w:ind w:firstLine="708"/>
        <w:rPr>
          <w:rFonts w:eastAsiaTheme="majorEastAsia"/>
          <w:b/>
        </w:rPr>
      </w:pPr>
      <w:r w:rsidRPr="00A1269F">
        <w:rPr>
          <w:rFonts w:eastAsiaTheme="majorEastAsia"/>
          <w:b/>
        </w:rPr>
        <w:t xml:space="preserve">Transparencia pasiva </w:t>
      </w:r>
    </w:p>
    <w:p w:rsidR="00D35939" w:rsidRDefault="00D35939" w:rsidP="00D35939">
      <w:pPr>
        <w:spacing w:after="0" w:line="240" w:lineRule="auto"/>
        <w:contextualSpacing/>
        <w:jc w:val="both"/>
        <w:rPr>
          <w:rFonts w:cs="Arial"/>
        </w:rPr>
      </w:pPr>
      <w:r w:rsidRPr="00D35939">
        <w:rPr>
          <w:rFonts w:cs="Arial"/>
        </w:rPr>
        <w:t xml:space="preserve">Durante la vigencia 2016 se garantizó la disponibilidad de los canales (telefónico, presencial, escrito y virtual), así mismo se fortaleció el canal virtual a través del desarrollo tecnológico del formulario del portal Web para la recepción y gestión de PQRSD, el cual se alineó a los requerimientos de la Resolución 3564 de 2015 de MINTIC, , entre las mejoras desarrolladas se encuentra: La integración del formulario en línea de PQRSD  con el Sistema de Información Misional (SIM), mecanismos de notificación automática de registro de solicitud al ciudadano, optimización del mecanismo de seguimiento en línea de verificación del estado y respuesta de la solicitud, mecanismo de validación de campos que busca garantizar la calidad de la información registrada, mejora en la interfaz gráfica que permite visualizar el formulario en dispositivos móviles, implantación de mensajes de ayuda para orientar y facilitar su diligenciamiento así como mecanismos de protección para minimizar el riesgo de envío de mensajes automáticos tipo Spam o tipo robot, el siguiente paso es la aprobación funcional del formulario de PQRSD que se realiza a través delas pruebas funcionales, para su posterior alistamiento y puesta en producción en el Portal Web. </w:t>
      </w:r>
    </w:p>
    <w:p w:rsidR="002D2615" w:rsidRPr="00D35939" w:rsidRDefault="002D2615" w:rsidP="00D35939">
      <w:pPr>
        <w:spacing w:after="0" w:line="240" w:lineRule="auto"/>
        <w:contextualSpacing/>
        <w:jc w:val="both"/>
        <w:rPr>
          <w:rFonts w:cs="Arial"/>
        </w:rPr>
      </w:pPr>
    </w:p>
    <w:p w:rsidR="00A1269F" w:rsidRDefault="00A1269F" w:rsidP="00035132"/>
    <w:p w:rsidR="00D35939" w:rsidRPr="00A1269F" w:rsidRDefault="00D35939" w:rsidP="00035132">
      <w:pPr>
        <w:ind w:firstLine="708"/>
        <w:rPr>
          <w:rFonts w:eastAsiaTheme="majorEastAsia"/>
          <w:b/>
        </w:rPr>
      </w:pPr>
      <w:r w:rsidRPr="00A1269F">
        <w:rPr>
          <w:rFonts w:eastAsiaTheme="majorEastAsia"/>
          <w:b/>
        </w:rPr>
        <w:lastRenderedPageBreak/>
        <w:t xml:space="preserve">Instrumentos de Gestión de la Información </w:t>
      </w:r>
    </w:p>
    <w:p w:rsidR="00D35939" w:rsidRPr="00D35939" w:rsidRDefault="00D35939" w:rsidP="00D35939">
      <w:pPr>
        <w:spacing w:after="0" w:line="240" w:lineRule="auto"/>
        <w:contextualSpacing/>
        <w:jc w:val="both"/>
        <w:rPr>
          <w:rFonts w:cs="Arial"/>
        </w:rPr>
      </w:pPr>
      <w:r w:rsidRPr="00D35939">
        <w:rPr>
          <w:rFonts w:cs="Arial"/>
        </w:rPr>
        <w:t>Durante la vigencia 2016, se realizó la actualización y publicación de la G8 MPA6 GUÍA PARA DESARROLLO DE INVENTARIO Y CLASIFICACIÓN DE ACTIVOS  V10.0, así mismo se realizó una actualización de los tres (3) instrumentos de Gestión de información</w:t>
      </w:r>
      <w:r w:rsidRPr="00D35939">
        <w:rPr>
          <w:rFonts w:cs="Arial"/>
          <w:i/>
        </w:rPr>
        <w:t xml:space="preserve"> (Inventario de Activos de Información, Esquema de Publicación de Información e Índice de Información Clasificada y Reservada)</w:t>
      </w:r>
      <w:r w:rsidRPr="00D35939">
        <w:rPr>
          <w:rFonts w:cs="Arial"/>
        </w:rPr>
        <w:t xml:space="preserve">, los cuales fueron gestionados por la Dirección de Información y Tecnología, Dirección de Servicios y Atención, Oficina Asesora de Comunicaciones y Oficina Asesora Jurídica; esta última realizo el respectivo control de Legalidad y la elaboración y presentación de la Resolución de aceptación de Instrumentos por parte de la Dirección General de la Entidad. </w:t>
      </w:r>
    </w:p>
    <w:p w:rsidR="00D35939" w:rsidRPr="00D35939" w:rsidRDefault="00D35939" w:rsidP="00035132"/>
    <w:p w:rsidR="00D35939" w:rsidRPr="00D35939" w:rsidRDefault="00D35939" w:rsidP="00035132">
      <w:pPr>
        <w:ind w:firstLine="708"/>
        <w:rPr>
          <w:rFonts w:eastAsiaTheme="majorEastAsia"/>
          <w:b/>
        </w:rPr>
      </w:pPr>
      <w:r w:rsidRPr="00D35939">
        <w:rPr>
          <w:rFonts w:eastAsiaTheme="majorEastAsia"/>
          <w:b/>
        </w:rPr>
        <w:t>Criterio diferencial de accesibilidad</w:t>
      </w:r>
    </w:p>
    <w:p w:rsidR="00D35939" w:rsidRPr="00D35939" w:rsidRDefault="00D35939" w:rsidP="00D35939">
      <w:pPr>
        <w:spacing w:after="0" w:line="240" w:lineRule="auto"/>
        <w:contextualSpacing/>
        <w:jc w:val="both"/>
        <w:rPr>
          <w:rFonts w:cs="Arial"/>
        </w:rPr>
      </w:pPr>
      <w:r w:rsidRPr="00D35939">
        <w:rPr>
          <w:rFonts w:cs="Arial"/>
        </w:rPr>
        <w:t xml:space="preserve">El ICBF ha avanzado en hacer que sus canales de comunicación con la Ciudadanía sean más accesibles, es así cómo el Portal web Institucional fue ajustado para facilitar su navegación a personas con discapacidad visual a través de herramientas tecnológicas como el Software Convertic del Ministerio de Tecnologías de la Información y Comunicaciones. Así mismo, la Oficina Asesora de Comunicaciones Junto con RTVC realizo el ajuste a los programas de televisión institucionales producidos durante la vigencia 2016, para incluir lenguaje de señas para población con discapacidad auditiva. </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both"/>
        <w:rPr>
          <w:rFonts w:cs="Arial"/>
        </w:rPr>
      </w:pPr>
      <w:r w:rsidRPr="00D35939">
        <w:rPr>
          <w:rFonts w:cs="Arial"/>
        </w:rPr>
        <w:t xml:space="preserve">Finalmente, se encuentra en producción y enlazada al portal web a través del Link: </w:t>
      </w:r>
      <w:hyperlink r:id="rId46" w:history="1">
        <w:r w:rsidRPr="00D35939">
          <w:rPr>
            <w:rFonts w:cs="Arial"/>
            <w:u w:val="single"/>
          </w:rPr>
          <w:t>http://geco.icbf.gov.co/geco/</w:t>
        </w:r>
      </w:hyperlink>
      <w:r w:rsidRPr="00D35939">
        <w:rPr>
          <w:rFonts w:cs="Arial"/>
        </w:rPr>
        <w:t xml:space="preserve">  Institucional la plataforma de Preguntas frecuentes denominada GECO (Sistema de Gestión del Conocimiento), la cual permite acceder a una base de conocimiento de los diferentes servicios del ICBF, a través de lenguaje de señas, subtítulos, videos y audio, de los cuales se presentan a continuación unos ejemplos: </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center"/>
        <w:rPr>
          <w:rFonts w:cs="Arial"/>
          <w:b/>
        </w:rPr>
      </w:pPr>
      <w:r w:rsidRPr="00D35939">
        <w:rPr>
          <w:rFonts w:cs="Arial"/>
          <w:b/>
        </w:rPr>
        <w:t>Plataforma de Preguntas frecuentes GECO (Sistema de Gestión del Conocimiento) ICBF</w:t>
      </w:r>
    </w:p>
    <w:p w:rsidR="00D35939" w:rsidRPr="00D35939" w:rsidRDefault="00D35939" w:rsidP="00D35939">
      <w:pPr>
        <w:spacing w:after="0" w:line="240" w:lineRule="auto"/>
        <w:contextualSpacing/>
        <w:jc w:val="both"/>
        <w:rPr>
          <w:rFonts w:cs="Arial"/>
        </w:rPr>
      </w:pPr>
    </w:p>
    <w:p w:rsidR="00D35939" w:rsidRPr="00D35939" w:rsidRDefault="00D35939" w:rsidP="00D35939">
      <w:pPr>
        <w:spacing w:after="0" w:line="240" w:lineRule="auto"/>
        <w:contextualSpacing/>
        <w:jc w:val="center"/>
        <w:rPr>
          <w:rFonts w:cs="Arial"/>
        </w:rPr>
      </w:pPr>
      <w:r w:rsidRPr="00D35939">
        <w:rPr>
          <w:rFonts w:cs="Arial"/>
          <w:noProof/>
          <w:lang w:val="es-CO" w:eastAsia="es-CO"/>
        </w:rPr>
        <w:drawing>
          <wp:inline distT="0" distB="0" distL="0" distR="0" wp14:anchorId="11556798" wp14:editId="1473F9DA">
            <wp:extent cx="2662255" cy="1875411"/>
            <wp:effectExtent l="0" t="0" r="508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2282" t="10095" r="11996" b="23229"/>
                    <a:stretch/>
                  </pic:blipFill>
                  <pic:spPr bwMode="auto">
                    <a:xfrm>
                      <a:off x="0" y="0"/>
                      <a:ext cx="2665032" cy="1877367"/>
                    </a:xfrm>
                    <a:prstGeom prst="rect">
                      <a:avLst/>
                    </a:prstGeom>
                    <a:ln>
                      <a:noFill/>
                    </a:ln>
                    <a:extLst>
                      <a:ext uri="{53640926-AAD7-44D8-BBD7-CCE9431645EC}">
                        <a14:shadowObscured xmlns:a14="http://schemas.microsoft.com/office/drawing/2010/main"/>
                      </a:ext>
                    </a:extLst>
                  </pic:spPr>
                </pic:pic>
              </a:graphicData>
            </a:graphic>
          </wp:inline>
        </w:drawing>
      </w:r>
      <w:r w:rsidRPr="00D35939">
        <w:rPr>
          <w:rFonts w:cs="Arial"/>
          <w:noProof/>
          <w:lang w:val="es-CO" w:eastAsia="es-CO"/>
        </w:rPr>
        <w:drawing>
          <wp:inline distT="0" distB="0" distL="0" distR="0" wp14:anchorId="4044EC8C" wp14:editId="2F339439">
            <wp:extent cx="2630163" cy="1840061"/>
            <wp:effectExtent l="0" t="0" r="0" b="8255"/>
            <wp:docPr id="53" name="Imagen 53" descr="C:\Users\george.zambrano\Desktop\L_696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zambrano\Desktop\L_696D.tmp.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7981" cy="1845530"/>
                    </a:xfrm>
                    <a:prstGeom prst="rect">
                      <a:avLst/>
                    </a:prstGeom>
                    <a:noFill/>
                    <a:ln>
                      <a:noFill/>
                    </a:ln>
                  </pic:spPr>
                </pic:pic>
              </a:graphicData>
            </a:graphic>
          </wp:inline>
        </w:drawing>
      </w:r>
    </w:p>
    <w:p w:rsidR="00D35939" w:rsidRPr="00D35939" w:rsidRDefault="00D35939" w:rsidP="00D35939">
      <w:pPr>
        <w:spacing w:after="0" w:line="240" w:lineRule="auto"/>
        <w:contextualSpacing/>
        <w:jc w:val="center"/>
        <w:rPr>
          <w:rFonts w:cs="Arial"/>
          <w:sz w:val="16"/>
          <w:szCs w:val="20"/>
        </w:rPr>
      </w:pPr>
      <w:r w:rsidRPr="00D35939">
        <w:rPr>
          <w:rFonts w:cs="Arial"/>
          <w:sz w:val="16"/>
          <w:szCs w:val="20"/>
        </w:rPr>
        <w:t>Fuente: Dirección de Servicios y Atención del ICBF</w:t>
      </w:r>
    </w:p>
    <w:p w:rsidR="00D35939" w:rsidRDefault="00D35939" w:rsidP="00035132"/>
    <w:p w:rsidR="002D2615" w:rsidRPr="00D35939" w:rsidRDefault="002D2615" w:rsidP="00035132"/>
    <w:p w:rsidR="00D35939" w:rsidRPr="00D35939" w:rsidRDefault="00D35939" w:rsidP="00035132">
      <w:pPr>
        <w:ind w:firstLine="708"/>
        <w:rPr>
          <w:rFonts w:eastAsia="Times New Roman"/>
          <w:b/>
        </w:rPr>
      </w:pPr>
      <w:r w:rsidRPr="00D35939">
        <w:rPr>
          <w:rFonts w:eastAsia="Times New Roman"/>
          <w:b/>
        </w:rPr>
        <w:lastRenderedPageBreak/>
        <w:t>Monitoreo del acceso a la información Pública</w:t>
      </w:r>
    </w:p>
    <w:p w:rsidR="00D35939" w:rsidRPr="00D35939" w:rsidRDefault="00D35939" w:rsidP="00D35939">
      <w:pPr>
        <w:spacing w:after="0" w:line="240" w:lineRule="auto"/>
        <w:jc w:val="both"/>
        <w:rPr>
          <w:rFonts w:cs="Arial"/>
        </w:rPr>
      </w:pPr>
      <w:r w:rsidRPr="00D35939">
        <w:rPr>
          <w:rFonts w:eastAsia="Times New Roman" w:cs="Arial"/>
        </w:rPr>
        <w:t xml:space="preserve">Para la vigencia 2016,  </w:t>
      </w:r>
      <w:r w:rsidRPr="00D35939">
        <w:rPr>
          <w:rFonts w:cs="Arial"/>
        </w:rPr>
        <w:t xml:space="preserve">el ICBF consolidó y publicó los Informes de Peticiones, Quejas, Denuncias, Reclamos y Sugerencias de manera mensual, en el link: </w:t>
      </w:r>
      <w:hyperlink r:id="rId49" w:history="1">
        <w:r w:rsidRPr="00D35939">
          <w:rPr>
            <w:rFonts w:cs="Arial"/>
            <w:u w:val="single"/>
          </w:rPr>
          <w:t>http://www.icbf.gov.co/portal/page/portal/PortalICBF/Servicios/DSyA</w:t>
        </w:r>
      </w:hyperlink>
      <w:r w:rsidRPr="00D35939">
        <w:rPr>
          <w:rFonts w:cs="Arial"/>
        </w:rPr>
        <w:t>, así mismo definió una sección dentro de los informes denominada “Transparencia y Acceso a la Información”, donde se publican los Informes de solicitudes de acceso a información para cada mes.</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Adicionalmente, se fortaleció el instrumento de seguimiento y control mensual a la gestión de peticiones ciudadanas, mediante un indicador con medición transversal a todas las dependencias de la Sede Nacional, frente la oportunidad en la respuesta a los Derechos de Petición y la medición acumulada del indicador de Denuncias y de Quejas, Reclamos y Sugerencias,  con el fin de garantizar la respuesta oportuna de las diferentes solicitudes que se presentan ante el ICBF a nivel Nacional y Regional.</w:t>
      </w:r>
    </w:p>
    <w:p w:rsidR="00035132" w:rsidRDefault="00035132" w:rsidP="00035132"/>
    <w:p w:rsidR="00D35939" w:rsidRPr="00035132" w:rsidRDefault="00D35939" w:rsidP="00035132">
      <w:pPr>
        <w:ind w:firstLine="708"/>
        <w:rPr>
          <w:b/>
        </w:rPr>
      </w:pPr>
      <w:r w:rsidRPr="00035132">
        <w:rPr>
          <w:b/>
        </w:rPr>
        <w:t>Línea Anticorrupción</w:t>
      </w:r>
    </w:p>
    <w:p w:rsidR="00D35939" w:rsidRPr="00D35939" w:rsidRDefault="00D35939" w:rsidP="00D35939">
      <w:pPr>
        <w:spacing w:after="0" w:line="240" w:lineRule="auto"/>
        <w:jc w:val="both"/>
        <w:rPr>
          <w:rFonts w:cs="Arial"/>
        </w:rPr>
      </w:pPr>
      <w:r w:rsidRPr="00D35939">
        <w:rPr>
          <w:rFonts w:cs="Arial"/>
        </w:rPr>
        <w:t>Como parte de la misión institucional, en el plan Indicativo 2015-2018 del ICBF, se ha previsto “Trabajar con calidad y transparencia por el desarrollo y la protección integral de la primera infancia, la niñez, la adolescencia y el bienestar de las familias colombianas” y en este sentido, en el marco del Plan Anticorrupción, el ICBF ha desarrollado como estrategia para minimizar los riesgos de corrupción, motivar la participación y veeduría ciudadana en la gestión pública y proteger a los ciudadanos denunciantes, mediante la implementación de una línea anticorrupción acompañada de los respectivos instrumentos y recursos humanos y técnicos exclusivos para su atención. La línea está habilitada desde el 6 de mayo de 2016, en los canales telefónico (018000918080 opción 4) y virtual (Página web: Chat- Video chat – Llamada en Línea) y es atendida por profesionales especializados en Derecho Administrativo</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La efectividad del funcionamiento de la línea anticorrupción hace del ICBF una entidad cada día más transparente, nos ayuda a recobrar la confianza y credibilidad de los ciudadanos en el instituto y contribuye a garantizar nuestra apuesta: “Los recursos de los niños, niñas y adolescentes son sagrados.”</w:t>
      </w:r>
    </w:p>
    <w:p w:rsidR="00D35939" w:rsidRDefault="00D35939" w:rsidP="00D35939">
      <w:pPr>
        <w:spacing w:after="0" w:line="240" w:lineRule="auto"/>
        <w:jc w:val="both"/>
        <w:rPr>
          <w:rFonts w:cs="Arial"/>
        </w:rPr>
      </w:pPr>
      <w:r w:rsidRPr="00D35939">
        <w:rPr>
          <w:rFonts w:cs="Arial"/>
        </w:rPr>
        <w:t>La Dirección de Servicios y Atención, en articulación con la Dirección de Planeación, la Dirección Información y Tecnología, la Oficina asesora Jurídica y la Oficina asesora de comunicaciones, definieron y construyeron los siguientes instrumentos para la administraci</w:t>
      </w:r>
      <w:r w:rsidR="009362A9">
        <w:rPr>
          <w:rFonts w:cs="Arial"/>
        </w:rPr>
        <w:t>ón de la línea Anticorrupción:</w:t>
      </w:r>
    </w:p>
    <w:p w:rsidR="009362A9" w:rsidRPr="00D35939" w:rsidRDefault="009362A9" w:rsidP="00D35939">
      <w:pPr>
        <w:spacing w:after="0" w:line="240" w:lineRule="auto"/>
        <w:jc w:val="both"/>
        <w:rPr>
          <w:rFonts w:cs="Arial"/>
        </w:rPr>
      </w:pP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Procedimiento para la atención de la Línea Anticorrupción, Anexo de lineamientos de protección al denunciante y sus bases de datos.</w:t>
      </w: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Documento de Caracterización de presuntos actos de corrupción.</w:t>
      </w: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Correo electrónico anticorrupción@icbf.gov.co.</w:t>
      </w: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Inclusión en la actualización de la Guía de Gestión de PQRDyS.</w:t>
      </w: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Formato de Compromiso de confidencialidad y no Divulgación de la Información.</w:t>
      </w:r>
    </w:p>
    <w:p w:rsidR="00D35939" w:rsidRPr="00D35939" w:rsidRDefault="00D35939" w:rsidP="00D712DC">
      <w:pPr>
        <w:numPr>
          <w:ilvl w:val="0"/>
          <w:numId w:val="104"/>
        </w:numPr>
        <w:spacing w:after="0" w:line="240" w:lineRule="auto"/>
        <w:ind w:left="360"/>
        <w:contextualSpacing/>
        <w:jc w:val="both"/>
        <w:rPr>
          <w:rFonts w:cs="Arial"/>
        </w:rPr>
      </w:pPr>
      <w:r w:rsidRPr="00D35939">
        <w:rPr>
          <w:rFonts w:cs="Arial"/>
        </w:rPr>
        <w:t>Disposición acceso de solo consulta por parte del agente de atención de la Línea a las bases de datos de Contratistas y operadores Regionales del ICBF, para apoyar la consolidación de la información.</w:t>
      </w:r>
    </w:p>
    <w:p w:rsidR="00D35939" w:rsidRPr="00D35939" w:rsidRDefault="00D35939" w:rsidP="00D35939">
      <w:pPr>
        <w:spacing w:after="0" w:line="240" w:lineRule="auto"/>
        <w:jc w:val="both"/>
        <w:rPr>
          <w:rFonts w:cs="Arial"/>
        </w:rPr>
      </w:pPr>
      <w:r w:rsidRPr="00D35939">
        <w:rPr>
          <w:rFonts w:cs="Arial"/>
        </w:rPr>
        <w:lastRenderedPageBreak/>
        <w:t>Así mismo se realizó la articulación con la Oficina Asesora Jurídica en particular con el grupo de profesionales responsables para la gestión de denuncias de corrupción, a través de sesiones de capacitación sobre la operación de la Línea Anticorrupción.</w:t>
      </w:r>
    </w:p>
    <w:p w:rsidR="00D35939" w:rsidRPr="00D35939" w:rsidRDefault="00D35939" w:rsidP="00D35939">
      <w:pPr>
        <w:spacing w:after="0" w:line="240" w:lineRule="auto"/>
        <w:jc w:val="both"/>
        <w:rPr>
          <w:rFonts w:cs="Arial"/>
        </w:rPr>
      </w:pPr>
    </w:p>
    <w:p w:rsidR="00D35939" w:rsidRDefault="00D35939" w:rsidP="00D35939">
      <w:pPr>
        <w:spacing w:after="0" w:line="240" w:lineRule="auto"/>
        <w:jc w:val="both"/>
        <w:rPr>
          <w:rFonts w:cs="Arial"/>
        </w:rPr>
      </w:pPr>
      <w:r w:rsidRPr="00D35939">
        <w:rPr>
          <w:rFonts w:cs="Arial"/>
        </w:rPr>
        <w:t>El evento de lanzamiento de la Línea Anticorrupción, se realizó el día 18/08/2016 en el marco del Evento de conmemoración Nacional de Lucha contra la Corrupción en el Auditorio Carlos Lleras Restrepo de la Sede Nacional. Contamos con la participación de la Directora General, su equipo Directivo e invitados especiales de la Policía Nacional, Alcaldía Distrital de Bogotá y la Corporación Transparencia por Colombia, en el cual se realizó la presentación del alcance, instrumentos de gestión y primeros resultados de la atención en la línea, también se realizó la demostración de una llamada en vivo por la propia Directora General a la Línea Nacional 01800918080 Opción 4.  En el mismo evento se realizó una firma simbólica de compromiso, responsabilidad y transparencia  para el cuidado de los recursos de los niños.</w:t>
      </w:r>
    </w:p>
    <w:p w:rsidR="009362A9" w:rsidRDefault="009362A9" w:rsidP="00D35939">
      <w:pPr>
        <w:spacing w:after="0" w:line="240" w:lineRule="auto"/>
        <w:jc w:val="both"/>
        <w:rPr>
          <w:rFonts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88"/>
      </w:tblGrid>
      <w:tr w:rsidR="009362A9" w:rsidTr="009362A9">
        <w:tc>
          <w:tcPr>
            <w:tcW w:w="4697" w:type="dxa"/>
          </w:tcPr>
          <w:p w:rsidR="009362A9" w:rsidRDefault="009362A9" w:rsidP="009362A9">
            <w:pPr>
              <w:spacing w:after="0" w:line="240" w:lineRule="auto"/>
              <w:jc w:val="center"/>
              <w:rPr>
                <w:rFonts w:cs="Arial"/>
              </w:rPr>
            </w:pPr>
            <w:r w:rsidRPr="00D35939">
              <w:rPr>
                <w:rFonts w:cs="Arial"/>
                <w:noProof/>
                <w:lang w:val="es-CO" w:eastAsia="es-CO"/>
              </w:rPr>
              <w:drawing>
                <wp:inline distT="0" distB="0" distL="0" distR="0" wp14:anchorId="68CA0E9E" wp14:editId="2A9FC148">
                  <wp:extent cx="2867025" cy="1752600"/>
                  <wp:effectExtent l="38100" t="38100" r="104775" b="9525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60902-WA007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67907" cy="1753139"/>
                          </a:xfrm>
                          <a:prstGeom prst="rect">
                            <a:avLst/>
                          </a:prstGeom>
                          <a:ln w="9525" cap="sq">
                            <a:noFill/>
                            <a:prstDash val="solid"/>
                            <a:miter lim="800000"/>
                          </a:ln>
                          <a:effectLst>
                            <a:outerShdw blurRad="50800" dist="38100" dir="2700000" algn="tl" rotWithShape="0">
                              <a:srgbClr val="000000">
                                <a:alpha val="43000"/>
                              </a:srgbClr>
                            </a:outerShdw>
                          </a:effectLst>
                        </pic:spPr>
                      </pic:pic>
                    </a:graphicData>
                  </a:graphic>
                </wp:inline>
              </w:drawing>
            </w:r>
          </w:p>
        </w:tc>
        <w:tc>
          <w:tcPr>
            <w:tcW w:w="4698" w:type="dxa"/>
          </w:tcPr>
          <w:p w:rsidR="009362A9" w:rsidRDefault="009362A9" w:rsidP="009362A9">
            <w:pPr>
              <w:spacing w:after="0" w:line="240" w:lineRule="auto"/>
              <w:jc w:val="center"/>
              <w:rPr>
                <w:rFonts w:cs="Arial"/>
              </w:rPr>
            </w:pPr>
            <w:r w:rsidRPr="00D35939">
              <w:rPr>
                <w:rFonts w:cs="Arial"/>
                <w:noProof/>
                <w:lang w:val="es-CO" w:eastAsia="es-CO"/>
              </w:rPr>
              <w:drawing>
                <wp:inline distT="0" distB="0" distL="0" distR="0" wp14:anchorId="4DC6A0A0" wp14:editId="580D002D">
                  <wp:extent cx="2863329" cy="1752600"/>
                  <wp:effectExtent l="38100" t="38100" r="89535" b="952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60902-WA0079.jpg"/>
                          <pic:cNvPicPr/>
                        </pic:nvPicPr>
                        <pic:blipFill rotWithShape="1">
                          <a:blip r:embed="rId51" cstate="print">
                            <a:extLst>
                              <a:ext uri="{BEBA8EAE-BF5A-486C-A8C5-ECC9F3942E4B}">
                                <a14:imgProps xmlns:a14="http://schemas.microsoft.com/office/drawing/2010/main">
                                  <a14:imgLayer r:embed="rId52">
                                    <a14:imgEffect>
                                      <a14:brightnessContrast bright="20000" contrast="20000"/>
                                    </a14:imgEffect>
                                  </a14:imgLayer>
                                </a14:imgProps>
                              </a:ext>
                              <a:ext uri="{28A0092B-C50C-407E-A947-70E740481C1C}">
                                <a14:useLocalDpi xmlns:a14="http://schemas.microsoft.com/office/drawing/2010/main" val="0"/>
                              </a:ext>
                            </a:extLst>
                          </a:blip>
                          <a:srcRect t="22669" b="6872"/>
                          <a:stretch/>
                        </pic:blipFill>
                        <pic:spPr bwMode="auto">
                          <a:xfrm>
                            <a:off x="0" y="0"/>
                            <a:ext cx="2887438" cy="1767357"/>
                          </a:xfrm>
                          <a:prstGeom prst="rect">
                            <a:avLst/>
                          </a:prstGeom>
                          <a:ln w="952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9362A9" w:rsidTr="009362A9">
        <w:tc>
          <w:tcPr>
            <w:tcW w:w="4697" w:type="dxa"/>
          </w:tcPr>
          <w:p w:rsidR="009362A9" w:rsidRDefault="009362A9" w:rsidP="009362A9">
            <w:pPr>
              <w:spacing w:after="0" w:line="240" w:lineRule="auto"/>
              <w:jc w:val="center"/>
              <w:rPr>
                <w:rFonts w:cs="Arial"/>
              </w:rPr>
            </w:pPr>
            <w:r w:rsidRPr="00D35939">
              <w:rPr>
                <w:rFonts w:cs="Arial"/>
                <w:noProof/>
                <w:lang w:val="es-CO" w:eastAsia="es-CO"/>
              </w:rPr>
              <w:drawing>
                <wp:inline distT="0" distB="0" distL="0" distR="0" wp14:anchorId="05CCA753" wp14:editId="173BE0FD">
                  <wp:extent cx="2762250" cy="1630680"/>
                  <wp:effectExtent l="57150" t="57150" r="114300" b="12192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60818_143028672.jpg"/>
                          <pic:cNvPicPr/>
                        </pic:nvPicPr>
                        <pic:blipFill rotWithShape="1">
                          <a:blip r:embed="rId53" cstate="print">
                            <a:extLst>
                              <a:ext uri="{28A0092B-C50C-407E-A947-70E740481C1C}">
                                <a14:useLocalDpi xmlns:a14="http://schemas.microsoft.com/office/drawing/2010/main" val="0"/>
                              </a:ext>
                            </a:extLst>
                          </a:blip>
                          <a:srcRect r="9555"/>
                          <a:stretch/>
                        </pic:blipFill>
                        <pic:spPr bwMode="auto">
                          <a:xfrm>
                            <a:off x="0" y="0"/>
                            <a:ext cx="2762250" cy="163068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698" w:type="dxa"/>
          </w:tcPr>
          <w:p w:rsidR="009362A9" w:rsidRDefault="009362A9" w:rsidP="009362A9">
            <w:pPr>
              <w:spacing w:after="0" w:line="240" w:lineRule="auto"/>
              <w:jc w:val="center"/>
              <w:rPr>
                <w:rFonts w:cs="Arial"/>
              </w:rPr>
            </w:pPr>
            <w:r w:rsidRPr="00D35939">
              <w:rPr>
                <w:rFonts w:cs="Arial"/>
                <w:noProof/>
                <w:lang w:val="es-CO" w:eastAsia="es-CO"/>
              </w:rPr>
              <w:drawing>
                <wp:inline distT="0" distB="0" distL="0" distR="0" wp14:anchorId="6F330879" wp14:editId="13D8FD80">
                  <wp:extent cx="2636262" cy="1649730"/>
                  <wp:effectExtent l="38100" t="38100" r="88265" b="10287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60818_143545759.jpg"/>
                          <pic:cNvPicPr/>
                        </pic:nvPicPr>
                        <pic:blipFill rotWithShape="1">
                          <a:blip r:embed="rId54" cstate="print">
                            <a:extLst>
                              <a:ext uri="{28A0092B-C50C-407E-A947-70E740481C1C}">
                                <a14:useLocalDpi xmlns:a14="http://schemas.microsoft.com/office/drawing/2010/main" val="0"/>
                              </a:ext>
                            </a:extLst>
                          </a:blip>
                          <a:srcRect l="10158"/>
                          <a:stretch/>
                        </pic:blipFill>
                        <pic:spPr bwMode="auto">
                          <a:xfrm>
                            <a:off x="0" y="0"/>
                            <a:ext cx="2638147" cy="1650910"/>
                          </a:xfrm>
                          <a:prstGeom prst="rect">
                            <a:avLst/>
                          </a:prstGeom>
                          <a:ln w="952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rsidR="009362A9" w:rsidRPr="00D35939" w:rsidRDefault="009362A9" w:rsidP="00D35939">
      <w:pPr>
        <w:spacing w:after="0" w:line="240" w:lineRule="auto"/>
        <w:jc w:val="both"/>
        <w:rPr>
          <w:rFonts w:cs="Arial"/>
        </w:rPr>
      </w:pP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 xml:space="preserve">Durante los meses de septiembre a noviembre, se realizaron actividades de preparación para la recepción de denuncias de forma presencial y por medio escrito  en Centros Zonales y Direcciones Regionales, como es la estructuración de la GUÍA PARA EL TRÁMITE DE DENUNCIAS DE LA LÍNEA ANTICORRUPCIÓN EN EL NIVEL REGIONAL Y ZONAL, así mismo se realizaron sesiones de capacitación a través de videoconferencia dirigida a los enlaces de la Dirección de Servicios y Atención de los Centros zonales y Regionales del ICBF, con el fin de </w:t>
      </w:r>
      <w:r w:rsidRPr="00D35939">
        <w:rPr>
          <w:rFonts w:cs="Arial"/>
        </w:rPr>
        <w:lastRenderedPageBreak/>
        <w:t>presentar la ruta para remitir las denuncias relacionadas con presuntos actos de corrupción, así como aspectos generales sobre la línea de atención.</w:t>
      </w:r>
    </w:p>
    <w:p w:rsidR="00D35939" w:rsidRPr="00D35939" w:rsidRDefault="00D35939" w:rsidP="00D35939">
      <w:pPr>
        <w:spacing w:after="0" w:line="240" w:lineRule="auto"/>
        <w:jc w:val="both"/>
        <w:rPr>
          <w:rFonts w:cs="Arial"/>
        </w:rPr>
      </w:pPr>
    </w:p>
    <w:p w:rsidR="00D35939" w:rsidRPr="00D35939" w:rsidRDefault="00D35939" w:rsidP="00D35939">
      <w:pPr>
        <w:tabs>
          <w:tab w:val="left" w:pos="1418"/>
        </w:tabs>
        <w:spacing w:after="0" w:line="240" w:lineRule="auto"/>
        <w:jc w:val="both"/>
        <w:rPr>
          <w:rFonts w:cs="Arial"/>
        </w:rPr>
      </w:pPr>
      <w:r w:rsidRPr="00D35939">
        <w:rPr>
          <w:rFonts w:cs="Arial"/>
        </w:rPr>
        <w:t xml:space="preserve">Los Ciudadanos han confiado en la Línea Anticorrupción del ICBF para dar a conocer los presuntos actos de corrupción, es así que en el período entre el 6 de mayo de 2016 y 31 de diciembre de 2016, se han recibido 177 denuncias de presuntos actos de corrupción, las cuales han sido atendidas así: </w:t>
      </w:r>
    </w:p>
    <w:p w:rsidR="00D35939" w:rsidRPr="00D35939" w:rsidRDefault="00D35939" w:rsidP="00D35939">
      <w:pPr>
        <w:tabs>
          <w:tab w:val="left" w:pos="1418"/>
        </w:tabs>
        <w:spacing w:after="0" w:line="240" w:lineRule="auto"/>
        <w:jc w:val="both"/>
        <w:rPr>
          <w:rFonts w:cs="Arial"/>
        </w:rPr>
      </w:pPr>
    </w:p>
    <w:p w:rsidR="00D35939" w:rsidRPr="00D35939" w:rsidRDefault="00D35939" w:rsidP="00D35939">
      <w:pPr>
        <w:tabs>
          <w:tab w:val="left" w:pos="1418"/>
        </w:tabs>
        <w:spacing w:after="0" w:line="240" w:lineRule="auto"/>
        <w:jc w:val="center"/>
        <w:rPr>
          <w:rFonts w:cs="Arial"/>
        </w:rPr>
      </w:pPr>
      <w:r w:rsidRPr="00D35939">
        <w:rPr>
          <w:rFonts w:cs="Arial"/>
          <w:noProof/>
          <w:lang w:val="es-CO" w:eastAsia="es-CO"/>
        </w:rPr>
        <w:drawing>
          <wp:inline distT="0" distB="0" distL="0" distR="0" wp14:anchorId="0681CE93" wp14:editId="3CDEA449">
            <wp:extent cx="4914900" cy="2905125"/>
            <wp:effectExtent l="0" t="0" r="0" b="952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35939" w:rsidRPr="00D35939" w:rsidRDefault="00D35939" w:rsidP="00D35939">
      <w:pPr>
        <w:spacing w:after="0" w:line="240" w:lineRule="auto"/>
        <w:jc w:val="center"/>
        <w:rPr>
          <w:rFonts w:cs="Arial"/>
          <w:sz w:val="16"/>
          <w:szCs w:val="20"/>
        </w:rPr>
      </w:pPr>
      <w:r w:rsidRPr="009578A5">
        <w:rPr>
          <w:rFonts w:cs="Arial"/>
          <w:b/>
          <w:sz w:val="16"/>
          <w:szCs w:val="20"/>
        </w:rPr>
        <w:t>Fuente:</w:t>
      </w:r>
      <w:r w:rsidRPr="00D35939">
        <w:rPr>
          <w:rFonts w:cs="Arial"/>
          <w:sz w:val="16"/>
          <w:szCs w:val="20"/>
        </w:rPr>
        <w:t xml:space="preserve"> Oficina Asesora Jurídica ICBF– Grupo de Representación Judicial</w:t>
      </w:r>
    </w:p>
    <w:p w:rsidR="00D35939" w:rsidRPr="00D35939" w:rsidRDefault="00D35939" w:rsidP="00D35939">
      <w:pPr>
        <w:spacing w:after="0" w:line="240" w:lineRule="auto"/>
        <w:jc w:val="center"/>
        <w:rPr>
          <w:rFonts w:cs="Arial"/>
          <w:sz w:val="16"/>
          <w:szCs w:val="20"/>
        </w:rPr>
      </w:pPr>
      <w:r w:rsidRPr="00D35939">
        <w:rPr>
          <w:rFonts w:cs="Arial"/>
          <w:sz w:val="16"/>
          <w:szCs w:val="20"/>
        </w:rPr>
        <w:t>Fecha de Corte: 31/12/2016</w:t>
      </w:r>
    </w:p>
    <w:p w:rsidR="00D35939" w:rsidRPr="00D35939" w:rsidRDefault="00D35939" w:rsidP="00035132"/>
    <w:p w:rsidR="00D35939" w:rsidRPr="00A1269F" w:rsidRDefault="00D35939" w:rsidP="00035132">
      <w:pPr>
        <w:ind w:firstLine="708"/>
        <w:rPr>
          <w:rFonts w:eastAsia="Times New Roman"/>
          <w:b/>
        </w:rPr>
      </w:pPr>
      <w:r w:rsidRPr="00A1269F">
        <w:rPr>
          <w:rFonts w:eastAsia="Times New Roman"/>
          <w:b/>
        </w:rPr>
        <w:t>Estrategia Gobierno en línea</w:t>
      </w:r>
    </w:p>
    <w:p w:rsidR="00D35939" w:rsidRPr="00D35939" w:rsidRDefault="00D35939" w:rsidP="00D35939">
      <w:pPr>
        <w:spacing w:after="0" w:line="240" w:lineRule="auto"/>
        <w:jc w:val="both"/>
        <w:rPr>
          <w:rFonts w:eastAsia="Times New Roman" w:cs="Arial"/>
        </w:rPr>
      </w:pPr>
      <w:r w:rsidRPr="00D35939">
        <w:rPr>
          <w:rFonts w:eastAsia="Times New Roman" w:cs="Arial"/>
        </w:rPr>
        <w:t xml:space="preserve">La Dirección de Servicios y Atención ha liderado la implementación de la Estrategia de Gobierno en Línea, fortaleciendo las actividades que dan cuenta de cada uno de los componentes, como resultado de ello, se ha mejorado e nivel de calificación según FURAG, desde un 51% en 2014 hasta un 62.5% en el año 2015. El componente con menor desarrollo es TIC para Servicios, al cual corresponden las actividades relacionadas con interoperabilidad y automatización de trámites. Para optimizar esta gestión en el año 2016, se definió de manera participativa, un plan de acción institucional dividido en cuatro (4) componentes (1. Componente TIC para Gobierno, 2. Componente TIC para Servicios, 3. Componente TIC para la Gestión y 4. Componente TIC para la Seguridad y privacidad de la información. A continuación describimos los principales avances: </w:t>
      </w:r>
    </w:p>
    <w:p w:rsidR="00D35939" w:rsidRPr="00D35939" w:rsidRDefault="00D35939" w:rsidP="00D35939">
      <w:pPr>
        <w:spacing w:after="0" w:line="240" w:lineRule="auto"/>
        <w:jc w:val="both"/>
        <w:rPr>
          <w:rFonts w:eastAsia="Times New Roman" w:cs="Arial"/>
        </w:rPr>
      </w:pPr>
    </w:p>
    <w:p w:rsidR="00D35939" w:rsidRPr="00D35939" w:rsidRDefault="00D35939" w:rsidP="00D712DC">
      <w:pPr>
        <w:numPr>
          <w:ilvl w:val="0"/>
          <w:numId w:val="105"/>
        </w:numPr>
        <w:spacing w:after="0" w:line="240" w:lineRule="auto"/>
        <w:ind w:left="360"/>
        <w:jc w:val="both"/>
        <w:rPr>
          <w:rFonts w:eastAsia="Times New Roman" w:cs="Arial"/>
        </w:rPr>
      </w:pPr>
      <w:r w:rsidRPr="00D35939">
        <w:rPr>
          <w:rFonts w:eastAsia="Times New Roman" w:cs="Arial"/>
        </w:rPr>
        <w:t xml:space="preserve">Componente TIC para Gobierno: Durante esta vigencia se implementó un instrumento (Matriz de seguimiento) para el cumplimiento de la Ley 1712, para el Portal Web de la Entidad, así como la identificación de gestores de contenidos y su capacitación en el Portal Web, que permite velar por la actualización de la información. </w:t>
      </w:r>
    </w:p>
    <w:p w:rsidR="00D35939" w:rsidRPr="00D35939" w:rsidRDefault="00D35939" w:rsidP="00D35939">
      <w:pPr>
        <w:spacing w:after="0" w:line="240" w:lineRule="auto"/>
        <w:ind w:left="360"/>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lastRenderedPageBreak/>
        <w:t>Se implementó la herramienta gratuita de traducción de Google para la versión del portal a cuatro idiomas (francés, inglés, portugués e italiano).</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firstLine="360"/>
        <w:jc w:val="both"/>
        <w:rPr>
          <w:rFonts w:eastAsia="Times New Roman" w:cs="Arial"/>
        </w:rPr>
      </w:pPr>
      <w:r w:rsidRPr="00D35939">
        <w:rPr>
          <w:rFonts w:eastAsia="Times New Roman" w:cs="Arial"/>
        </w:rPr>
        <w:t>Se realizó la actualización de la Guía para la gestión de contenidos del Portafolio Web.</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 xml:space="preserve">Se articuló con la Dirección Información y Tecnología el desarrollo de una herramienta tipo </w:t>
      </w:r>
      <w:r w:rsidRPr="00D35939">
        <w:rPr>
          <w:rFonts w:eastAsia="Times New Roman" w:cs="Arial"/>
          <w:i/>
        </w:rPr>
        <w:t>Newsletter</w:t>
      </w:r>
      <w:r w:rsidRPr="00D35939">
        <w:rPr>
          <w:rFonts w:eastAsia="Times New Roman" w:cs="Arial"/>
        </w:rPr>
        <w:t xml:space="preserve">, la cual entrará a pruebas funcionales, para su posterior alistamiento y puesta en producción en el Portal Web. </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 xml:space="preserve">Para la estrategia de datos abiertos durante la vigencia 2016, los avances se describieron anteriormente, en el numeral 10.1, literal de Transparencia Activa. </w:t>
      </w:r>
    </w:p>
    <w:p w:rsidR="00D35939" w:rsidRPr="00D35939" w:rsidRDefault="00D35939" w:rsidP="00D35939">
      <w:pPr>
        <w:spacing w:after="0" w:line="240" w:lineRule="auto"/>
        <w:jc w:val="both"/>
        <w:rPr>
          <w:rFonts w:eastAsia="Times New Roman" w:cs="Arial"/>
        </w:rPr>
      </w:pPr>
    </w:p>
    <w:p w:rsidR="00D35939" w:rsidRPr="00D35939" w:rsidRDefault="00D35939" w:rsidP="00D712DC">
      <w:pPr>
        <w:numPr>
          <w:ilvl w:val="0"/>
          <w:numId w:val="105"/>
        </w:numPr>
        <w:spacing w:after="0" w:line="240" w:lineRule="auto"/>
        <w:ind w:left="360"/>
        <w:jc w:val="both"/>
        <w:rPr>
          <w:rFonts w:eastAsia="Times New Roman" w:cs="Arial"/>
        </w:rPr>
      </w:pPr>
      <w:r w:rsidRPr="00D35939">
        <w:rPr>
          <w:rFonts w:eastAsia="Times New Roman" w:cs="Arial"/>
        </w:rPr>
        <w:t xml:space="preserve">Componente TIC para Servicios: Se realizó levantamiento de la caracterización de los ciudadanos que acuden al ICBF y se creó el </w:t>
      </w:r>
      <w:r w:rsidRPr="00D35939">
        <w:rPr>
          <w:rFonts w:eastAsia="Times New Roman" w:cs="Arial"/>
          <w:b/>
        </w:rPr>
        <w:t>“Documento de Caracterización de Ciudadanos 2015”</w:t>
      </w:r>
      <w:r w:rsidRPr="00D35939">
        <w:rPr>
          <w:rFonts w:eastAsia="Times New Roman" w:cs="Arial"/>
        </w:rPr>
        <w:t xml:space="preserve"> el cual busca Identificar y perfilar a los ciudadanos y organizaciones, que se acercan al ICBF en busca de información, orientación o acceso a los programas, trámites y servicios del ICBF, a través de los diferentes canales de atención, con el fin de tener insumos que permitan hacer ajustes institucionales que impacten tanto en la oportunidad de atención de sus peticiones como en la calidad de los canales por los cuales acceden a la entidad. </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 xml:space="preserve">Se realizaron dos diagnósticos externos con el apoyo del Ministerio de Tecnologías de la Información y las Comunicaciones, de validación en temas de usabilidad y accesibilidad al Portal Web Institucional y se realizaron ajustes para cumplir con los criterios para la certificación AA. Estas mismas directrices se definieron en el desarrollo tecnológico del servicio en línea de Certificación de Aportes Parafiscales y se espera que para el mes de enero de 2017 se encuentran implementadas y en producción. </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 xml:space="preserve">Así mismo se realizó charla el día 10/11/2016, sobre Normativa de Acceso a la información vs Protección de Datos personales, aplicada a Datos Abiertos con el apoyo de MINTIC, en el auditorio de la Entidad, con una participación de más de 40 colaboradores, como estrategia para la identificación de barreras normativas </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El ICBF dispuso a través de su portal Web, tres (3) trámites a través de medios electrónicos:</w:t>
      </w:r>
    </w:p>
    <w:p w:rsidR="00D35939" w:rsidRPr="00D35939" w:rsidRDefault="00D35939" w:rsidP="00D35939">
      <w:pPr>
        <w:spacing w:after="0" w:line="240" w:lineRule="auto"/>
        <w:jc w:val="both"/>
        <w:rPr>
          <w:rFonts w:eastAsia="Times New Roman" w:cs="Arial"/>
        </w:rPr>
      </w:pPr>
    </w:p>
    <w:p w:rsidR="00D35939" w:rsidRPr="00D35939" w:rsidRDefault="00D35939" w:rsidP="00D712DC">
      <w:pPr>
        <w:numPr>
          <w:ilvl w:val="0"/>
          <w:numId w:val="119"/>
        </w:numPr>
        <w:spacing w:after="0" w:line="240" w:lineRule="auto"/>
        <w:contextualSpacing/>
        <w:jc w:val="both"/>
        <w:rPr>
          <w:rFonts w:eastAsia="Times New Roman" w:cs="Arial"/>
        </w:rPr>
      </w:pPr>
      <w:r w:rsidRPr="00D35939">
        <w:rPr>
          <w:rFonts w:eastAsia="Times New Roman" w:cs="Arial"/>
        </w:rPr>
        <w:t>Estado de cuenta de aportes parafiscales</w:t>
      </w:r>
    </w:p>
    <w:p w:rsidR="00D35939" w:rsidRPr="00D35939" w:rsidRDefault="00D35939" w:rsidP="00D712DC">
      <w:pPr>
        <w:numPr>
          <w:ilvl w:val="0"/>
          <w:numId w:val="119"/>
        </w:numPr>
        <w:spacing w:after="0" w:line="240" w:lineRule="auto"/>
        <w:contextualSpacing/>
        <w:jc w:val="both"/>
        <w:rPr>
          <w:rFonts w:eastAsia="Times New Roman" w:cs="Arial"/>
        </w:rPr>
      </w:pPr>
      <w:r w:rsidRPr="00D35939">
        <w:rPr>
          <w:rFonts w:eastAsia="Times New Roman" w:cs="Arial"/>
        </w:rPr>
        <w:t>Licencia de Funcionamiento del Sistema Nacional de Bienestar Familiar</w:t>
      </w:r>
    </w:p>
    <w:p w:rsidR="00D35939" w:rsidRPr="00D35939" w:rsidRDefault="00D35939" w:rsidP="00D712DC">
      <w:pPr>
        <w:numPr>
          <w:ilvl w:val="0"/>
          <w:numId w:val="119"/>
        </w:numPr>
        <w:spacing w:after="0" w:line="240" w:lineRule="auto"/>
        <w:contextualSpacing/>
        <w:jc w:val="both"/>
        <w:rPr>
          <w:rFonts w:eastAsia="Times New Roman" w:cs="Arial"/>
        </w:rPr>
      </w:pPr>
      <w:r w:rsidRPr="00D35939">
        <w:rPr>
          <w:rFonts w:eastAsia="Times New Roman" w:cs="Arial"/>
        </w:rPr>
        <w:t>Otorgamiento o reconocimiento de personería jurídica a instituciones del Sistema Nacional de Bienestar Familiar"</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ind w:left="360"/>
        <w:jc w:val="both"/>
        <w:rPr>
          <w:rFonts w:eastAsia="Times New Roman" w:cs="Arial"/>
        </w:rPr>
      </w:pPr>
      <w:r w:rsidRPr="00D35939">
        <w:rPr>
          <w:rFonts w:eastAsia="Times New Roman" w:cs="Arial"/>
        </w:rPr>
        <w:t>Estos fueron implementados de forma articulada por la Dirección de Información y Tecnología, Áreas Funcionales y Dirección de Planeación, a través de su estrategia de racionalización de trámites y se encuentran ubicados en la ventanilla única de trámites y servicios del Portal Web de la Entidad, en el siguiente link:</w:t>
      </w:r>
    </w:p>
    <w:p w:rsidR="00D35939" w:rsidRPr="00D35939" w:rsidRDefault="009A3CC4" w:rsidP="00D35939">
      <w:pPr>
        <w:spacing w:after="0" w:line="240" w:lineRule="auto"/>
        <w:ind w:firstLine="360"/>
        <w:jc w:val="both"/>
        <w:rPr>
          <w:rFonts w:eastAsia="Times New Roman" w:cs="Arial"/>
        </w:rPr>
      </w:pPr>
      <w:hyperlink r:id="rId56" w:history="1">
        <w:r w:rsidR="00D35939" w:rsidRPr="00D35939">
          <w:rPr>
            <w:rFonts w:eastAsia="Times New Roman" w:cs="Arial"/>
            <w:u w:val="single"/>
          </w:rPr>
          <w:t>http://www.icbf.gov.co/portal/page/portal/PortalICBF/Servicios/vus</w:t>
        </w:r>
      </w:hyperlink>
      <w:r w:rsidR="00D35939" w:rsidRPr="00D35939">
        <w:rPr>
          <w:rFonts w:eastAsia="Times New Roman" w:cs="Arial"/>
        </w:rPr>
        <w:t xml:space="preserve"> </w:t>
      </w: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jc w:val="both"/>
        <w:rPr>
          <w:rFonts w:eastAsia="Times New Roman" w:cs="Arial"/>
        </w:rPr>
      </w:pPr>
    </w:p>
    <w:p w:rsidR="00D35939" w:rsidRPr="00D35939" w:rsidRDefault="00D35939" w:rsidP="00D35939">
      <w:pPr>
        <w:spacing w:after="0" w:line="240" w:lineRule="auto"/>
        <w:jc w:val="center"/>
        <w:rPr>
          <w:rFonts w:eastAsia="Times New Roman" w:cs="Arial"/>
          <w:sz w:val="20"/>
          <w:szCs w:val="20"/>
        </w:rPr>
      </w:pPr>
      <w:r w:rsidRPr="00D35939">
        <w:rPr>
          <w:rFonts w:eastAsia="Times New Roman" w:cs="Arial"/>
          <w:noProof/>
          <w:sz w:val="20"/>
          <w:szCs w:val="20"/>
          <w:lang w:val="es-CO" w:eastAsia="es-CO"/>
        </w:rPr>
        <w:lastRenderedPageBreak/>
        <w:drawing>
          <wp:inline distT="0" distB="0" distL="0" distR="0" wp14:anchorId="445157EA" wp14:editId="7FA68C36">
            <wp:extent cx="2781759" cy="4114512"/>
            <wp:effectExtent l="0" t="0" r="0" b="635"/>
            <wp:docPr id="448" name="Imagen 448" descr="\\icbf.gov.co\fs_AAC\F\Direccion de Servicios y Atencion\Contratistas 2016\INFORMES DE ACTIVIDADES 2016\GEORGE HENRY ZAMBRANO PRADA\12. DICIEMBRE\8. ACTIVIDAD\3. Publicación Tramites en Linea Portal Web_2016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gov.co\fs_AAC\F\Direccion de Servicios y Atencion\Contratistas 2016\INFORMES DE ACTIVIDADES 2016\GEORGE HENRY ZAMBRANO PRADA\12. DICIEMBRE\8. ACTIVIDAD\3. Publicación Tramites en Linea Portal Web_2016121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83368" cy="4116892"/>
                    </a:xfrm>
                    <a:prstGeom prst="rect">
                      <a:avLst/>
                    </a:prstGeom>
                    <a:noFill/>
                    <a:ln>
                      <a:noFill/>
                    </a:ln>
                  </pic:spPr>
                </pic:pic>
              </a:graphicData>
            </a:graphic>
          </wp:inline>
        </w:drawing>
      </w:r>
    </w:p>
    <w:p w:rsidR="00D35939" w:rsidRPr="00D35939" w:rsidRDefault="00D35939" w:rsidP="00D35939">
      <w:pPr>
        <w:spacing w:after="0" w:line="240" w:lineRule="auto"/>
        <w:contextualSpacing/>
        <w:jc w:val="center"/>
        <w:rPr>
          <w:rFonts w:cs="Arial"/>
          <w:sz w:val="20"/>
          <w:szCs w:val="20"/>
        </w:rPr>
      </w:pPr>
      <w:r w:rsidRPr="00D35939">
        <w:rPr>
          <w:rFonts w:cs="Arial"/>
          <w:sz w:val="20"/>
          <w:szCs w:val="20"/>
        </w:rPr>
        <w:t>Fuente: Dirección de Servicios y Atención del ICBF</w:t>
      </w:r>
    </w:p>
    <w:p w:rsidR="00D35939" w:rsidRPr="00D35939" w:rsidRDefault="00D35939" w:rsidP="00D35939">
      <w:pPr>
        <w:spacing w:after="0" w:line="240" w:lineRule="auto"/>
        <w:jc w:val="center"/>
        <w:rPr>
          <w:rFonts w:eastAsia="Times New Roman" w:cs="Arial"/>
        </w:rPr>
      </w:pPr>
    </w:p>
    <w:p w:rsidR="00D35939" w:rsidRPr="00D35939" w:rsidRDefault="00D35939" w:rsidP="00D35939">
      <w:pPr>
        <w:spacing w:after="0" w:line="240" w:lineRule="auto"/>
        <w:jc w:val="both"/>
        <w:rPr>
          <w:rFonts w:eastAsia="Times New Roman" w:cs="Arial"/>
        </w:rPr>
      </w:pPr>
      <w:r w:rsidRPr="00D35939">
        <w:rPr>
          <w:rFonts w:eastAsia="Times New Roman" w:cs="Arial"/>
        </w:rPr>
        <w:t>Durante la vigencia 2016, se fortaleció el canal virtual a través del desarrollo tecnológico del formulario del portal Web para la recepción y gestión de PQRSD, el cual se alineó a los requerimientos de la Resolución 3564 de 2015 de MINTIC, el cual se tiene proyectado entrar a producción en el mes de enero de 2017.</w:t>
      </w:r>
    </w:p>
    <w:p w:rsidR="00823561" w:rsidRPr="00D35939" w:rsidRDefault="00823561" w:rsidP="00823561">
      <w:pPr>
        <w:spacing w:after="0" w:line="240" w:lineRule="auto"/>
        <w:jc w:val="both"/>
        <w:rPr>
          <w:rFonts w:cs="Arial"/>
        </w:rPr>
      </w:pPr>
    </w:p>
    <w:p w:rsidR="00823561" w:rsidRPr="004146E3" w:rsidRDefault="00823561" w:rsidP="007342CF">
      <w:pPr>
        <w:pStyle w:val="Prrafodelista"/>
        <w:keepNext/>
        <w:keepLines/>
        <w:numPr>
          <w:ilvl w:val="1"/>
          <w:numId w:val="243"/>
        </w:numPr>
        <w:spacing w:before="40" w:after="0" w:line="240" w:lineRule="auto"/>
        <w:outlineLvl w:val="1"/>
        <w:rPr>
          <w:rFonts w:eastAsiaTheme="majorEastAsia" w:cs="Arial"/>
          <w:b/>
        </w:rPr>
      </w:pPr>
      <w:bookmarkStart w:id="240" w:name="_Toc473581451"/>
      <w:r w:rsidRPr="004146E3">
        <w:rPr>
          <w:rFonts w:eastAsiaTheme="majorEastAsia" w:cs="Arial"/>
          <w:b/>
        </w:rPr>
        <w:t>Participación, Rendición de cuentas y mesas públicas</w:t>
      </w:r>
      <w:bookmarkEnd w:id="240"/>
    </w:p>
    <w:p w:rsidR="00D35939" w:rsidRPr="00D35939" w:rsidRDefault="00D35939" w:rsidP="00823561">
      <w:pPr>
        <w:rPr>
          <w:rFonts w:eastAsiaTheme="majorEastAsia"/>
          <w:b/>
        </w:rPr>
      </w:pPr>
      <w:r w:rsidRPr="00D35939">
        <w:rPr>
          <w:rFonts w:eastAsiaTheme="majorEastAsia"/>
          <w:b/>
        </w:rPr>
        <w:t xml:space="preserve"> </w:t>
      </w:r>
    </w:p>
    <w:p w:rsidR="00D35939" w:rsidRPr="00A1269F" w:rsidRDefault="00D35939" w:rsidP="00035132">
      <w:pPr>
        <w:ind w:firstLine="708"/>
        <w:rPr>
          <w:rFonts w:eastAsiaTheme="majorEastAsia"/>
          <w:b/>
        </w:rPr>
      </w:pPr>
      <w:r w:rsidRPr="00A1269F">
        <w:rPr>
          <w:rFonts w:eastAsiaTheme="majorEastAsia"/>
          <w:b/>
        </w:rPr>
        <w:t xml:space="preserve">Participación Ciudadana </w:t>
      </w:r>
    </w:p>
    <w:p w:rsidR="00D35939" w:rsidRPr="00D35939" w:rsidRDefault="00D35939" w:rsidP="00D35939">
      <w:pPr>
        <w:shd w:val="clear" w:color="auto" w:fill="FFFFFF"/>
        <w:spacing w:after="0" w:line="240" w:lineRule="auto"/>
        <w:jc w:val="both"/>
        <w:rPr>
          <w:rFonts w:cs="Arial"/>
        </w:rPr>
      </w:pPr>
      <w:r w:rsidRPr="00D35939">
        <w:rPr>
          <w:rFonts w:eastAsia="Times New Roman" w:cs="Arial"/>
          <w:lang w:eastAsia="es-CO"/>
        </w:rPr>
        <w:t xml:space="preserve">Con base en los resultados de la gestión de la vigencia 2015 y logros de vigencias anteriores, el ICBF, en el tercer trimestre de 2016, se consolidó un diagnóstico institucional de la participación ciudadana en su gestión. El mismo, </w:t>
      </w:r>
      <w:r w:rsidRPr="00D35939">
        <w:rPr>
          <w:rFonts w:cs="Arial"/>
        </w:rPr>
        <w:t>permite identificar las iniciativas que promueven la injerencia de los ciudadanos en el proceso de toma y ejecución de decisiones sobre diferentes asuntos del alcance Servicio Público de Bienestar Familiar en la vida colectiva a través de la creación de instancias y mecanismos que formalizan el proceso de organización.</w:t>
      </w:r>
    </w:p>
    <w:p w:rsidR="00D35939" w:rsidRPr="00D35939" w:rsidRDefault="00D35939" w:rsidP="00D35939">
      <w:pPr>
        <w:shd w:val="clear" w:color="auto" w:fill="FFFFFF"/>
        <w:spacing w:after="0" w:line="240" w:lineRule="auto"/>
        <w:jc w:val="both"/>
        <w:rPr>
          <w:rFonts w:cs="Arial"/>
        </w:rPr>
      </w:pPr>
    </w:p>
    <w:p w:rsidR="00D35939" w:rsidRPr="00D35939" w:rsidRDefault="00D35939" w:rsidP="00D35939">
      <w:pPr>
        <w:shd w:val="clear" w:color="auto" w:fill="FFFFFF"/>
        <w:spacing w:after="0" w:line="240" w:lineRule="auto"/>
        <w:jc w:val="both"/>
        <w:rPr>
          <w:rFonts w:cs="Arial"/>
        </w:rPr>
      </w:pPr>
      <w:r w:rsidRPr="00D35939">
        <w:rPr>
          <w:rFonts w:cs="Arial"/>
        </w:rPr>
        <w:t xml:space="preserve">Para el ejercicio diagnóstico, se tuvieron en cuenta los resultados de cuatro herramientas de análisis, primero una encuesta de opinión aplicada a colaboradores de la entidad y a ciudadanos </w:t>
      </w:r>
      <w:r w:rsidRPr="00D35939">
        <w:rPr>
          <w:rFonts w:cs="Arial"/>
        </w:rPr>
        <w:lastRenderedPageBreak/>
        <w:t xml:space="preserve">cuya evaluación permite profundizar en el desarrollo de diversos ejercicios y espacios de participación y encuentro ciudadano para la planeación y la gestión de la entidad; segundo, la valoración de  90  activos de participación ciudadana identificados en los tres niveles de atención, nacional, regional y zonal, que se concentra en los proyectos que en la actualidad tienen lugar en el territorio, enfocados en promover y fortalecer los diferentes ejercicios participativos y su alcance según los niveles de participación de la comunidad; tercero, los resultados del Formulario Único Reporte de Avances de la Gestión, FURAG, a través de la cual se capturan, monitorean y evalúan los avances sectoriales e institucionales en la implementación de las políticas de desarrollo administrativo obtenidos en las vigencias 2013, 2014 y 2015, específicamente en la </w:t>
      </w:r>
      <w:r w:rsidRPr="00D35939">
        <w:rPr>
          <w:rFonts w:cs="Arial"/>
          <w:lang w:val="es-CO"/>
        </w:rPr>
        <w:t xml:space="preserve">Política Transparencia, Participación y Servicio al Ciudadano y Cuarto, los resultados obtenidos en 2013 - 2014 de </w:t>
      </w:r>
      <w:r w:rsidRPr="00D35939">
        <w:rPr>
          <w:rFonts w:cs="Arial"/>
        </w:rPr>
        <w:t>la calificación del Índice de Transparencia de las Entidades Públicas- ITEP,  una herramienta de control social que ha desarrollado la Corporación Transparencia por Colombia desde el año 2002 con el objetivo de monitorear y evaluar los niveles de riesgos de corrupción en las entidades públicas del orden nacional.</w:t>
      </w:r>
    </w:p>
    <w:p w:rsidR="00D35939" w:rsidRPr="00D35939" w:rsidRDefault="00D35939" w:rsidP="00D35939">
      <w:pPr>
        <w:shd w:val="clear" w:color="auto" w:fill="FFFFFF"/>
        <w:spacing w:after="0" w:line="240" w:lineRule="auto"/>
        <w:jc w:val="both"/>
        <w:rPr>
          <w:rFonts w:cs="Arial"/>
          <w:lang w:val="es-CO"/>
        </w:rPr>
      </w:pPr>
    </w:p>
    <w:p w:rsidR="00D35939" w:rsidRPr="00D35939" w:rsidRDefault="00D35939" w:rsidP="00D35939">
      <w:pPr>
        <w:spacing w:after="0" w:line="240" w:lineRule="auto"/>
        <w:jc w:val="both"/>
        <w:rPr>
          <w:rFonts w:cs="Arial"/>
        </w:rPr>
      </w:pPr>
      <w:r w:rsidRPr="00D35939">
        <w:rPr>
          <w:rFonts w:cs="Arial"/>
        </w:rPr>
        <w:t>Como resultado de este diagnóstico situacional que contiene las valoraciones objetivas de evaluaciones realizadas por entidades técnicas del orden Nacional como es el caso del Departamento Administrativo de la Función Pública y Organizaciones sin ánimo de Lucro como es el caso de Transparencia por Colombia y las apreciaciones de colaboradores del ICBF y ciudadanos; es clara la existencia de una infraestructura participativa institucional que por su puesto debe potencializarse a partir de la dinámica de la inclusión de la participación ciudadana en la dinámica de la gestión en todas sus etapas. Se han identificado las fortalezas, debilidades, oportunidades y amenazas relacionadas con la democratización de la gestión pública y la promoción de la planeación participativa en el ICBF, que se encuentran consolidadas en una matriz de Análisis DOFA. Participación Ciudadana.</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Adicionalmente, se integró a los lineamientos de participación ciudadana, los resultados de la gestión institucional realizada en la promoción y desarrollo de espacios de interacción con la ciudadanía para la formulación y/o ajuste de procesos/proyectos, que contiene:</w:t>
      </w:r>
    </w:p>
    <w:p w:rsidR="00D35939" w:rsidRPr="00D35939" w:rsidRDefault="00D35939" w:rsidP="00D35939">
      <w:pPr>
        <w:spacing w:after="0" w:line="240" w:lineRule="auto"/>
        <w:jc w:val="both"/>
        <w:rPr>
          <w:rFonts w:cs="Arial"/>
        </w:rPr>
      </w:pPr>
    </w:p>
    <w:p w:rsidR="00D35939" w:rsidRPr="00D35939" w:rsidRDefault="00D35939" w:rsidP="00D712DC">
      <w:pPr>
        <w:numPr>
          <w:ilvl w:val="0"/>
          <w:numId w:val="106"/>
        </w:numPr>
        <w:spacing w:after="0" w:line="240" w:lineRule="auto"/>
        <w:ind w:left="360"/>
        <w:contextualSpacing/>
        <w:jc w:val="both"/>
        <w:rPr>
          <w:rFonts w:cs="Arial"/>
        </w:rPr>
      </w:pPr>
      <w:r w:rsidRPr="00D35939">
        <w:rPr>
          <w:rFonts w:cs="Arial"/>
        </w:rPr>
        <w:t>Espacios de discusión de presupuesto de la entidad, como es el caso de la experiencia en la formulación y presupuesto participativo del Programa de Familia y Comunidades, “Proyecto Lomas De Guaguarco” y la articulación entre la Dirección de Niñez y Adolescencia, la Dirección del Sistema Nacional de Bienestar Familiar y la Gobernación de Risaralda, con el fin de apoyar el proyecto de presupuesto participativo a través de los siguientes ejes de acción: Fortalecimiento de las mesas de participación de niños, niñas y adolescentes en los 14 municipios, formación de niños, niñas y adolescentes en participación, formulación de proyectos de garantía de derechos y sistematización del proyecto de presupuesto participativo.</w:t>
      </w:r>
    </w:p>
    <w:p w:rsidR="00D35939" w:rsidRPr="00D35939" w:rsidRDefault="00D35939" w:rsidP="00D35939">
      <w:pPr>
        <w:spacing w:after="0" w:line="240" w:lineRule="auto"/>
        <w:jc w:val="both"/>
        <w:rPr>
          <w:rFonts w:cs="Arial"/>
        </w:rPr>
      </w:pPr>
    </w:p>
    <w:p w:rsidR="00D35939" w:rsidRPr="00D35939" w:rsidRDefault="00D35939" w:rsidP="00D712DC">
      <w:pPr>
        <w:numPr>
          <w:ilvl w:val="0"/>
          <w:numId w:val="106"/>
        </w:numPr>
        <w:spacing w:after="0" w:line="240" w:lineRule="auto"/>
        <w:ind w:left="360"/>
        <w:jc w:val="both"/>
        <w:rPr>
          <w:rFonts w:cs="Arial"/>
        </w:rPr>
      </w:pPr>
      <w:r w:rsidRPr="00D35939">
        <w:rPr>
          <w:rFonts w:cs="Arial"/>
        </w:rPr>
        <w:t>Espacios de formulación participativa del presupuesto de la entidad, en conjunto con las sedes regionales y centros zonales. Una vez se asigna un recurso a las Direcciones Regionales, cada Regional con base a su diagnóstico de necesidades, realiza una propuesta del presupuesto asignado para cada componente, cada proyecto de inversión misional.</w:t>
      </w:r>
    </w:p>
    <w:p w:rsidR="00D35939" w:rsidRPr="00D35939" w:rsidRDefault="00D35939" w:rsidP="00D35939">
      <w:pPr>
        <w:spacing w:after="0" w:line="240" w:lineRule="auto"/>
        <w:jc w:val="both"/>
        <w:rPr>
          <w:rFonts w:cs="Arial"/>
        </w:rPr>
      </w:pPr>
    </w:p>
    <w:p w:rsidR="00D35939" w:rsidRPr="00D35939" w:rsidRDefault="00D35939" w:rsidP="00D712DC">
      <w:pPr>
        <w:numPr>
          <w:ilvl w:val="0"/>
          <w:numId w:val="106"/>
        </w:numPr>
        <w:spacing w:after="0" w:line="240" w:lineRule="auto"/>
        <w:ind w:left="360"/>
        <w:contextualSpacing/>
        <w:jc w:val="both"/>
        <w:rPr>
          <w:rFonts w:cs="Arial"/>
        </w:rPr>
      </w:pPr>
      <w:r w:rsidRPr="00D35939">
        <w:rPr>
          <w:rFonts w:cs="Arial"/>
        </w:rPr>
        <w:t xml:space="preserve">Ejecución participativa en programas y proyectos de inversión en: </w:t>
      </w:r>
    </w:p>
    <w:p w:rsidR="00D35939" w:rsidRPr="00D35939" w:rsidRDefault="00D35939" w:rsidP="00D35939">
      <w:pPr>
        <w:spacing w:after="0" w:line="240" w:lineRule="auto"/>
        <w:jc w:val="both"/>
        <w:rPr>
          <w:rFonts w:cs="Arial"/>
        </w:rPr>
      </w:pPr>
      <w:r w:rsidRPr="00D35939">
        <w:rPr>
          <w:rFonts w:cs="Arial"/>
        </w:rPr>
        <w:lastRenderedPageBreak/>
        <w:t>Primera infancia: Varios de los programas, como son: Hogares Comunitarios y Hogares FAMI se desarrollan bajo un modelo de ejecución colaborativa de esta política pública a nivel familiar y comunitario, en el cuál la ciudadanía, bajo la figura de madres y padres comunitarios y agentes educativos se encargan de atender las necesidades básicas de protección, cuidado, nutrición, salud, educación y desarrollo psicosocial de los niños y niñas en la primera infancia.</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Protección: En el marco del restablecimiento de derechos de los niños, niñas, adolescentes y mayores de 18 años con discapacidad en situación de inobservancia, amenaza o vulneración de derechos, el ICBF aborda la atención de esta población de acuerdo a sus necesidades diferenciales, en espacios que conducen al reconocimiento y goce efectivo de sus derechos, para lo cual cuenta con las siguientes modalidades de atención, cuyo esquema corresponde a ejecución participativa, toda vez que las intervenciones se realizan con la comunidad y en entornos familiares. Algunos de los programas destacados en el marco de la ejecución colaborativa para el restablecimiento de derechos de los niños, niñas y adolescentes son: Hogar Gestor y Hogar Sustituto.</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 xml:space="preserve">Niñez y Adolescencia: En el marco de la estrategia de Acciones Masivas de Alto Impacto Social (AMAS); durante la vigencia 2016 se está desarrollando una acción puntualmente dirigida a promover el derecho a la participación de 900 niños, niñas y adolescentes de Paz de Ariporo (Casanare), Puerto Inírida (Guainía), Riohacha (La Guajira), San Andrés y Providencia (San Andrés Islas) y Cali (Valle del Cauca); a través de la formación en periodismo y comunicaciones y la promoción de procesos de incidencia a nivel local, regional y nacional. </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 xml:space="preserve">En el caso del programa de generaciones con Bienestar el componente de participación y control social, apunta a la meta de creación de las mesas municipales y departamentales de participación de los niños, niñas y adolescentes en cada uno los entes territoriales en donde opera “Generaciones con Bienestar” y la veeduría de los participantes, padres madres o cuidadores a la ejecución del programa. </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 xml:space="preserve">Estrategia construyendo Juntos entornos protectores La implementación de la Estrategia tiene como fin generar espacios de diálogo y de construcción de saberes con padres, madres, cuidadores y docentes, y contribuir al reconocimiento de niños, niñas y adolescentes como sujetos de derechos, promoción de los mismos y prevención de sus vulneraciones. Para ello consta de un módulo de formación dedicado a la participación ciudadana. </w:t>
      </w:r>
    </w:p>
    <w:p w:rsidR="00D35939" w:rsidRPr="00D35939" w:rsidRDefault="00D35939" w:rsidP="00D35939">
      <w:pPr>
        <w:spacing w:after="0" w:line="240" w:lineRule="auto"/>
        <w:jc w:val="both"/>
        <w:rPr>
          <w:rFonts w:cs="Arial"/>
        </w:rPr>
      </w:pPr>
    </w:p>
    <w:p w:rsidR="00D35939" w:rsidRPr="00D35939" w:rsidRDefault="00D35939" w:rsidP="00D712DC">
      <w:pPr>
        <w:numPr>
          <w:ilvl w:val="0"/>
          <w:numId w:val="107"/>
        </w:numPr>
        <w:spacing w:after="0" w:line="240" w:lineRule="auto"/>
        <w:ind w:left="360"/>
        <w:contextualSpacing/>
        <w:jc w:val="both"/>
        <w:rPr>
          <w:rFonts w:cs="Arial"/>
        </w:rPr>
      </w:pPr>
      <w:r w:rsidRPr="00D35939">
        <w:rPr>
          <w:rFonts w:cs="Arial"/>
        </w:rPr>
        <w:t>Espacios para la formulación y ajuste de planes, políticas y proyectos; como en el caso de:</w:t>
      </w:r>
    </w:p>
    <w:p w:rsidR="00D35939" w:rsidRPr="00D35939" w:rsidRDefault="00D35939" w:rsidP="00D35939">
      <w:pPr>
        <w:spacing w:after="0" w:line="240" w:lineRule="auto"/>
        <w:ind w:left="708"/>
        <w:jc w:val="both"/>
        <w:rPr>
          <w:rFonts w:cs="Arial"/>
        </w:rPr>
      </w:pPr>
    </w:p>
    <w:p w:rsidR="00D35939" w:rsidRPr="00D35939" w:rsidRDefault="00D35939" w:rsidP="00D35939">
      <w:pPr>
        <w:spacing w:after="0" w:line="240" w:lineRule="auto"/>
        <w:jc w:val="both"/>
        <w:rPr>
          <w:rFonts w:cs="Arial"/>
        </w:rPr>
      </w:pPr>
      <w:r w:rsidRPr="00D35939">
        <w:rPr>
          <w:rFonts w:cs="Arial"/>
        </w:rPr>
        <w:t>La formulación de política de niñez y adolescencia 2015-2106.El ICBF a través de la Dirección de Niñez y Adolescencia, realizó en 2015, 128 encuentros de socialización y diálogo adelantados en todos los departamentos del país, con agentes e instancias del Sistema Nacional de Bienestar Familiar (962 personas), 924 niños y niñas, 1.030 adolescentes y 874 adultos de grupos familiares, en torno a las realizaciones y entornos de la infancia y la adolescencia. Adicionalmente, adelantó una consulta virtual efectuada con 3.936 niños, niñas y adolescentes usuarios (nuevos o recurrentes) en torno a sus propuestas para la Política Nacional de Infancia y Adolescencia.</w:t>
      </w:r>
    </w:p>
    <w:p w:rsidR="00D35939" w:rsidRPr="00D35939" w:rsidRDefault="00D35939" w:rsidP="00D35939">
      <w:pPr>
        <w:spacing w:after="0" w:line="240" w:lineRule="auto"/>
        <w:jc w:val="both"/>
        <w:rPr>
          <w:rFonts w:cs="Arial"/>
        </w:rPr>
      </w:pPr>
      <w:r w:rsidRPr="00D35939">
        <w:rPr>
          <w:rFonts w:cs="Arial"/>
        </w:rPr>
        <w:lastRenderedPageBreak/>
        <w:t>Y la construcción participativa del plan anticorrupción y atención al ciudadano 2015-2016, a partir de los aportes de ciudadanos y colaboradores quienes opinaron y enviaron sus propuestas, que se vieron materializadas en el plan de la actual vigencia.</w:t>
      </w:r>
    </w:p>
    <w:p w:rsidR="00D35939" w:rsidRPr="00D35939" w:rsidRDefault="00D35939" w:rsidP="00D35939">
      <w:pPr>
        <w:spacing w:after="0" w:line="240" w:lineRule="auto"/>
        <w:jc w:val="both"/>
        <w:rPr>
          <w:rFonts w:cs="Arial"/>
        </w:rPr>
      </w:pPr>
    </w:p>
    <w:p w:rsidR="00D35939" w:rsidRPr="00D35939" w:rsidRDefault="00D35939" w:rsidP="00D712DC">
      <w:pPr>
        <w:numPr>
          <w:ilvl w:val="0"/>
          <w:numId w:val="107"/>
        </w:numPr>
        <w:spacing w:after="0" w:line="240" w:lineRule="auto"/>
        <w:ind w:left="360"/>
        <w:contextualSpacing/>
        <w:jc w:val="both"/>
        <w:rPr>
          <w:rFonts w:cs="Arial"/>
          <w:b/>
          <w:lang w:eastAsia="es-ES_tradnl" w:bidi="x-none"/>
        </w:rPr>
      </w:pPr>
      <w:r w:rsidRPr="00D35939">
        <w:rPr>
          <w:rFonts w:cs="Arial"/>
        </w:rPr>
        <w:t xml:space="preserve">Espacios de formulación de planes políticas y proyectos; como es el caso de la construcción participativa de la Modalidad Propia, para atención en primera infancia con enfoque diferencial,  la </w:t>
      </w:r>
      <w:r w:rsidRPr="00D35939">
        <w:rPr>
          <w:rFonts w:cs="Arial"/>
          <w:lang w:eastAsia="es-ES_tradnl" w:bidi="x-none"/>
        </w:rPr>
        <w:t xml:space="preserve">conformación consejo asesor y consultivo nacional de niños, niñas y adolescentes del ICBF, la </w:t>
      </w:r>
      <w:r w:rsidRPr="00D35939">
        <w:rPr>
          <w:rFonts w:cs="Arial"/>
        </w:rPr>
        <w:t xml:space="preserve">ejecución participativa en planes políticas, programas y proyectos de familia y comunidades, la construcción de la línea de política de prevención y erradicación de la explotación sexual comercial de niños, niñas y adolescentes, la estrategia intercultural para la prevención, atención y detección de la violencia sexual en niños, niñas y adolescentes indígenas, los consejos de política social y la </w:t>
      </w:r>
      <w:r w:rsidRPr="00D35939">
        <w:rPr>
          <w:rFonts w:cs="Arial"/>
          <w:lang w:eastAsia="es-ES_tradnl" w:bidi="x-none"/>
        </w:rPr>
        <w:t>conformación y fortalecimiento mesas de participación de niños, niñas y adolescentes, entre otros.</w:t>
      </w:r>
    </w:p>
    <w:p w:rsidR="00D35939" w:rsidRPr="00D35939" w:rsidRDefault="00D35939" w:rsidP="00D35939">
      <w:pPr>
        <w:spacing w:after="0"/>
        <w:ind w:left="708"/>
        <w:jc w:val="both"/>
        <w:rPr>
          <w:rFonts w:cs="Arial"/>
          <w:b/>
          <w:lang w:eastAsia="es-ES_tradnl" w:bidi="x-none"/>
        </w:rPr>
      </w:pPr>
    </w:p>
    <w:p w:rsidR="00D35939" w:rsidRPr="00D35939" w:rsidRDefault="00D35939" w:rsidP="00D712DC">
      <w:pPr>
        <w:numPr>
          <w:ilvl w:val="0"/>
          <w:numId w:val="107"/>
        </w:numPr>
        <w:spacing w:line="240" w:lineRule="auto"/>
        <w:ind w:left="360"/>
        <w:jc w:val="both"/>
        <w:rPr>
          <w:rFonts w:cs="Arial"/>
        </w:rPr>
      </w:pPr>
      <w:r w:rsidRPr="00D35939">
        <w:rPr>
          <w:rFonts w:cs="Arial"/>
        </w:rPr>
        <w:t>Espacios de participación en la formulación de normatividad, como en el caso de la construcción participativa de los Lineamientos de Protección: lineamientos técnico administrativos de la Subdirección de Restablecimiento de Derechos, Lineamientos técnico administrativos de la Subdirección de Responsabilidad Penal, Lineamientos técnico administrativos de la Subdirección de Adopciones y Lineamientos técnico administrativos de la Coordinación de Autoridades Administrativas y Lineamientos de Familia y Comunidades..</w:t>
      </w:r>
    </w:p>
    <w:p w:rsidR="00D35939" w:rsidRPr="00D35939" w:rsidRDefault="00D35939" w:rsidP="00D35939">
      <w:pPr>
        <w:spacing w:after="0" w:line="240" w:lineRule="auto"/>
        <w:ind w:left="360"/>
        <w:contextualSpacing/>
        <w:jc w:val="both"/>
        <w:rPr>
          <w:rFonts w:cs="Arial"/>
        </w:rPr>
      </w:pPr>
      <w:r w:rsidRPr="00D35939">
        <w:rPr>
          <w:rFonts w:cs="Arial"/>
        </w:rPr>
        <w:t>Actualmente, las Direcciones Misionales, Estratégicas y de Apoyo que realizan actividades de participación ciudadana en los diferentes niveles, se encuentran validando las actividades a realizar en el año 2017 para dar alcance a la estrategia de participación institucional vigencia 2017, en el marco del componente 6 del Plan Anticorrupción 2017, a través del cual se afianza la participación ciudadana como una estrategia por la transparencia en la gestión de la entidad.</w:t>
      </w:r>
    </w:p>
    <w:p w:rsidR="00D35939" w:rsidRPr="00D35939" w:rsidRDefault="00D35939" w:rsidP="00C64AF6"/>
    <w:p w:rsidR="00D35939" w:rsidRPr="00D35939" w:rsidRDefault="00D35939" w:rsidP="00C64AF6">
      <w:pPr>
        <w:ind w:firstLine="360"/>
        <w:rPr>
          <w:rFonts w:eastAsiaTheme="majorEastAsia"/>
          <w:b/>
        </w:rPr>
      </w:pPr>
      <w:r w:rsidRPr="00D35939">
        <w:rPr>
          <w:rFonts w:eastAsiaTheme="majorEastAsia"/>
          <w:b/>
        </w:rPr>
        <w:t xml:space="preserve">Rendición de cuentas y mesas públicas </w:t>
      </w:r>
    </w:p>
    <w:p w:rsidR="00D35939" w:rsidRPr="00D35939" w:rsidRDefault="00D35939" w:rsidP="00D35939">
      <w:pPr>
        <w:widowControl w:val="0"/>
        <w:suppressAutoHyphens/>
        <w:autoSpaceDN w:val="0"/>
        <w:spacing w:after="0" w:line="240" w:lineRule="auto"/>
        <w:jc w:val="both"/>
        <w:textAlignment w:val="baseline"/>
        <w:rPr>
          <w:rFonts w:eastAsia="Droid Sans" w:cs="Arial"/>
          <w:kern w:val="3"/>
          <w:lang w:val="es-CO" w:eastAsia="zh-CN" w:bidi="hi-IN"/>
        </w:rPr>
      </w:pPr>
      <w:r w:rsidRPr="00D35939">
        <w:rPr>
          <w:rFonts w:eastAsia="Droid Sans" w:cs="Arial"/>
          <w:kern w:val="3"/>
          <w:lang w:val="es-CO" w:eastAsia="zh-CN" w:bidi="hi-IN"/>
        </w:rPr>
        <w:t>La implementación de la Política de Rendición de Cuentas del ICBF a los ciudadanos está establecida en el documento CONPES 3654 de 2010 y para el 2016 se continuó el posicionamiento de la cultura de apertura de la información, transparencia y diálogo entre el Estado y los ciudadanos.</w:t>
      </w:r>
    </w:p>
    <w:p w:rsidR="00D35939" w:rsidRPr="00D35939" w:rsidRDefault="00D35939" w:rsidP="00D35939">
      <w:pPr>
        <w:widowControl w:val="0"/>
        <w:suppressAutoHyphens/>
        <w:autoSpaceDN w:val="0"/>
        <w:spacing w:after="0" w:line="240" w:lineRule="auto"/>
        <w:jc w:val="both"/>
        <w:textAlignment w:val="baseline"/>
        <w:rPr>
          <w:rFonts w:eastAsia="Droid Sans" w:cs="Arial"/>
          <w:kern w:val="3"/>
          <w:lang w:val="es-CO" w:eastAsia="zh-CN" w:bidi="hi-IN"/>
        </w:rPr>
      </w:pPr>
    </w:p>
    <w:p w:rsidR="00D35939" w:rsidRDefault="00D35939" w:rsidP="00D35939">
      <w:pPr>
        <w:widowControl w:val="0"/>
        <w:suppressAutoHyphens/>
        <w:autoSpaceDN w:val="0"/>
        <w:spacing w:after="0" w:line="240" w:lineRule="auto"/>
        <w:jc w:val="both"/>
        <w:textAlignment w:val="baseline"/>
        <w:rPr>
          <w:rFonts w:eastAsia="Droid Sans" w:cs="Arial"/>
          <w:kern w:val="3"/>
          <w:lang w:val="es-CO" w:eastAsia="zh-CN" w:bidi="hi-IN"/>
        </w:rPr>
      </w:pPr>
      <w:r w:rsidRPr="00D35939">
        <w:rPr>
          <w:rFonts w:eastAsia="Droid Sans" w:cs="Arial"/>
          <w:kern w:val="3"/>
          <w:lang w:val="es-CO" w:eastAsia="zh-CN" w:bidi="hi-IN"/>
        </w:rPr>
        <w:t>En desarrollo de esta política fijada en el CONPES, para el 2016 el ICBF estableció las metas y actividades de este proceso en el Plan de Rendición de Cuentas que se constituye en la carta de navegación de la entidad en temas de diálogo, información e incentivos fundamentados en las orientaciones y lineamientos metodológicos y contenidos definidos en el Artículo 78 de la Ley 1474 de 2011 “Estatuto Anticorrupción” y la  Ley 1712 de marzo 6 de 2014 sobre Transparencia y Derecho de Acceso a la Información, la cual fue  reglamentada por el Decreto Nacional 103 de 2015, bajo esas orientaciones el ICBF en el 2016 obtuvo los siguientes resultados traducidos en los siguientes logros dificultades y retos .</w:t>
      </w:r>
    </w:p>
    <w:p w:rsidR="00D8710A" w:rsidRDefault="00D8710A" w:rsidP="00D35939">
      <w:pPr>
        <w:widowControl w:val="0"/>
        <w:suppressAutoHyphens/>
        <w:autoSpaceDN w:val="0"/>
        <w:spacing w:after="0" w:line="240" w:lineRule="auto"/>
        <w:jc w:val="both"/>
        <w:textAlignment w:val="baseline"/>
        <w:rPr>
          <w:rFonts w:eastAsia="Droid Sans" w:cs="Arial"/>
          <w:kern w:val="3"/>
          <w:lang w:val="es-CO" w:eastAsia="zh-CN" w:bidi="hi-IN"/>
        </w:rPr>
      </w:pPr>
    </w:p>
    <w:p w:rsidR="00D8710A" w:rsidRPr="00D35939" w:rsidRDefault="00D8710A" w:rsidP="00D35939">
      <w:pPr>
        <w:widowControl w:val="0"/>
        <w:suppressAutoHyphens/>
        <w:autoSpaceDN w:val="0"/>
        <w:spacing w:after="0" w:line="240" w:lineRule="auto"/>
        <w:jc w:val="both"/>
        <w:textAlignment w:val="baseline"/>
        <w:rPr>
          <w:rFonts w:eastAsia="Droid Sans" w:cs="Arial"/>
          <w:kern w:val="3"/>
          <w:lang w:val="es-CO" w:eastAsia="zh-CN" w:bidi="hi-IN"/>
        </w:rPr>
      </w:pPr>
    </w:p>
    <w:p w:rsidR="00D35939" w:rsidRDefault="00D35939" w:rsidP="00173B2F">
      <w:pPr>
        <w:widowControl w:val="0"/>
        <w:suppressAutoHyphens/>
        <w:autoSpaceDN w:val="0"/>
        <w:spacing w:after="0" w:line="240" w:lineRule="auto"/>
        <w:jc w:val="both"/>
        <w:textAlignment w:val="baseline"/>
        <w:rPr>
          <w:rFonts w:eastAsiaTheme="majorEastAsia"/>
          <w:b/>
        </w:rPr>
      </w:pPr>
      <w:r w:rsidRPr="00D35939">
        <w:rPr>
          <w:rFonts w:eastAsia="Droid Sans" w:cs="Arial"/>
          <w:kern w:val="3"/>
          <w:lang w:val="es-CO" w:eastAsia="zh-CN" w:bidi="hi-IN"/>
        </w:rPr>
        <w:lastRenderedPageBreak/>
        <w:t xml:space="preserve"> </w:t>
      </w:r>
      <w:bookmarkStart w:id="241" w:name="_Toc473228110"/>
      <w:r w:rsidRPr="00A1269F">
        <w:rPr>
          <w:rFonts w:eastAsiaTheme="majorEastAsia"/>
          <w:b/>
        </w:rPr>
        <w:t>Avances en la Rendición de cuentas y mesas públicas</w:t>
      </w:r>
      <w:bookmarkEnd w:id="241"/>
      <w:r w:rsidRPr="00A1269F">
        <w:rPr>
          <w:rFonts w:eastAsiaTheme="majorEastAsia"/>
          <w:b/>
        </w:rPr>
        <w:t xml:space="preserve"> </w:t>
      </w:r>
    </w:p>
    <w:p w:rsidR="00D8710A" w:rsidRPr="00A1269F" w:rsidRDefault="00D8710A" w:rsidP="00173B2F">
      <w:pPr>
        <w:widowControl w:val="0"/>
        <w:suppressAutoHyphens/>
        <w:autoSpaceDN w:val="0"/>
        <w:spacing w:after="0" w:line="240" w:lineRule="auto"/>
        <w:jc w:val="both"/>
        <w:textAlignment w:val="baseline"/>
        <w:rPr>
          <w:rFonts w:eastAsiaTheme="majorEastAsia"/>
          <w:b/>
        </w:rPr>
      </w:pPr>
    </w:p>
    <w:p w:rsidR="009362A9" w:rsidRDefault="00D35939" w:rsidP="00470DCA">
      <w:pPr>
        <w:numPr>
          <w:ilvl w:val="0"/>
          <w:numId w:val="224"/>
        </w:numPr>
        <w:spacing w:after="0" w:line="240" w:lineRule="auto"/>
        <w:contextualSpacing/>
        <w:jc w:val="both"/>
        <w:rPr>
          <w:rFonts w:cs="Arial"/>
        </w:rPr>
      </w:pPr>
      <w:r w:rsidRPr="00D35939">
        <w:rPr>
          <w:rFonts w:cs="Arial"/>
        </w:rPr>
        <w:t>Con corte 31 de diciembre  de 2016, en los niveles nacional, regional y zonal se reportaron  la gestión de treinta y tres  (36) eventos de rendición de cuentas y doscientos catorce (215) mesas públicas para un total de doscientos cuarenta y siete (251) eventos, de doscientos cincuenta y uno (251) planificados. Así, se logró una gestión del 100.</w:t>
      </w:r>
    </w:p>
    <w:p w:rsidR="00C64AF6" w:rsidRPr="006E6FE5" w:rsidRDefault="00C64AF6" w:rsidP="00C64AF6">
      <w:pPr>
        <w:spacing w:after="0" w:line="240" w:lineRule="auto"/>
        <w:ind w:left="360"/>
        <w:contextualSpacing/>
        <w:jc w:val="both"/>
        <w:rPr>
          <w:rFonts w:cs="Arial"/>
        </w:rPr>
      </w:pPr>
    </w:p>
    <w:p w:rsidR="009362A9" w:rsidRDefault="00D35939" w:rsidP="00470DCA">
      <w:pPr>
        <w:numPr>
          <w:ilvl w:val="0"/>
          <w:numId w:val="224"/>
        </w:numPr>
        <w:spacing w:after="0" w:line="240" w:lineRule="auto"/>
        <w:contextualSpacing/>
        <w:jc w:val="both"/>
        <w:rPr>
          <w:rFonts w:cs="Arial"/>
        </w:rPr>
      </w:pPr>
      <w:r w:rsidRPr="00D35939">
        <w:rPr>
          <w:rFonts w:cs="Arial"/>
        </w:rPr>
        <w:t xml:space="preserve">Se publicaron en la página web todas las evidencias de los resultados de la meta  2016, tanto del nivel nacional, </w:t>
      </w:r>
      <w:r w:rsidR="009362A9">
        <w:rPr>
          <w:rFonts w:cs="Arial"/>
        </w:rPr>
        <w:t>como el nivel regional y zonal.</w:t>
      </w:r>
    </w:p>
    <w:p w:rsidR="00C64AF6" w:rsidRPr="006E6FE5" w:rsidRDefault="00C64AF6" w:rsidP="00C64AF6">
      <w:pPr>
        <w:spacing w:after="0" w:line="240" w:lineRule="auto"/>
        <w:contextualSpacing/>
        <w:jc w:val="both"/>
        <w:rPr>
          <w:rFonts w:cs="Arial"/>
        </w:rPr>
      </w:pPr>
    </w:p>
    <w:p w:rsidR="009362A9" w:rsidRDefault="00D35939" w:rsidP="00470DCA">
      <w:pPr>
        <w:numPr>
          <w:ilvl w:val="0"/>
          <w:numId w:val="224"/>
        </w:numPr>
        <w:spacing w:after="0" w:line="240" w:lineRule="auto"/>
        <w:contextualSpacing/>
        <w:jc w:val="both"/>
        <w:rPr>
          <w:rFonts w:cs="Arial"/>
        </w:rPr>
      </w:pPr>
      <w:r w:rsidRPr="00D35939">
        <w:rPr>
          <w:rFonts w:cs="Arial"/>
        </w:rPr>
        <w:t>Se actualizó la Guía de Rendición de Cuentas con fecha junio de 2016</w:t>
      </w:r>
      <w:r w:rsidR="009362A9">
        <w:rPr>
          <w:rFonts w:cs="Arial"/>
        </w:rPr>
        <w:t xml:space="preserve"> y se publicó en la página web.</w:t>
      </w:r>
    </w:p>
    <w:p w:rsidR="00C64AF6" w:rsidRPr="006E6FE5" w:rsidRDefault="00C64AF6" w:rsidP="00C64AF6">
      <w:pPr>
        <w:spacing w:after="0" w:line="240" w:lineRule="auto"/>
        <w:contextualSpacing/>
        <w:jc w:val="both"/>
        <w:rPr>
          <w:rFonts w:cs="Arial"/>
        </w:rPr>
      </w:pPr>
    </w:p>
    <w:p w:rsidR="00D35939" w:rsidRPr="00D35939" w:rsidRDefault="00D35939" w:rsidP="00470DCA">
      <w:pPr>
        <w:numPr>
          <w:ilvl w:val="0"/>
          <w:numId w:val="224"/>
        </w:numPr>
        <w:spacing w:after="0" w:line="240" w:lineRule="auto"/>
        <w:contextualSpacing/>
        <w:jc w:val="both"/>
        <w:rPr>
          <w:rFonts w:cs="Arial"/>
        </w:rPr>
      </w:pPr>
      <w:r w:rsidRPr="00D35939">
        <w:rPr>
          <w:rFonts w:cs="Arial"/>
        </w:rPr>
        <w:t>Para el 2016, el ICBF contó con un presupuesto de $237.190.157 pesos con el apoyo de la Dirección de Abastecimiento y Logística. Para el 2016 en el desarrollo de las mesas públicas y los eventos de RPC se generaron un total de 638 compromisos de los cuales se cumplieron un total de 638  compromisos para una gestión del 100% del total.</w:t>
      </w:r>
    </w:p>
    <w:p w:rsidR="00D35939" w:rsidRPr="00D35939" w:rsidRDefault="00D35939" w:rsidP="00D35939">
      <w:pPr>
        <w:spacing w:after="0" w:line="240" w:lineRule="auto"/>
        <w:ind w:left="720"/>
        <w:contextualSpacing/>
        <w:jc w:val="both"/>
        <w:rPr>
          <w:rFonts w:cs="Arial"/>
        </w:rPr>
      </w:pPr>
    </w:p>
    <w:p w:rsidR="00D35939" w:rsidRDefault="00D35939" w:rsidP="00D35939">
      <w:pPr>
        <w:spacing w:after="0" w:line="240" w:lineRule="auto"/>
        <w:jc w:val="both"/>
        <w:rPr>
          <w:rFonts w:cs="Arial"/>
        </w:rPr>
      </w:pPr>
      <w:r w:rsidRPr="00D35939">
        <w:rPr>
          <w:rFonts w:cs="Arial"/>
        </w:rPr>
        <w:t>Los  compromisos adquiridos en las mesas públicas en el 2016  estuvieron orientados a:</w:t>
      </w:r>
    </w:p>
    <w:p w:rsidR="006E6FE5" w:rsidRPr="00D35939" w:rsidRDefault="006E6FE5" w:rsidP="00D35939">
      <w:pPr>
        <w:spacing w:after="0" w:line="240" w:lineRule="auto"/>
        <w:jc w:val="both"/>
        <w:rPr>
          <w:rFonts w:cs="Arial"/>
        </w:rPr>
      </w:pPr>
    </w:p>
    <w:p w:rsidR="00D35939" w:rsidRDefault="00D35939" w:rsidP="00D712DC">
      <w:pPr>
        <w:numPr>
          <w:ilvl w:val="0"/>
          <w:numId w:val="115"/>
        </w:numPr>
        <w:spacing w:after="0" w:line="240" w:lineRule="auto"/>
        <w:jc w:val="both"/>
        <w:rPr>
          <w:rFonts w:cs="Arial"/>
          <w:noProof/>
          <w:lang w:val="es-CO" w:eastAsia="es-CO"/>
        </w:rPr>
      </w:pPr>
      <w:r w:rsidRPr="00D35939">
        <w:rPr>
          <w:rFonts w:cs="Arial"/>
          <w:noProof/>
          <w:lang w:val="es-CO" w:eastAsia="es-CO"/>
        </w:rPr>
        <w:t>Realizar  las actividades para la inclusión de los Operadores de los servicios a los padres de familia y a los entes territoriales en las actividades con los niños y las niñas dentro de la Estrategia.</w:t>
      </w:r>
    </w:p>
    <w:p w:rsidR="00132E80" w:rsidRPr="00D35939" w:rsidRDefault="00132E80" w:rsidP="00132E80">
      <w:pPr>
        <w:spacing w:after="0" w:line="240" w:lineRule="auto"/>
        <w:ind w:left="360"/>
        <w:jc w:val="both"/>
        <w:rPr>
          <w:rFonts w:cs="Arial"/>
          <w:noProof/>
          <w:lang w:val="es-CO" w:eastAsia="es-CO"/>
        </w:rPr>
      </w:pPr>
    </w:p>
    <w:p w:rsidR="00D35939" w:rsidRDefault="00D35939" w:rsidP="00D712DC">
      <w:pPr>
        <w:numPr>
          <w:ilvl w:val="0"/>
          <w:numId w:val="115"/>
        </w:numPr>
        <w:spacing w:after="0" w:line="240" w:lineRule="auto"/>
        <w:jc w:val="both"/>
        <w:rPr>
          <w:rFonts w:cs="Arial"/>
          <w:noProof/>
          <w:lang w:val="es-CO" w:eastAsia="es-CO"/>
        </w:rPr>
      </w:pPr>
      <w:r w:rsidRPr="00D35939">
        <w:rPr>
          <w:rFonts w:cs="Arial"/>
          <w:noProof/>
          <w:lang w:val="es-CO" w:eastAsia="es-CO"/>
        </w:rPr>
        <w:t>Generar acciones tendientes a garantizar aumento de coberturas de programas en territorios con m</w:t>
      </w:r>
      <w:r w:rsidR="00132E80">
        <w:rPr>
          <w:rFonts w:cs="Arial"/>
          <w:noProof/>
          <w:lang w:val="es-CO" w:eastAsia="es-CO"/>
        </w:rPr>
        <w:t>ayor demanda y mayor necesidad.</w:t>
      </w:r>
    </w:p>
    <w:p w:rsidR="00132E80" w:rsidRPr="00D35939" w:rsidRDefault="00132E80" w:rsidP="00132E80">
      <w:pPr>
        <w:spacing w:after="0" w:line="240" w:lineRule="auto"/>
        <w:jc w:val="both"/>
        <w:rPr>
          <w:rFonts w:cs="Arial"/>
          <w:noProof/>
          <w:lang w:val="es-CO" w:eastAsia="es-CO"/>
        </w:rPr>
      </w:pPr>
    </w:p>
    <w:p w:rsidR="00D35939" w:rsidRPr="00D35939" w:rsidRDefault="00D35939" w:rsidP="00D712DC">
      <w:pPr>
        <w:numPr>
          <w:ilvl w:val="0"/>
          <w:numId w:val="115"/>
        </w:numPr>
        <w:spacing w:after="0" w:line="240" w:lineRule="auto"/>
        <w:jc w:val="both"/>
        <w:rPr>
          <w:rFonts w:cs="Arial"/>
          <w:noProof/>
          <w:lang w:val="es-CO" w:eastAsia="es-CO"/>
        </w:rPr>
      </w:pPr>
      <w:r w:rsidRPr="00D35939">
        <w:rPr>
          <w:rFonts w:cs="Arial"/>
          <w:noProof/>
          <w:lang w:val="es-CO" w:eastAsia="es-CO"/>
        </w:rPr>
        <w:t>Facilitar acciones para para promover las veedurias ciuadadanas en los  programas .</w:t>
      </w:r>
    </w:p>
    <w:p w:rsidR="00D35939" w:rsidRPr="00D35939" w:rsidRDefault="00D35939" w:rsidP="00D35939">
      <w:pPr>
        <w:spacing w:after="0" w:line="240" w:lineRule="auto"/>
        <w:jc w:val="both"/>
        <w:rPr>
          <w:rFonts w:cs="Arial"/>
        </w:rPr>
      </w:pPr>
    </w:p>
    <w:p w:rsidR="00D35939" w:rsidRPr="00132E80" w:rsidRDefault="00D35939" w:rsidP="00D35939">
      <w:pPr>
        <w:spacing w:after="0" w:line="240" w:lineRule="auto"/>
        <w:jc w:val="both"/>
        <w:rPr>
          <w:rFonts w:cs="Arial"/>
        </w:rPr>
      </w:pPr>
      <w:r w:rsidRPr="00D35939">
        <w:rPr>
          <w:rFonts w:cs="Arial"/>
        </w:rPr>
        <w:t>En las mesas públicas y la rendición de cuentas a la fecha, participaron un total de: 18.101 personas de las cuales 4.170 representaron a las Organizaciones Gubernamentales, 12.767 personas representaron a las Organizaciones No Gubernamentales y comunitarias y 1.164 personas que representaron a los Organismos de Control  y Veedurías Ciudadanas</w:t>
      </w:r>
      <w:r w:rsidRPr="00132E80">
        <w:rPr>
          <w:rFonts w:cs="Arial"/>
        </w:rPr>
        <w:t>. Las principales acciones realizadas en la vigencia 2016 fueron:</w:t>
      </w:r>
    </w:p>
    <w:p w:rsidR="00D35939" w:rsidRPr="00D35939" w:rsidRDefault="00D35939" w:rsidP="00D35939">
      <w:pPr>
        <w:spacing w:after="0" w:line="240" w:lineRule="auto"/>
        <w:jc w:val="both"/>
        <w:rPr>
          <w:rFonts w:cs="Arial"/>
          <w:color w:val="0070C0"/>
        </w:rPr>
      </w:pPr>
    </w:p>
    <w:p w:rsidR="00D35939" w:rsidRDefault="00D35939" w:rsidP="00D35939">
      <w:pPr>
        <w:spacing w:after="0"/>
        <w:jc w:val="both"/>
        <w:rPr>
          <w:rFonts w:cs="Arial"/>
        </w:rPr>
      </w:pPr>
      <w:r w:rsidRPr="00D35939">
        <w:rPr>
          <w:rFonts w:cs="Arial"/>
        </w:rPr>
        <w:t xml:space="preserve">Componente de información: </w:t>
      </w:r>
    </w:p>
    <w:p w:rsidR="00D8710A" w:rsidRPr="00D35939" w:rsidRDefault="00D8710A" w:rsidP="00D35939">
      <w:pPr>
        <w:spacing w:after="0"/>
        <w:jc w:val="both"/>
        <w:rPr>
          <w:rFonts w:cs="Arial"/>
        </w:rPr>
      </w:pPr>
    </w:p>
    <w:p w:rsidR="00D35939" w:rsidRPr="00D35939" w:rsidRDefault="00D35939" w:rsidP="00D712DC">
      <w:pPr>
        <w:numPr>
          <w:ilvl w:val="0"/>
          <w:numId w:val="116"/>
        </w:numPr>
        <w:spacing w:after="0"/>
        <w:jc w:val="both"/>
        <w:rPr>
          <w:rFonts w:cs="Arial"/>
        </w:rPr>
      </w:pPr>
      <w:r w:rsidRPr="00D35939">
        <w:rPr>
          <w:rFonts w:cs="Arial"/>
        </w:rPr>
        <w:t xml:space="preserve">Colgar el 90% de los informes de gestión de la RPC y el 60% de los informes de las MP y sus convocatorias, para ser consultados por los participantes a estos eventos. </w:t>
      </w:r>
    </w:p>
    <w:p w:rsidR="00D35939" w:rsidRPr="00D35939" w:rsidRDefault="00D35939" w:rsidP="00D712DC">
      <w:pPr>
        <w:numPr>
          <w:ilvl w:val="0"/>
          <w:numId w:val="116"/>
        </w:numPr>
        <w:spacing w:after="0"/>
        <w:jc w:val="both"/>
        <w:rPr>
          <w:rFonts w:cs="Arial"/>
        </w:rPr>
      </w:pPr>
      <w:r w:rsidRPr="00D35939">
        <w:rPr>
          <w:rFonts w:cs="Arial"/>
        </w:rPr>
        <w:t>Participación activa de la comunidad en los procesos y toma de decisiones.</w:t>
      </w:r>
    </w:p>
    <w:p w:rsidR="00D35939" w:rsidRPr="00D35939" w:rsidRDefault="00D35939" w:rsidP="00D35939">
      <w:pPr>
        <w:spacing w:after="0"/>
        <w:jc w:val="both"/>
        <w:rPr>
          <w:rFonts w:cs="Arial"/>
        </w:rPr>
      </w:pPr>
    </w:p>
    <w:p w:rsidR="00D35939" w:rsidRDefault="00D35939" w:rsidP="00D35939">
      <w:pPr>
        <w:spacing w:after="0"/>
        <w:jc w:val="both"/>
        <w:rPr>
          <w:rFonts w:cs="Arial"/>
        </w:rPr>
      </w:pPr>
      <w:r w:rsidRPr="00D35939">
        <w:rPr>
          <w:rFonts w:cs="Arial"/>
        </w:rPr>
        <w:t>Acciones de diálogo:</w:t>
      </w:r>
    </w:p>
    <w:p w:rsidR="006E6FE5" w:rsidRPr="00D35939" w:rsidRDefault="006E6FE5" w:rsidP="00D35939">
      <w:pPr>
        <w:spacing w:after="0"/>
        <w:jc w:val="both"/>
        <w:rPr>
          <w:rFonts w:cs="Arial"/>
        </w:rPr>
      </w:pPr>
    </w:p>
    <w:p w:rsidR="00D35939" w:rsidRDefault="00D35939" w:rsidP="00D712DC">
      <w:pPr>
        <w:numPr>
          <w:ilvl w:val="0"/>
          <w:numId w:val="117"/>
        </w:numPr>
        <w:spacing w:after="0" w:line="240" w:lineRule="auto"/>
        <w:jc w:val="both"/>
        <w:rPr>
          <w:rFonts w:cs="Arial"/>
        </w:rPr>
      </w:pPr>
      <w:r w:rsidRPr="00D35939">
        <w:rPr>
          <w:rFonts w:cs="Arial"/>
        </w:rPr>
        <w:t>Dialogó con las administraciones públicas sobre  manejo de recursos a través de la medición oportuna y apropiada de los resultados de su gestión.</w:t>
      </w:r>
    </w:p>
    <w:p w:rsidR="00D35939" w:rsidRDefault="00D35939" w:rsidP="00D712DC">
      <w:pPr>
        <w:numPr>
          <w:ilvl w:val="0"/>
          <w:numId w:val="117"/>
        </w:numPr>
        <w:spacing w:after="0" w:line="240" w:lineRule="auto"/>
        <w:jc w:val="both"/>
        <w:rPr>
          <w:rFonts w:cs="Arial"/>
        </w:rPr>
      </w:pPr>
      <w:r w:rsidRPr="00D35939">
        <w:rPr>
          <w:rFonts w:cs="Arial"/>
        </w:rPr>
        <w:lastRenderedPageBreak/>
        <w:t>Generaron espacios de reflexión sobre datos, contenidos e informes de gestión, resultados y avan</w:t>
      </w:r>
      <w:r w:rsidR="006C5219">
        <w:rPr>
          <w:rFonts w:cs="Arial"/>
        </w:rPr>
        <w:t>ces en el cumplimento de metas.</w:t>
      </w:r>
    </w:p>
    <w:p w:rsidR="006C5219" w:rsidRPr="00D35939" w:rsidRDefault="006C5219" w:rsidP="006C5219">
      <w:pPr>
        <w:spacing w:after="0" w:line="240" w:lineRule="auto"/>
        <w:jc w:val="both"/>
        <w:rPr>
          <w:rFonts w:cs="Arial"/>
        </w:rPr>
      </w:pPr>
    </w:p>
    <w:p w:rsidR="00D35939" w:rsidRPr="00D35939" w:rsidRDefault="00D35939" w:rsidP="00D712DC">
      <w:pPr>
        <w:numPr>
          <w:ilvl w:val="0"/>
          <w:numId w:val="117"/>
        </w:numPr>
        <w:spacing w:after="0" w:line="240" w:lineRule="auto"/>
        <w:jc w:val="both"/>
        <w:rPr>
          <w:rFonts w:cs="Arial"/>
        </w:rPr>
      </w:pPr>
      <w:r w:rsidRPr="00D35939">
        <w:rPr>
          <w:rFonts w:cs="Arial"/>
        </w:rPr>
        <w:t xml:space="preserve">Contribuyó  a mejorar y cualificar  la participación de niños, niñas, adolescentes y familias. </w:t>
      </w:r>
    </w:p>
    <w:p w:rsidR="00D35939" w:rsidRPr="00D35939" w:rsidRDefault="00D35939" w:rsidP="00D35939">
      <w:pPr>
        <w:spacing w:after="0" w:line="240" w:lineRule="auto"/>
        <w:jc w:val="both"/>
        <w:rPr>
          <w:rFonts w:cs="Arial"/>
        </w:rPr>
      </w:pPr>
    </w:p>
    <w:p w:rsidR="006E6FE5" w:rsidRDefault="006E6FE5" w:rsidP="00D35939">
      <w:pPr>
        <w:spacing w:after="0" w:line="240" w:lineRule="auto"/>
        <w:jc w:val="both"/>
        <w:rPr>
          <w:rFonts w:cs="Arial"/>
        </w:rPr>
      </w:pPr>
      <w:r>
        <w:rPr>
          <w:rFonts w:cs="Arial"/>
        </w:rPr>
        <w:t>Incentivos:</w:t>
      </w:r>
    </w:p>
    <w:p w:rsidR="00D35939" w:rsidRPr="00D35939" w:rsidRDefault="00D35939" w:rsidP="00D35939">
      <w:pPr>
        <w:spacing w:after="0" w:line="240" w:lineRule="auto"/>
        <w:jc w:val="both"/>
        <w:rPr>
          <w:rFonts w:cs="Arial"/>
        </w:rPr>
      </w:pPr>
      <w:r w:rsidRPr="00D35939">
        <w:rPr>
          <w:rFonts w:cs="Arial"/>
        </w:rPr>
        <w:t xml:space="preserve"> </w:t>
      </w:r>
    </w:p>
    <w:p w:rsidR="00D35939" w:rsidRDefault="00D35939" w:rsidP="00D712DC">
      <w:pPr>
        <w:numPr>
          <w:ilvl w:val="0"/>
          <w:numId w:val="118"/>
        </w:numPr>
        <w:spacing w:after="0" w:line="240" w:lineRule="auto"/>
        <w:jc w:val="both"/>
        <w:rPr>
          <w:rFonts w:cs="Arial"/>
        </w:rPr>
      </w:pPr>
      <w:r w:rsidRPr="00D35939">
        <w:rPr>
          <w:rFonts w:cs="Arial"/>
        </w:rPr>
        <w:t>Establecer procesos de comunicación</w:t>
      </w:r>
      <w:r w:rsidR="006C5219">
        <w:rPr>
          <w:rFonts w:cs="Arial"/>
        </w:rPr>
        <w:t xml:space="preserve"> permanente con los Operadores.</w:t>
      </w:r>
    </w:p>
    <w:p w:rsidR="006C5219" w:rsidRPr="00D35939" w:rsidRDefault="006C5219" w:rsidP="006C5219">
      <w:pPr>
        <w:spacing w:after="0" w:line="240" w:lineRule="auto"/>
        <w:ind w:left="360"/>
        <w:jc w:val="both"/>
        <w:rPr>
          <w:rFonts w:cs="Arial"/>
        </w:rPr>
      </w:pPr>
    </w:p>
    <w:p w:rsidR="00D35939" w:rsidRDefault="00D35939" w:rsidP="00D712DC">
      <w:pPr>
        <w:numPr>
          <w:ilvl w:val="0"/>
          <w:numId w:val="118"/>
        </w:numPr>
        <w:spacing w:after="0" w:line="240" w:lineRule="auto"/>
        <w:jc w:val="both"/>
        <w:rPr>
          <w:rFonts w:cs="Arial"/>
        </w:rPr>
      </w:pPr>
      <w:r w:rsidRPr="00D35939">
        <w:rPr>
          <w:rFonts w:cs="Arial"/>
        </w:rPr>
        <w:t>Brindar respuestas a los compromisos adquiridos en las mesas pública</w:t>
      </w:r>
      <w:r w:rsidR="006C5219">
        <w:rPr>
          <w:rFonts w:cs="Arial"/>
        </w:rPr>
        <w:t>s y en la rendición de cuentas.</w:t>
      </w:r>
    </w:p>
    <w:p w:rsidR="006C5219" w:rsidRPr="00D35939" w:rsidRDefault="006C5219" w:rsidP="006C5219">
      <w:pPr>
        <w:spacing w:after="0" w:line="240" w:lineRule="auto"/>
        <w:jc w:val="both"/>
        <w:rPr>
          <w:rFonts w:cs="Arial"/>
        </w:rPr>
      </w:pPr>
    </w:p>
    <w:p w:rsidR="00D35939" w:rsidRPr="00D35939" w:rsidRDefault="00D35939" w:rsidP="00D712DC">
      <w:pPr>
        <w:numPr>
          <w:ilvl w:val="0"/>
          <w:numId w:val="118"/>
        </w:numPr>
        <w:spacing w:after="0" w:line="240" w:lineRule="auto"/>
        <w:jc w:val="both"/>
        <w:rPr>
          <w:rFonts w:cs="Arial"/>
        </w:rPr>
      </w:pPr>
      <w:r w:rsidRPr="00D35939">
        <w:rPr>
          <w:rFonts w:cs="Arial"/>
        </w:rPr>
        <w:t>Brindar orientaciones claras sobre el proceso de quejas y denuncias a la comunidad  y se compartieron  herramientas y procedimientos para avanzar en este proceso.</w:t>
      </w:r>
    </w:p>
    <w:p w:rsidR="00D35939" w:rsidRPr="00D35939" w:rsidRDefault="00D35939" w:rsidP="00D35939">
      <w:pPr>
        <w:spacing w:after="0" w:line="240" w:lineRule="auto"/>
        <w:jc w:val="both"/>
        <w:rPr>
          <w:rFonts w:cs="Arial"/>
        </w:rPr>
      </w:pPr>
    </w:p>
    <w:p w:rsidR="00D35939" w:rsidRPr="00B8532B" w:rsidRDefault="00D35939" w:rsidP="007342CF">
      <w:pPr>
        <w:pStyle w:val="Prrafodelista"/>
        <w:keepNext/>
        <w:keepLines/>
        <w:numPr>
          <w:ilvl w:val="1"/>
          <w:numId w:val="243"/>
        </w:numPr>
        <w:spacing w:before="40" w:after="0" w:line="240" w:lineRule="auto"/>
        <w:outlineLvl w:val="1"/>
        <w:rPr>
          <w:rFonts w:eastAsiaTheme="majorEastAsia" w:cs="Arial"/>
          <w:b/>
        </w:rPr>
      </w:pPr>
      <w:bookmarkStart w:id="242" w:name="_Toc473581452"/>
      <w:r w:rsidRPr="00B8532B">
        <w:rPr>
          <w:rFonts w:eastAsiaTheme="majorEastAsia" w:cs="Arial"/>
          <w:b/>
        </w:rPr>
        <w:t>Servicio al ciudadano</w:t>
      </w:r>
      <w:bookmarkEnd w:id="242"/>
    </w:p>
    <w:p w:rsidR="00D35939" w:rsidRPr="00D35939" w:rsidRDefault="00D35939" w:rsidP="00D35939">
      <w:pPr>
        <w:spacing w:line="240" w:lineRule="auto"/>
        <w:jc w:val="both"/>
        <w:rPr>
          <w:rFonts w:cs="Arial"/>
        </w:rPr>
      </w:pPr>
    </w:p>
    <w:p w:rsidR="00D35939" w:rsidRPr="00D35939" w:rsidRDefault="00D35939" w:rsidP="00D35939">
      <w:pPr>
        <w:spacing w:line="240" w:lineRule="auto"/>
        <w:jc w:val="both"/>
        <w:rPr>
          <w:rFonts w:cs="Arial"/>
        </w:rPr>
      </w:pPr>
      <w:r w:rsidRPr="00D35939">
        <w:rPr>
          <w:rFonts w:cs="Arial"/>
        </w:rPr>
        <w:t>En el marco de la atención a los ciudadanos se desarrollaron las siguientes actividades, durante el 2016:</w:t>
      </w:r>
    </w:p>
    <w:p w:rsidR="00D35939" w:rsidRPr="00DB61CD" w:rsidRDefault="00D35939" w:rsidP="00DB61CD">
      <w:pPr>
        <w:ind w:firstLine="708"/>
        <w:rPr>
          <w:b/>
        </w:rPr>
      </w:pPr>
      <w:r w:rsidRPr="00DB61CD">
        <w:rPr>
          <w:b/>
        </w:rPr>
        <w:t xml:space="preserve">Medición de la satisfacción y percepción ciudadana: </w:t>
      </w:r>
    </w:p>
    <w:p w:rsidR="00D35939" w:rsidRPr="00D35939" w:rsidRDefault="00D35939" w:rsidP="00D35939">
      <w:pPr>
        <w:overflowPunct w:val="0"/>
        <w:autoSpaceDE w:val="0"/>
        <w:autoSpaceDN w:val="0"/>
        <w:spacing w:after="0"/>
        <w:jc w:val="both"/>
        <w:rPr>
          <w:rFonts w:cs="Arial"/>
        </w:rPr>
      </w:pPr>
      <w:r w:rsidRPr="00D35939">
        <w:rPr>
          <w:rFonts w:cs="Arial"/>
        </w:rPr>
        <w:t>La estrategia de medición de la satisfacción del cliente externo del ICBF en la vigencia 2016, contempló la aplicación de cuatro técnicas a saber: Encuesta de Satisfacción, Encuesta de Percepción, Grupos Focales y Cliente Incógnito. Su planeación y ejecución tuvo lugar entre los meses de agosto y diciembre de 2016, a través del contrato 1439 de 2016 adjudicado al Consultor Consorcio INTERICBF 2016. Las diferentes técnicas fueron aplicadas de acuerdo con la muestra definida por la subdirección de monitoreo y evaluación, superando incluso el 100% en algunos casos, en los centros zonales y unidades de servicio definidas por las áreas misionales, así como en lugares públicos de alta concurrencia y atendiendo a la muestra especificada en las respectivas fichas técnicas.</w:t>
      </w:r>
    </w:p>
    <w:p w:rsidR="00D35939" w:rsidRPr="00D35939" w:rsidRDefault="00D35939" w:rsidP="00D35939">
      <w:pPr>
        <w:overflowPunct w:val="0"/>
        <w:autoSpaceDE w:val="0"/>
        <w:autoSpaceDN w:val="0"/>
        <w:spacing w:after="0"/>
        <w:jc w:val="both"/>
        <w:rPr>
          <w:rFonts w:cs="Arial"/>
        </w:rPr>
      </w:pPr>
    </w:p>
    <w:p w:rsidR="00D35939" w:rsidRPr="00D35939" w:rsidRDefault="00D35939" w:rsidP="00D35939">
      <w:pPr>
        <w:overflowPunct w:val="0"/>
        <w:autoSpaceDE w:val="0"/>
        <w:autoSpaceDN w:val="0"/>
        <w:spacing w:after="0"/>
        <w:jc w:val="both"/>
        <w:rPr>
          <w:rFonts w:cs="Arial"/>
        </w:rPr>
      </w:pPr>
      <w:r w:rsidRPr="00D35939">
        <w:rPr>
          <w:rFonts w:cs="Arial"/>
        </w:rPr>
        <w:t>Como resultado de esta estrategia se encontró que el 92% manifiesta un nivel de satisfacción alto o muy alto con relación a la atención en los centros zonales y puntos de atención presencial del ICBF, 89% de los beneficiarios de los diferentes programas misionales evaluados manifiestan un nivel de satisfacción alto o muy alto frente al servicio recibido.</w:t>
      </w:r>
    </w:p>
    <w:p w:rsidR="00D35939" w:rsidRPr="00D35939" w:rsidRDefault="00D35939" w:rsidP="00D35939">
      <w:pPr>
        <w:overflowPunct w:val="0"/>
        <w:autoSpaceDE w:val="0"/>
        <w:autoSpaceDN w:val="0"/>
        <w:spacing w:after="0"/>
        <w:jc w:val="both"/>
        <w:rPr>
          <w:rFonts w:cs="Arial"/>
        </w:rPr>
      </w:pPr>
    </w:p>
    <w:p w:rsidR="00D35939" w:rsidRPr="00D35939" w:rsidRDefault="00D35939" w:rsidP="00D35939">
      <w:pPr>
        <w:overflowPunct w:val="0"/>
        <w:autoSpaceDE w:val="0"/>
        <w:autoSpaceDN w:val="0"/>
        <w:spacing w:after="0"/>
        <w:jc w:val="both"/>
        <w:rPr>
          <w:rFonts w:cs="Arial"/>
        </w:rPr>
      </w:pPr>
      <w:r w:rsidRPr="00D35939">
        <w:rPr>
          <w:rFonts w:cs="Arial"/>
        </w:rPr>
        <w:t>Con relación a la evaluación de percepción se aplicó en diferentes grupos etarios así: niños y niñas entre los 5 y 9 años, niños, niñas y adolescentes entre los 10 los 14 años y mayores de 15 años; teniendo en cuenta la percepción frente a variables como: logo, servicios, población objetivo, asociación de palabras con la gestión institucional y opiniones abiertas sobre la percepción del ICBF.</w:t>
      </w:r>
    </w:p>
    <w:p w:rsidR="00D35939" w:rsidRPr="00D35939" w:rsidRDefault="00D35939" w:rsidP="00D35939">
      <w:pPr>
        <w:overflowPunct w:val="0"/>
        <w:autoSpaceDE w:val="0"/>
        <w:autoSpaceDN w:val="0"/>
        <w:spacing w:after="0"/>
        <w:jc w:val="both"/>
        <w:rPr>
          <w:rFonts w:cs="Arial"/>
        </w:rPr>
      </w:pPr>
      <w:r w:rsidRPr="00D35939">
        <w:rPr>
          <w:rFonts w:cs="Arial"/>
        </w:rPr>
        <w:lastRenderedPageBreak/>
        <w:t>Los principales resultados demuestran que: la mayor parte de la población conoce de la existencia del ICBF y reconoce su imagen o logo, el nivel de reconocimiento es mayor en personas mayores de 15 años (97%). Llama la atención el reconocimiento del logo especialmente entre niños, niñas y adolescentes entre los 5 y 14 años; en promedio el 73% de las personas al escuchar del ICBF le asocia con sentimientos de alegría o protección; no obstante, en promedio al 16% de los niños, niñas y adolescentes entre los 5 y 14 años de edad les produce tristeza y al 8% miedo; los niños y niñas vulnerables y comunidades indígenas se perciben como los principales grupos poblacionales a los cuáles apoya el ICBF y frente a la percepción de los servicios, la mayor parte de las personas le asocia con la protección a las familias colombianas y la entrega de alimentos.</w:t>
      </w:r>
    </w:p>
    <w:p w:rsidR="00D35939" w:rsidRPr="00D35939" w:rsidRDefault="00D35939" w:rsidP="00D35939">
      <w:pPr>
        <w:overflowPunct w:val="0"/>
        <w:autoSpaceDE w:val="0"/>
        <w:autoSpaceDN w:val="0"/>
        <w:spacing w:after="0"/>
        <w:jc w:val="both"/>
        <w:rPr>
          <w:rFonts w:cs="Arial"/>
          <w:highlight w:val="cyan"/>
        </w:rPr>
      </w:pPr>
    </w:p>
    <w:p w:rsidR="00D35939" w:rsidRPr="00D313B9" w:rsidRDefault="00D35939" w:rsidP="00D313B9">
      <w:pPr>
        <w:ind w:left="708"/>
        <w:jc w:val="both"/>
        <w:rPr>
          <w:b/>
        </w:rPr>
      </w:pPr>
      <w:r w:rsidRPr="00D313B9">
        <w:rPr>
          <w:b/>
        </w:rPr>
        <w:t>Lineamientos para la Gestión de Peticiones, Quejas, Reclamos, Sugerencias y Denuncias</w:t>
      </w:r>
    </w:p>
    <w:p w:rsidR="00D35939" w:rsidRPr="00D35939" w:rsidRDefault="00D35939" w:rsidP="00D313B9">
      <w:pPr>
        <w:spacing w:after="0" w:line="240" w:lineRule="auto"/>
        <w:jc w:val="both"/>
        <w:rPr>
          <w:rFonts w:cs="Arial"/>
        </w:rPr>
      </w:pPr>
    </w:p>
    <w:p w:rsidR="00D35939" w:rsidRPr="00D35939" w:rsidRDefault="00D35939" w:rsidP="00D35939">
      <w:pPr>
        <w:jc w:val="both"/>
        <w:rPr>
          <w:rFonts w:cs="Arial"/>
        </w:rPr>
      </w:pPr>
      <w:r w:rsidRPr="00D35939">
        <w:rPr>
          <w:rFonts w:cs="Arial"/>
        </w:rPr>
        <w:t>En 2016 se realizó la actualización de las directrices internas para la gestión de peticiones, quejas, reclamos, sugerencias y denuncias a través de una guía adoptada mediante la Resolución 3962 de 2016, documento a través del cual, se actualizaron los parámetros para la gestión de peticiones en todos los canales, de conformidad con lo establecido en la Ley 1755 de 2015; regulando aspectos específicos como: consolidación y actualización de los términos para la respuesta, identificación de responsables por niveles para la atención, ajustes funcionales en la herramienta tecnológica, implementación de la ruta para gestión de denuncias de presuntos actos de corrupción. Así como también aspectos administrativos de gran impacto como la Estandarización de los horarios de atención de la entidad de 8 am a 5 pm, a nivel nacional. (Ver 5.1.1.1 Canal Presencial. • Parámetros para la Atención del Canal Presencial)</w:t>
      </w:r>
    </w:p>
    <w:p w:rsidR="00D35939" w:rsidRPr="00D35939" w:rsidRDefault="00D35939" w:rsidP="00D35939">
      <w:pPr>
        <w:spacing w:after="0" w:line="240" w:lineRule="auto"/>
        <w:jc w:val="both"/>
        <w:rPr>
          <w:rFonts w:cs="Arial"/>
        </w:rPr>
      </w:pPr>
      <w:r w:rsidRPr="00D35939">
        <w:rPr>
          <w:rFonts w:cs="Arial"/>
        </w:rPr>
        <w:t xml:space="preserve">Adicionalmente, se efectuó la socialización a los Directores Generales, Coordinadores de Centros Zonales y Responsables de Servicios y Atención, sobre los aspectos más relevantes introducidos por el Decreto 1166 de 2016, especialmente en lo relacionado con la atención  de peticiones verbales a través de los diferentes puntos de atención presencial en todos los niveles de atención y el canal telefónico con que cuenta la entidad.  </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Por otra parte, y en virtud del lanzamiento de la línea de denuncia, emergencia y orientación 141, se realizó la estructuración del protocolo de atención, mediante el cual se establecieron parámetros para la atención de los niños, niñas y adolescentes (NNA) y ciudadanos que se comunican a través del canal telefónico y virtual, solicitando atención o intervención por parte del Instituto, frente a casos de inobservancia, amenaza o vulneración de los derechos de los niños, niñas y adolescentes,  así como información y orientación sobre los trámites y oferta institucional. También se logró la vinculación de la Línea 141 a la red mundial de líneas de ayuda a menores liderada por la Fundación Child Helpline International (CHI).</w:t>
      </w:r>
    </w:p>
    <w:p w:rsidR="00D35939" w:rsidRPr="00D35939" w:rsidRDefault="00D35939" w:rsidP="00D35939">
      <w:pPr>
        <w:spacing w:after="0" w:line="240" w:lineRule="auto"/>
        <w:jc w:val="both"/>
        <w:rPr>
          <w:rFonts w:cs="Arial"/>
        </w:rPr>
      </w:pPr>
    </w:p>
    <w:p w:rsidR="00D35939" w:rsidRPr="00D35939" w:rsidRDefault="00D35939" w:rsidP="00D35939">
      <w:pPr>
        <w:spacing w:after="0" w:line="240" w:lineRule="auto"/>
        <w:jc w:val="both"/>
        <w:rPr>
          <w:rFonts w:cs="Arial"/>
        </w:rPr>
      </w:pPr>
      <w:r w:rsidRPr="00D35939">
        <w:rPr>
          <w:rFonts w:cs="Arial"/>
        </w:rPr>
        <w:t xml:space="preserve">Así mismo, y en conjunto con la Dirección de Protección, se crearon protocolos de atención para la articulación con la Policía Nacional del reporte de los casos en los que se requiere su intervención; para ello, se consolidaron 7 documentos, que se describen a continuación: </w:t>
      </w:r>
    </w:p>
    <w:p w:rsidR="00D35939" w:rsidRPr="00D35939" w:rsidRDefault="00D35939" w:rsidP="00D35939">
      <w:pPr>
        <w:spacing w:after="0" w:line="240" w:lineRule="auto"/>
        <w:jc w:val="both"/>
        <w:rPr>
          <w:rFonts w:cs="Arial"/>
        </w:rPr>
      </w:pPr>
    </w:p>
    <w:p w:rsidR="00D35939" w:rsidRDefault="00D35939" w:rsidP="00D35939">
      <w:pPr>
        <w:spacing w:after="0" w:line="240" w:lineRule="auto"/>
        <w:jc w:val="both"/>
        <w:rPr>
          <w:rFonts w:cs="Arial"/>
        </w:rPr>
      </w:pPr>
      <w:r w:rsidRPr="00D35939">
        <w:rPr>
          <w:rFonts w:cs="Arial"/>
        </w:rPr>
        <w:t>Protocolo de atención, recepción y direccionamiento de solicitudes de convivencia escolar en los tres niveles de atención.</w:t>
      </w:r>
    </w:p>
    <w:p w:rsidR="006E6FE5" w:rsidRPr="00D35939" w:rsidRDefault="006E6FE5" w:rsidP="00D35939">
      <w:pPr>
        <w:spacing w:after="0" w:line="240" w:lineRule="auto"/>
        <w:jc w:val="both"/>
        <w:rPr>
          <w:rFonts w:cs="Arial"/>
        </w:rPr>
      </w:pPr>
    </w:p>
    <w:p w:rsidR="00D35939" w:rsidRPr="00D35939" w:rsidRDefault="00D35939" w:rsidP="00470DCA">
      <w:pPr>
        <w:numPr>
          <w:ilvl w:val="0"/>
          <w:numId w:val="215"/>
        </w:numPr>
        <w:spacing w:after="0" w:line="240" w:lineRule="auto"/>
        <w:jc w:val="both"/>
        <w:rPr>
          <w:rFonts w:cs="Arial"/>
        </w:rPr>
      </w:pPr>
      <w:r w:rsidRPr="00D35939">
        <w:rPr>
          <w:rFonts w:cs="Arial"/>
        </w:rPr>
        <w:t>Ruta de atención, recepción y direccionamiento de solicitudes de restablecimiento de derechos y denuncias PRD sobre trabajo infantil.</w:t>
      </w:r>
    </w:p>
    <w:p w:rsidR="00D35939" w:rsidRPr="00D35939" w:rsidRDefault="00D35939" w:rsidP="00470DCA">
      <w:pPr>
        <w:numPr>
          <w:ilvl w:val="0"/>
          <w:numId w:val="215"/>
        </w:numPr>
        <w:spacing w:after="0" w:line="240" w:lineRule="auto"/>
        <w:jc w:val="both"/>
        <w:rPr>
          <w:rFonts w:cs="Arial"/>
        </w:rPr>
      </w:pPr>
      <w:r w:rsidRPr="00D35939">
        <w:rPr>
          <w:rFonts w:cs="Arial"/>
        </w:rPr>
        <w:t>Ruta de registro trabajo infantil/población flotante EMPI</w:t>
      </w:r>
    </w:p>
    <w:p w:rsidR="00D35939" w:rsidRPr="00D35939" w:rsidRDefault="00D35939" w:rsidP="00470DCA">
      <w:pPr>
        <w:numPr>
          <w:ilvl w:val="0"/>
          <w:numId w:val="215"/>
        </w:numPr>
        <w:spacing w:after="0" w:line="240" w:lineRule="auto"/>
        <w:jc w:val="both"/>
        <w:rPr>
          <w:rFonts w:cs="Arial"/>
        </w:rPr>
      </w:pPr>
      <w:r w:rsidRPr="00D35939">
        <w:rPr>
          <w:rFonts w:cs="Arial"/>
        </w:rPr>
        <w:t>Ruta de atención, recepción y direccionamientos de denuncias PRD situación de vida en calle.</w:t>
      </w:r>
    </w:p>
    <w:p w:rsidR="00D35939" w:rsidRPr="00D35939" w:rsidRDefault="00D35939" w:rsidP="00470DCA">
      <w:pPr>
        <w:numPr>
          <w:ilvl w:val="0"/>
          <w:numId w:val="215"/>
        </w:numPr>
        <w:spacing w:after="0" w:line="240" w:lineRule="auto"/>
        <w:jc w:val="both"/>
        <w:rPr>
          <w:rFonts w:cs="Arial"/>
        </w:rPr>
      </w:pPr>
      <w:r w:rsidRPr="00D35939">
        <w:rPr>
          <w:rFonts w:cs="Arial"/>
        </w:rPr>
        <w:t>Ruta de atención, recepción y direccionamiento de peticiones de mujeres gestantes o en periodo de lactancia que inicia desde la recepción en el centro de contacto.</w:t>
      </w:r>
    </w:p>
    <w:p w:rsidR="00D35939" w:rsidRPr="00D35939" w:rsidRDefault="00D35939" w:rsidP="00470DCA">
      <w:pPr>
        <w:numPr>
          <w:ilvl w:val="0"/>
          <w:numId w:val="215"/>
        </w:numPr>
        <w:spacing w:after="0" w:line="240" w:lineRule="auto"/>
        <w:jc w:val="both"/>
        <w:rPr>
          <w:rFonts w:cs="Arial"/>
        </w:rPr>
      </w:pPr>
      <w:r w:rsidRPr="00D35939">
        <w:rPr>
          <w:rFonts w:cs="Arial"/>
        </w:rPr>
        <w:t>Ruta de atención, recepción y direccionamiento de solicitudes de restablecimiento de derechos y denuncias PRD-consumo de sustancias psicoactivas.</w:t>
      </w:r>
    </w:p>
    <w:p w:rsidR="00D35939" w:rsidRPr="00D35939" w:rsidRDefault="00D35939" w:rsidP="00470DCA">
      <w:pPr>
        <w:numPr>
          <w:ilvl w:val="0"/>
          <w:numId w:val="215"/>
        </w:numPr>
        <w:spacing w:after="0" w:line="240" w:lineRule="auto"/>
        <w:jc w:val="both"/>
        <w:rPr>
          <w:rFonts w:cs="Arial"/>
        </w:rPr>
      </w:pPr>
      <w:r w:rsidRPr="00D35939">
        <w:rPr>
          <w:rFonts w:cs="Arial"/>
        </w:rPr>
        <w:t>Rutas de atención afectados por pólvora centro de contacto.</w:t>
      </w:r>
    </w:p>
    <w:p w:rsidR="00D8710A" w:rsidRDefault="00D8710A" w:rsidP="00D313B9">
      <w:pPr>
        <w:ind w:firstLine="708"/>
        <w:rPr>
          <w:b/>
        </w:rPr>
      </w:pPr>
    </w:p>
    <w:p w:rsidR="00D35939" w:rsidRPr="00D35939" w:rsidRDefault="00D35939" w:rsidP="00D313B9">
      <w:pPr>
        <w:ind w:firstLine="708"/>
        <w:rPr>
          <w:b/>
        </w:rPr>
      </w:pPr>
      <w:r w:rsidRPr="00D35939">
        <w:rPr>
          <w:b/>
        </w:rPr>
        <w:t>Gestión de PQRS</w:t>
      </w:r>
    </w:p>
    <w:p w:rsidR="00D35939" w:rsidRPr="00D35939" w:rsidRDefault="00D35939" w:rsidP="00D35939">
      <w:pPr>
        <w:jc w:val="both"/>
        <w:rPr>
          <w:rFonts w:eastAsia="MS PGothic" w:cs="Arial"/>
          <w:bCs/>
          <w:iCs/>
          <w:kern w:val="24"/>
        </w:rPr>
      </w:pPr>
      <w:r w:rsidRPr="00D35939">
        <w:rPr>
          <w:rFonts w:eastAsia="MS PGothic" w:cs="Arial"/>
          <w:bCs/>
          <w:iCs/>
          <w:kern w:val="24"/>
        </w:rPr>
        <w:t>En la vigencia 2016 fueron atendidas 744.352 peticiones, quejas, reclamos, sugerencias y denuncias recibidas a nivel nacional y mensualmente se retroalimentó a los ciudadanos mediante los informes de PQRSD y solicitudes de Acceso a la información publicados en la página web.</w:t>
      </w:r>
    </w:p>
    <w:p w:rsidR="00D35939" w:rsidRPr="00D35939" w:rsidRDefault="00D35939" w:rsidP="00D35939">
      <w:pPr>
        <w:jc w:val="both"/>
        <w:rPr>
          <w:rFonts w:cs="Arial"/>
        </w:rPr>
      </w:pPr>
      <w:r w:rsidRPr="00D35939">
        <w:rPr>
          <w:rFonts w:cs="Arial"/>
        </w:rPr>
        <w:t>A continuación, detallamos el número de solicitudes recibidas por canal de atención, según el cual los canales presencial, escrito y telefónico son en su orden los preferidos por la ciudadanía y a los cuáles se enfocan la mayor parte de esfuerzos institucionales:</w:t>
      </w:r>
    </w:p>
    <w:tbl>
      <w:tblPr>
        <w:tblStyle w:val="Tabladelista3-nfasis611"/>
        <w:tblW w:w="7552"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4"/>
        <w:gridCol w:w="1666"/>
        <w:gridCol w:w="1666"/>
        <w:gridCol w:w="1666"/>
      </w:tblGrid>
      <w:tr w:rsidR="00D35939" w:rsidRPr="00D35939" w:rsidTr="009578A5">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100" w:firstRow="0" w:lastRow="0" w:firstColumn="1" w:lastColumn="0" w:oddVBand="0" w:evenVBand="0" w:oddHBand="0" w:evenHBand="0" w:firstRowFirstColumn="1" w:firstRowLastColumn="0" w:lastRowFirstColumn="0" w:lastRowLastColumn="0"/>
            <w:tcW w:w="2554" w:type="dxa"/>
            <w:gridSpan w:val="4"/>
            <w:tcBorders>
              <w:bottom w:val="none" w:sz="0" w:space="0" w:color="auto"/>
              <w:right w:val="none" w:sz="0" w:space="0" w:color="auto"/>
            </w:tcBorders>
            <w:shd w:val="clear" w:color="auto" w:fill="76923C" w:themeFill="accent3" w:themeFillShade="BF"/>
            <w:vAlign w:val="center"/>
          </w:tcPr>
          <w:p w:rsidR="00D35939" w:rsidRPr="006E6FE5" w:rsidRDefault="00101548" w:rsidP="00D35939">
            <w:pPr>
              <w:spacing w:after="0" w:line="240" w:lineRule="auto"/>
              <w:jc w:val="center"/>
              <w:rPr>
                <w:rFonts w:cs="Arial"/>
                <w:color w:val="FFFFFF" w:themeColor="background1"/>
                <w:sz w:val="18"/>
                <w:szCs w:val="18"/>
                <w:lang w:val="es-CO"/>
              </w:rPr>
            </w:pPr>
            <w:r>
              <w:rPr>
                <w:rFonts w:cs="Arial"/>
                <w:color w:val="FFFFFF" w:themeColor="background1"/>
                <w:sz w:val="18"/>
                <w:szCs w:val="18"/>
                <w:lang w:val="es-CO"/>
              </w:rPr>
              <w:t>Peticiones Ciudadanas ICBF Registradas en SIM por Canal de S</w:t>
            </w:r>
            <w:r w:rsidR="00D35939" w:rsidRPr="006E6FE5">
              <w:rPr>
                <w:rFonts w:cs="Arial"/>
                <w:color w:val="FFFFFF" w:themeColor="background1"/>
                <w:sz w:val="18"/>
                <w:szCs w:val="18"/>
                <w:lang w:val="es-CO"/>
              </w:rPr>
              <w:t>ervicio</w:t>
            </w:r>
          </w:p>
          <w:p w:rsidR="00D35939" w:rsidRPr="00D35939" w:rsidRDefault="00D35939" w:rsidP="00D35939">
            <w:pPr>
              <w:spacing w:after="0" w:line="240" w:lineRule="auto"/>
              <w:jc w:val="center"/>
              <w:rPr>
                <w:rFonts w:cs="Arial"/>
                <w:bCs w:val="0"/>
                <w:color w:val="auto"/>
                <w:sz w:val="18"/>
                <w:szCs w:val="18"/>
              </w:rPr>
            </w:pPr>
            <w:r w:rsidRPr="006E6FE5">
              <w:rPr>
                <w:rFonts w:cs="Arial"/>
                <w:color w:val="FFFFFF" w:themeColor="background1"/>
                <w:sz w:val="18"/>
                <w:szCs w:val="18"/>
                <w:lang w:val="es-CO"/>
              </w:rPr>
              <w:t>Año 2016</w:t>
            </w:r>
          </w:p>
        </w:tc>
      </w:tr>
      <w:tr w:rsidR="00D35939" w:rsidRPr="00D35939" w:rsidTr="009578A5">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shd w:val="clear" w:color="auto" w:fill="E2EFDA"/>
            <w:noWrap/>
            <w:vAlign w:val="center"/>
            <w:hideMark/>
          </w:tcPr>
          <w:p w:rsidR="00D35939" w:rsidRPr="009578A5" w:rsidRDefault="00D35939" w:rsidP="00D35939">
            <w:pPr>
              <w:spacing w:after="0" w:line="240" w:lineRule="auto"/>
              <w:jc w:val="center"/>
              <w:rPr>
                <w:rFonts w:cs="Arial"/>
                <w:sz w:val="18"/>
                <w:szCs w:val="18"/>
                <w:lang w:val="es-CO"/>
              </w:rPr>
            </w:pPr>
            <w:r w:rsidRPr="009578A5">
              <w:rPr>
                <w:rFonts w:cs="Arial"/>
                <w:bCs w:val="0"/>
                <w:sz w:val="18"/>
                <w:szCs w:val="18"/>
              </w:rPr>
              <w:t>CANAL</w:t>
            </w:r>
          </w:p>
        </w:tc>
        <w:tc>
          <w:tcPr>
            <w:tcW w:w="1666" w:type="dxa"/>
            <w:tcBorders>
              <w:top w:val="none" w:sz="0" w:space="0" w:color="auto"/>
              <w:bottom w:val="none" w:sz="0" w:space="0" w:color="auto"/>
            </w:tcBorders>
            <w:shd w:val="clear" w:color="auto" w:fill="E2EFDA"/>
            <w:noWrap/>
            <w:vAlign w:val="center"/>
            <w:hideMark/>
          </w:tcPr>
          <w:p w:rsidR="00D35939" w:rsidRPr="009578A5" w:rsidRDefault="00D35939"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Nivel Nacional</w:t>
            </w:r>
          </w:p>
        </w:tc>
        <w:tc>
          <w:tcPr>
            <w:tcW w:w="1666" w:type="dxa"/>
            <w:tcBorders>
              <w:top w:val="none" w:sz="0" w:space="0" w:color="auto"/>
              <w:bottom w:val="none" w:sz="0" w:space="0" w:color="auto"/>
            </w:tcBorders>
            <w:shd w:val="clear" w:color="auto" w:fill="E2EFDA"/>
            <w:noWrap/>
            <w:vAlign w:val="center"/>
            <w:hideMark/>
          </w:tcPr>
          <w:p w:rsidR="00D35939" w:rsidRPr="009578A5" w:rsidRDefault="00D35939"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Centro de Contacto</w:t>
            </w:r>
          </w:p>
        </w:tc>
        <w:tc>
          <w:tcPr>
            <w:tcW w:w="1666" w:type="dxa"/>
            <w:tcBorders>
              <w:top w:val="none" w:sz="0" w:space="0" w:color="auto"/>
              <w:bottom w:val="none" w:sz="0" w:space="0" w:color="auto"/>
            </w:tcBorders>
            <w:shd w:val="clear" w:color="auto" w:fill="E2EFDA"/>
            <w:noWrap/>
            <w:vAlign w:val="center"/>
            <w:hideMark/>
          </w:tcPr>
          <w:p w:rsidR="00D35939" w:rsidRPr="009578A5" w:rsidRDefault="009578A5" w:rsidP="00D359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sidRPr="009578A5">
              <w:rPr>
                <w:rFonts w:cs="Arial"/>
                <w:b/>
                <w:sz w:val="18"/>
                <w:szCs w:val="18"/>
              </w:rPr>
              <w:t>Total G</w:t>
            </w:r>
            <w:r w:rsidR="00D35939" w:rsidRPr="009578A5">
              <w:rPr>
                <w:rFonts w:cs="Arial"/>
                <w:b/>
                <w:sz w:val="18"/>
                <w:szCs w:val="18"/>
              </w:rPr>
              <w:t>eneral</w:t>
            </w:r>
          </w:p>
        </w:tc>
      </w:tr>
      <w:tr w:rsidR="00D35939" w:rsidRPr="00D35939"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rsidR="00D35939" w:rsidRPr="00D35939" w:rsidRDefault="00D35939" w:rsidP="00D35939">
            <w:pPr>
              <w:spacing w:after="0" w:line="240" w:lineRule="auto"/>
              <w:rPr>
                <w:rFonts w:cs="Arial"/>
                <w:b w:val="0"/>
                <w:bCs w:val="0"/>
                <w:sz w:val="18"/>
                <w:szCs w:val="18"/>
              </w:rPr>
            </w:pPr>
            <w:r w:rsidRPr="00D35939">
              <w:rPr>
                <w:rFonts w:cs="Arial"/>
                <w:sz w:val="18"/>
                <w:szCs w:val="18"/>
              </w:rPr>
              <w:t>Presencial</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388.084</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3.885</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391.969</w:t>
            </w:r>
          </w:p>
        </w:tc>
      </w:tr>
      <w:tr w:rsidR="00D35939" w:rsidRPr="00D35939" w:rsidTr="009578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rsidR="00D35939" w:rsidRPr="00D35939" w:rsidRDefault="00D35939" w:rsidP="00D35939">
            <w:pPr>
              <w:spacing w:after="0" w:line="240" w:lineRule="auto"/>
              <w:rPr>
                <w:rFonts w:cs="Arial"/>
                <w:sz w:val="18"/>
                <w:szCs w:val="18"/>
              </w:rPr>
            </w:pPr>
            <w:r w:rsidRPr="00D35939">
              <w:rPr>
                <w:rFonts w:cs="Arial"/>
                <w:sz w:val="18"/>
                <w:szCs w:val="18"/>
              </w:rPr>
              <w:t>Escrito</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154.743</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4.179</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158.922</w:t>
            </w:r>
          </w:p>
        </w:tc>
      </w:tr>
      <w:tr w:rsidR="00D35939" w:rsidRPr="00D35939"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rsidR="00D35939" w:rsidRPr="00D35939" w:rsidRDefault="00D35939" w:rsidP="00D35939">
            <w:pPr>
              <w:spacing w:after="0" w:line="240" w:lineRule="auto"/>
              <w:rPr>
                <w:rFonts w:cs="Arial"/>
                <w:sz w:val="18"/>
                <w:szCs w:val="18"/>
              </w:rPr>
            </w:pPr>
            <w:r w:rsidRPr="00D35939">
              <w:rPr>
                <w:rFonts w:cs="Arial"/>
                <w:sz w:val="18"/>
                <w:szCs w:val="18"/>
              </w:rPr>
              <w:t>Telefónico</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9.039</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109.166</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118.205</w:t>
            </w:r>
          </w:p>
        </w:tc>
      </w:tr>
      <w:tr w:rsidR="00D35939" w:rsidRPr="00D35939" w:rsidTr="009578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rsidR="00D35939" w:rsidRPr="00D35939" w:rsidRDefault="00D35939" w:rsidP="00D35939">
            <w:pPr>
              <w:spacing w:after="0" w:line="240" w:lineRule="auto"/>
              <w:rPr>
                <w:rFonts w:cs="Arial"/>
                <w:sz w:val="18"/>
                <w:szCs w:val="18"/>
              </w:rPr>
            </w:pPr>
            <w:r w:rsidRPr="00D35939">
              <w:rPr>
                <w:rFonts w:cs="Arial"/>
                <w:sz w:val="18"/>
                <w:szCs w:val="18"/>
              </w:rPr>
              <w:t>Virtual</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758</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47.714</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48.472</w:t>
            </w:r>
          </w:p>
        </w:tc>
      </w:tr>
      <w:tr w:rsidR="00D35939" w:rsidRPr="00D35939" w:rsidTr="009578A5">
        <w:trPr>
          <w:trHeight w:val="262"/>
          <w:jc w:val="center"/>
        </w:trPr>
        <w:tc>
          <w:tcPr>
            <w:cnfStyle w:val="001000000000" w:firstRow="0" w:lastRow="0" w:firstColumn="1" w:lastColumn="0" w:oddVBand="0" w:evenVBand="0" w:oddHBand="0" w:evenHBand="0" w:firstRowFirstColumn="0" w:firstRowLastColumn="0" w:lastRowFirstColumn="0" w:lastRowLastColumn="0"/>
            <w:tcW w:w="2554" w:type="dxa"/>
            <w:tcBorders>
              <w:right w:val="none" w:sz="0" w:space="0" w:color="auto"/>
            </w:tcBorders>
            <w:noWrap/>
            <w:vAlign w:val="center"/>
            <w:hideMark/>
          </w:tcPr>
          <w:p w:rsidR="00D35939" w:rsidRPr="00D35939" w:rsidRDefault="00D35939" w:rsidP="00D35939">
            <w:pPr>
              <w:spacing w:after="0" w:line="240" w:lineRule="auto"/>
              <w:rPr>
                <w:rFonts w:cs="Arial"/>
                <w:sz w:val="18"/>
                <w:szCs w:val="18"/>
              </w:rPr>
            </w:pPr>
            <w:r w:rsidRPr="00D35939">
              <w:rPr>
                <w:rFonts w:cs="Arial"/>
                <w:sz w:val="18"/>
                <w:szCs w:val="18"/>
              </w:rPr>
              <w:t>Correo Electrónico</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12.060</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13.795</w:t>
            </w:r>
          </w:p>
        </w:tc>
        <w:tc>
          <w:tcPr>
            <w:tcW w:w="1666" w:type="dxa"/>
            <w:noWrap/>
            <w:vAlign w:val="center"/>
            <w:hideMark/>
          </w:tcPr>
          <w:p w:rsidR="00D35939" w:rsidRPr="00D35939"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D35939">
              <w:rPr>
                <w:rFonts w:cs="Arial"/>
                <w:sz w:val="18"/>
                <w:szCs w:val="18"/>
              </w:rPr>
              <w:t>25.855</w:t>
            </w:r>
          </w:p>
        </w:tc>
      </w:tr>
      <w:tr w:rsidR="00D35939" w:rsidRPr="00D35939" w:rsidTr="009578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4" w:type="dxa"/>
            <w:tcBorders>
              <w:top w:val="none" w:sz="0" w:space="0" w:color="auto"/>
              <w:bottom w:val="none" w:sz="0" w:space="0" w:color="auto"/>
              <w:right w:val="none" w:sz="0" w:space="0" w:color="auto"/>
            </w:tcBorders>
            <w:noWrap/>
            <w:vAlign w:val="center"/>
            <w:hideMark/>
          </w:tcPr>
          <w:p w:rsidR="00D35939" w:rsidRPr="00D35939" w:rsidRDefault="00D35939" w:rsidP="00D35939">
            <w:pPr>
              <w:spacing w:after="0" w:line="240" w:lineRule="auto"/>
              <w:rPr>
                <w:rFonts w:cs="Arial"/>
                <w:sz w:val="18"/>
                <w:szCs w:val="18"/>
              </w:rPr>
            </w:pPr>
            <w:r w:rsidRPr="00D35939">
              <w:rPr>
                <w:rFonts w:cs="Arial"/>
                <w:sz w:val="18"/>
                <w:szCs w:val="18"/>
              </w:rPr>
              <w:t>Buzón</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827</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102</w:t>
            </w:r>
          </w:p>
        </w:tc>
        <w:tc>
          <w:tcPr>
            <w:tcW w:w="1666" w:type="dxa"/>
            <w:tcBorders>
              <w:top w:val="none" w:sz="0" w:space="0" w:color="auto"/>
              <w:bottom w:val="none" w:sz="0" w:space="0" w:color="auto"/>
            </w:tcBorders>
            <w:noWrap/>
            <w:vAlign w:val="center"/>
            <w:hideMark/>
          </w:tcPr>
          <w:p w:rsidR="00D35939" w:rsidRPr="00D35939" w:rsidRDefault="00D35939" w:rsidP="00D3593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D35939">
              <w:rPr>
                <w:rFonts w:cs="Arial"/>
                <w:sz w:val="18"/>
                <w:szCs w:val="18"/>
              </w:rPr>
              <w:t>929</w:t>
            </w:r>
          </w:p>
        </w:tc>
      </w:tr>
      <w:tr w:rsidR="00D35939" w:rsidRPr="00D35939" w:rsidTr="009578A5">
        <w:trPr>
          <w:trHeight w:val="300"/>
          <w:jc w:val="center"/>
        </w:trPr>
        <w:tc>
          <w:tcPr>
            <w:cnfStyle w:val="001000000000" w:firstRow="0" w:lastRow="0" w:firstColumn="1" w:lastColumn="0" w:oddVBand="0" w:evenVBand="0" w:oddHBand="0" w:evenHBand="0" w:firstRowFirstColumn="0" w:firstRowLastColumn="0" w:lastRowFirstColumn="0" w:lastRowLastColumn="0"/>
            <w:tcW w:w="1480" w:type="dxa"/>
            <w:tcBorders>
              <w:right w:val="none" w:sz="0" w:space="0" w:color="auto"/>
            </w:tcBorders>
            <w:shd w:val="clear" w:color="auto" w:fill="E2EFDA"/>
            <w:noWrap/>
            <w:vAlign w:val="center"/>
            <w:hideMark/>
          </w:tcPr>
          <w:p w:rsidR="00D35939" w:rsidRPr="00101548" w:rsidRDefault="00D35939" w:rsidP="00D35939">
            <w:pPr>
              <w:spacing w:after="0" w:line="240" w:lineRule="auto"/>
              <w:rPr>
                <w:rFonts w:cs="Arial"/>
                <w:sz w:val="18"/>
                <w:szCs w:val="18"/>
              </w:rPr>
            </w:pPr>
            <w:r w:rsidRPr="00101548">
              <w:rPr>
                <w:rFonts w:cs="Arial"/>
                <w:bCs w:val="0"/>
                <w:sz w:val="18"/>
                <w:szCs w:val="18"/>
              </w:rPr>
              <w:t>Total</w:t>
            </w:r>
          </w:p>
        </w:tc>
        <w:tc>
          <w:tcPr>
            <w:tcW w:w="1666" w:type="dxa"/>
            <w:shd w:val="clear" w:color="auto" w:fill="E2EFDA"/>
            <w:noWrap/>
            <w:vAlign w:val="center"/>
            <w:hideMark/>
          </w:tcPr>
          <w:p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565.511</w:t>
            </w:r>
          </w:p>
        </w:tc>
        <w:tc>
          <w:tcPr>
            <w:tcW w:w="1666" w:type="dxa"/>
            <w:shd w:val="clear" w:color="auto" w:fill="E2EFDA"/>
            <w:noWrap/>
            <w:vAlign w:val="center"/>
            <w:hideMark/>
          </w:tcPr>
          <w:p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178.841</w:t>
            </w:r>
          </w:p>
        </w:tc>
        <w:tc>
          <w:tcPr>
            <w:tcW w:w="1666" w:type="dxa"/>
            <w:shd w:val="clear" w:color="auto" w:fill="E2EFDA"/>
            <w:noWrap/>
            <w:vAlign w:val="center"/>
            <w:hideMark/>
          </w:tcPr>
          <w:p w:rsidR="00D35939" w:rsidRPr="00101548" w:rsidRDefault="00D35939" w:rsidP="00D3593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101548">
              <w:rPr>
                <w:rFonts w:cs="Arial"/>
                <w:b/>
                <w:bCs/>
                <w:sz w:val="18"/>
                <w:szCs w:val="18"/>
              </w:rPr>
              <w:t>744.352</w:t>
            </w:r>
          </w:p>
        </w:tc>
      </w:tr>
    </w:tbl>
    <w:p w:rsidR="00D35939" w:rsidRDefault="00D35939" w:rsidP="00D8710A">
      <w:pPr>
        <w:spacing w:line="240" w:lineRule="auto"/>
        <w:jc w:val="both"/>
        <w:rPr>
          <w:rFonts w:eastAsia="MS PGothic" w:cs="Arial"/>
          <w:bCs/>
          <w:iCs/>
          <w:kern w:val="24"/>
          <w:sz w:val="16"/>
        </w:rPr>
      </w:pPr>
      <w:r w:rsidRPr="00D35939">
        <w:rPr>
          <w:rFonts w:eastAsia="MS PGothic" w:cs="Arial"/>
          <w:b/>
          <w:bCs/>
          <w:iCs/>
          <w:kern w:val="24"/>
        </w:rPr>
        <w:tab/>
      </w:r>
      <w:r w:rsidR="006C5219">
        <w:rPr>
          <w:rFonts w:eastAsia="MS PGothic" w:cs="Arial"/>
          <w:b/>
          <w:bCs/>
          <w:iCs/>
          <w:kern w:val="24"/>
        </w:rPr>
        <w:t xml:space="preserve">   </w:t>
      </w:r>
      <w:r w:rsidRPr="00101548">
        <w:rPr>
          <w:rFonts w:eastAsia="MS PGothic" w:cs="Arial"/>
          <w:b/>
          <w:bCs/>
          <w:iCs/>
          <w:kern w:val="24"/>
          <w:sz w:val="16"/>
        </w:rPr>
        <w:t>Fuente:</w:t>
      </w:r>
      <w:r w:rsidRPr="00D35939">
        <w:rPr>
          <w:rFonts w:eastAsia="MS PGothic" w:cs="Arial"/>
          <w:bCs/>
          <w:iCs/>
          <w:kern w:val="24"/>
          <w:sz w:val="16"/>
        </w:rPr>
        <w:t xml:space="preserve"> Reporte Sim. 12 de enero de 2017</w:t>
      </w:r>
    </w:p>
    <w:p w:rsidR="00D35939" w:rsidRPr="00D35939" w:rsidRDefault="00D35939" w:rsidP="009C25F2">
      <w:pPr>
        <w:spacing w:line="240" w:lineRule="auto"/>
        <w:rPr>
          <w:rFonts w:cs="Arial"/>
        </w:rPr>
      </w:pPr>
      <w:r w:rsidRPr="00D35939">
        <w:rPr>
          <w:rFonts w:cs="Arial"/>
        </w:rPr>
        <w:t>De acuerdo a la información reportada en el Sistema de Información Misional – SIM, con corte a 31 de diciembre de 2016, los resultados de la gestión realizada a nivel nacional en cuanto a la medición de la gestión de PQRSD y otros indicadores, son los siguientes:</w:t>
      </w:r>
    </w:p>
    <w:p w:rsidR="00D35939" w:rsidRPr="00D35939" w:rsidRDefault="00D35939" w:rsidP="00D35939">
      <w:pPr>
        <w:spacing w:after="0" w:line="240" w:lineRule="auto"/>
        <w:jc w:val="both"/>
        <w:rPr>
          <w:rFonts w:cs="Arial"/>
        </w:rPr>
      </w:pPr>
    </w:p>
    <w:tbl>
      <w:tblPr>
        <w:tblW w:w="9180"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480"/>
        <w:gridCol w:w="1100"/>
        <w:gridCol w:w="1100"/>
        <w:gridCol w:w="1100"/>
        <w:gridCol w:w="1100"/>
        <w:gridCol w:w="1100"/>
        <w:gridCol w:w="1100"/>
        <w:gridCol w:w="1181"/>
      </w:tblGrid>
      <w:tr w:rsidR="00D35939" w:rsidRPr="00D35939" w:rsidTr="00D313B9">
        <w:trPr>
          <w:trHeight w:val="300"/>
          <w:tblHeader/>
          <w:jc w:val="center"/>
        </w:trPr>
        <w:tc>
          <w:tcPr>
            <w:tcW w:w="148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Nombre</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Ámbito</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Meta 2015</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Núm.</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Den.</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Resultado</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 Avance</w:t>
            </w:r>
          </w:p>
        </w:tc>
        <w:tc>
          <w:tcPr>
            <w:tcW w:w="1100" w:type="dxa"/>
            <w:shd w:val="clear" w:color="auto" w:fill="76923C" w:themeFill="accent3" w:themeFillShade="BF"/>
            <w:noWrap/>
            <w:vAlign w:val="center"/>
            <w:hideMark/>
          </w:tcPr>
          <w:p w:rsidR="00D35939" w:rsidRPr="00101548" w:rsidRDefault="00D35939" w:rsidP="00101548">
            <w:pPr>
              <w:spacing w:after="0" w:line="240" w:lineRule="auto"/>
              <w:jc w:val="center"/>
              <w:rPr>
                <w:rFonts w:eastAsia="Times New Roman" w:cs="Arial"/>
                <w:b/>
                <w:bCs/>
                <w:color w:val="FFFFFF" w:themeColor="background1"/>
                <w:sz w:val="18"/>
                <w:szCs w:val="18"/>
                <w:lang w:val="es-CO" w:eastAsia="es-CO"/>
              </w:rPr>
            </w:pPr>
            <w:r w:rsidRPr="00101548">
              <w:rPr>
                <w:rFonts w:eastAsia="Times New Roman" w:cs="Arial"/>
                <w:b/>
                <w:bCs/>
                <w:color w:val="FFFFFF" w:themeColor="background1"/>
                <w:sz w:val="18"/>
                <w:szCs w:val="18"/>
                <w:lang w:eastAsia="es-CO"/>
              </w:rPr>
              <w:t>Rango</w:t>
            </w:r>
          </w:p>
        </w:tc>
      </w:tr>
      <w:tr w:rsidR="00D35939" w:rsidRPr="00D35939" w:rsidTr="00101548">
        <w:trPr>
          <w:trHeight w:val="1575"/>
          <w:jc w:val="center"/>
        </w:trPr>
        <w:tc>
          <w:tcPr>
            <w:tcW w:w="1480" w:type="dxa"/>
            <w:shd w:val="clear" w:color="000000" w:fill="FFFFFF"/>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Porcentaje de quejas, reclamos y sugerencias solucionados oportunamente</w:t>
            </w:r>
          </w:p>
        </w:tc>
        <w:tc>
          <w:tcPr>
            <w:tcW w:w="1100" w:type="dxa"/>
            <w:shd w:val="clear" w:color="000000" w:fill="FFFFFF"/>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Resultado</w:t>
            </w:r>
          </w:p>
        </w:tc>
        <w:tc>
          <w:tcPr>
            <w:tcW w:w="1100" w:type="dxa"/>
            <w:shd w:val="clear" w:color="auto" w:fill="auto"/>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100%</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12.979</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13.624</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95,3%</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eastAsia="es-CO"/>
              </w:rPr>
              <w:t>ADECUADO</w:t>
            </w:r>
          </w:p>
        </w:tc>
      </w:tr>
      <w:tr w:rsidR="00D35939" w:rsidRPr="00D35939" w:rsidTr="00101548">
        <w:trPr>
          <w:trHeight w:val="1575"/>
          <w:jc w:val="center"/>
        </w:trPr>
        <w:tc>
          <w:tcPr>
            <w:tcW w:w="1480" w:type="dxa"/>
            <w:shd w:val="clear" w:color="000000" w:fill="FFFFFF"/>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Porcentaje de denuncias PARD, constatadas oportunamente</w:t>
            </w:r>
          </w:p>
        </w:tc>
        <w:tc>
          <w:tcPr>
            <w:tcW w:w="1100" w:type="dxa"/>
            <w:shd w:val="clear" w:color="000000" w:fill="FFFFFF"/>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Resultado</w:t>
            </w:r>
          </w:p>
        </w:tc>
        <w:tc>
          <w:tcPr>
            <w:tcW w:w="1100" w:type="dxa"/>
            <w:shd w:val="clear" w:color="auto" w:fill="auto"/>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eastAsia="es-CO"/>
              </w:rPr>
              <w:t>100%</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xml:space="preserve">         39.692 </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p>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41.063</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p>
          <w:p w:rsidR="00D35939" w:rsidRPr="00D35939" w:rsidRDefault="00D35939" w:rsidP="00D35939">
            <w:pPr>
              <w:spacing w:after="0" w:line="240" w:lineRule="auto"/>
              <w:jc w:val="both"/>
              <w:rPr>
                <w:rFonts w:eastAsia="Times New Roman" w:cs="Arial"/>
                <w:sz w:val="18"/>
                <w:szCs w:val="18"/>
                <w:lang w:val="es-CO" w:eastAsia="es-CO"/>
              </w:rPr>
            </w:pPr>
          </w:p>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96,7%</w:t>
            </w:r>
          </w:p>
          <w:p w:rsidR="00D35939" w:rsidRPr="00D35939" w:rsidRDefault="00D35939" w:rsidP="00D35939">
            <w:pPr>
              <w:spacing w:after="0" w:line="240" w:lineRule="auto"/>
              <w:jc w:val="both"/>
              <w:rPr>
                <w:rFonts w:eastAsia="Times New Roman" w:cs="Arial"/>
                <w:sz w:val="18"/>
                <w:szCs w:val="18"/>
                <w:lang w:val="es-CO" w:eastAsia="es-CO"/>
              </w:rPr>
            </w:pP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eastAsia="es-CO"/>
              </w:rPr>
              <w:t>ADECUADO</w:t>
            </w:r>
          </w:p>
        </w:tc>
      </w:tr>
      <w:tr w:rsidR="00D35939" w:rsidRPr="00D35939" w:rsidTr="00101548">
        <w:trPr>
          <w:trHeight w:val="1575"/>
          <w:jc w:val="center"/>
        </w:trPr>
        <w:tc>
          <w:tcPr>
            <w:tcW w:w="1480" w:type="dxa"/>
            <w:shd w:val="clear" w:color="auto" w:fill="auto"/>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Porcentaje de derechos de petición atendidos oportunamente</w:t>
            </w:r>
          </w:p>
        </w:tc>
        <w:tc>
          <w:tcPr>
            <w:tcW w:w="1100" w:type="dxa"/>
            <w:shd w:val="clear" w:color="000000" w:fill="FFFFFF"/>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Resultado</w:t>
            </w:r>
          </w:p>
        </w:tc>
        <w:tc>
          <w:tcPr>
            <w:tcW w:w="1100" w:type="dxa"/>
            <w:shd w:val="clear" w:color="auto" w:fill="auto"/>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100%</w:t>
            </w:r>
          </w:p>
        </w:tc>
        <w:tc>
          <w:tcPr>
            <w:tcW w:w="1100" w:type="dxa"/>
            <w:shd w:val="clear" w:color="auto" w:fill="auto"/>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120.024</w:t>
            </w:r>
          </w:p>
        </w:tc>
        <w:tc>
          <w:tcPr>
            <w:tcW w:w="1100" w:type="dxa"/>
            <w:shd w:val="clear" w:color="auto" w:fill="auto"/>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129.851</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92,4%</w:t>
            </w:r>
          </w:p>
        </w:tc>
        <w:tc>
          <w:tcPr>
            <w:tcW w:w="1100" w:type="dxa"/>
            <w:shd w:val="clear" w:color="auto" w:fill="auto"/>
            <w:noWrap/>
            <w:vAlign w:val="center"/>
            <w:hideMark/>
          </w:tcPr>
          <w:p w:rsidR="00D35939" w:rsidRPr="00D35939" w:rsidRDefault="00D35939" w:rsidP="00D35939">
            <w:pPr>
              <w:spacing w:after="0" w:line="240" w:lineRule="auto"/>
              <w:jc w:val="both"/>
              <w:rPr>
                <w:rFonts w:eastAsia="Times New Roman" w:cs="Arial"/>
                <w:sz w:val="18"/>
                <w:szCs w:val="18"/>
                <w:lang w:val="es-CO" w:eastAsia="es-CO"/>
              </w:rPr>
            </w:pPr>
            <w:r w:rsidRPr="00D35939">
              <w:rPr>
                <w:rFonts w:eastAsia="Times New Roman" w:cs="Arial"/>
                <w:sz w:val="18"/>
                <w:szCs w:val="18"/>
                <w:lang w:val="es-CO" w:eastAsia="es-CO"/>
              </w:rPr>
              <w:t> </w:t>
            </w:r>
          </w:p>
        </w:tc>
        <w:tc>
          <w:tcPr>
            <w:tcW w:w="1100" w:type="dxa"/>
            <w:shd w:val="clear" w:color="000000" w:fill="FFFFFF"/>
            <w:noWrap/>
            <w:vAlign w:val="center"/>
            <w:hideMark/>
          </w:tcPr>
          <w:p w:rsidR="00D35939" w:rsidRPr="00D35939" w:rsidRDefault="00D35939" w:rsidP="00D35939">
            <w:pPr>
              <w:spacing w:after="0" w:line="240" w:lineRule="auto"/>
              <w:jc w:val="both"/>
              <w:rPr>
                <w:rFonts w:eastAsia="Times New Roman" w:cs="Arial"/>
                <w:b/>
                <w:bCs/>
                <w:sz w:val="18"/>
                <w:szCs w:val="18"/>
                <w:lang w:val="es-CO" w:eastAsia="es-CO"/>
              </w:rPr>
            </w:pPr>
            <w:r w:rsidRPr="00D35939">
              <w:rPr>
                <w:rFonts w:eastAsia="Times New Roman" w:cs="Arial"/>
                <w:b/>
                <w:bCs/>
                <w:sz w:val="18"/>
                <w:szCs w:val="18"/>
                <w:lang w:val="es-CO" w:eastAsia="es-CO"/>
              </w:rPr>
              <w:t>ÓPTIMO</w:t>
            </w:r>
          </w:p>
        </w:tc>
      </w:tr>
    </w:tbl>
    <w:p w:rsidR="00D35939" w:rsidRDefault="006C5219" w:rsidP="00D35939">
      <w:pPr>
        <w:spacing w:after="0" w:line="240" w:lineRule="auto"/>
        <w:jc w:val="both"/>
        <w:rPr>
          <w:rFonts w:cs="Arial"/>
          <w:sz w:val="16"/>
          <w:szCs w:val="16"/>
        </w:rPr>
      </w:pPr>
      <w:r>
        <w:rPr>
          <w:rFonts w:cs="Arial"/>
          <w:b/>
          <w:sz w:val="16"/>
          <w:szCs w:val="16"/>
        </w:rPr>
        <w:t xml:space="preserve"> </w:t>
      </w:r>
      <w:r w:rsidR="00D35939" w:rsidRPr="00101548">
        <w:rPr>
          <w:rFonts w:cs="Arial"/>
          <w:b/>
          <w:sz w:val="16"/>
          <w:szCs w:val="16"/>
        </w:rPr>
        <w:t>Fuente:</w:t>
      </w:r>
      <w:r w:rsidR="00D35939" w:rsidRPr="00101548">
        <w:rPr>
          <w:rFonts w:cs="Arial"/>
          <w:sz w:val="16"/>
          <w:szCs w:val="16"/>
        </w:rPr>
        <w:t xml:space="preserve"> Dirección de Servicios y Atención, Informe SIM - Corte 31 de diciembre de 2016.</w:t>
      </w:r>
    </w:p>
    <w:p w:rsidR="00D8710A" w:rsidRPr="00D21160" w:rsidRDefault="00D8710A" w:rsidP="00D8710A">
      <w:pPr>
        <w:spacing w:after="0" w:line="240" w:lineRule="auto"/>
        <w:jc w:val="both"/>
        <w:rPr>
          <w:rFonts w:cs="Arial"/>
          <w:sz w:val="16"/>
          <w:lang w:val="es-CO" w:eastAsia="es-ES"/>
        </w:rPr>
      </w:pPr>
    </w:p>
    <w:p w:rsidR="00D35939" w:rsidRDefault="00D35939" w:rsidP="00D35939">
      <w:pPr>
        <w:spacing w:after="0" w:line="240" w:lineRule="auto"/>
        <w:jc w:val="both"/>
        <w:rPr>
          <w:rFonts w:cs="Arial"/>
        </w:rPr>
      </w:pPr>
      <w:r w:rsidRPr="00D35939">
        <w:rPr>
          <w:rFonts w:cs="Arial"/>
        </w:rPr>
        <w:t>Los resultados dan cuenta de la efectividad de las acciones de seguimiento realizadas desde la Dirección de Servicios y Atención a las dependencias, sedes regionales, centros zonales y el centro de contacto, frente la oportunidad en la gestión y cierre de peticiones ciudadanas durante el año 2016. Algunas de estas acciones corresponden a la generación de alertas tempranas frente al vencimiento de términos, asistencia técnica frente el registro, direccionamiento y cierre de peticiones en el SIM y una mayor claridad en los lineamientos técnicos frente la gestión de PQRSD.</w:t>
      </w:r>
    </w:p>
    <w:p w:rsidR="003D7F3C" w:rsidRDefault="003D7F3C" w:rsidP="00D35939">
      <w:pPr>
        <w:spacing w:after="0" w:line="240" w:lineRule="auto"/>
        <w:jc w:val="both"/>
        <w:rPr>
          <w:rFonts w:cs="Arial"/>
        </w:rPr>
      </w:pPr>
    </w:p>
    <w:p w:rsidR="003D7F3C" w:rsidRDefault="003D7F3C" w:rsidP="003D7F3C">
      <w:pPr>
        <w:pStyle w:val="Prrafodelista"/>
        <w:spacing w:after="0" w:line="240" w:lineRule="auto"/>
        <w:ind w:left="0"/>
        <w:jc w:val="both"/>
        <w:outlineLvl w:val="1"/>
        <w:rPr>
          <w:rFonts w:cs="Arial"/>
          <w:b/>
        </w:rPr>
      </w:pPr>
      <w:bookmarkStart w:id="243" w:name="_Toc473581453"/>
      <w:r>
        <w:rPr>
          <w:rFonts w:cs="Arial"/>
          <w:b/>
        </w:rPr>
        <w:t>4.4. Gestión del Conocimiento e Innovación</w:t>
      </w:r>
      <w:bookmarkEnd w:id="243"/>
    </w:p>
    <w:p w:rsidR="003D7F3C" w:rsidRPr="003D7F3C" w:rsidRDefault="003D7F3C" w:rsidP="003D7F3C">
      <w:pPr>
        <w:pStyle w:val="Prrafodelista"/>
        <w:spacing w:after="0" w:line="240" w:lineRule="auto"/>
        <w:ind w:left="0"/>
        <w:jc w:val="both"/>
        <w:outlineLvl w:val="1"/>
        <w:rPr>
          <w:rFonts w:cs="Arial"/>
          <w:b/>
        </w:rPr>
      </w:pPr>
      <w:bookmarkStart w:id="244" w:name="_Toc473581454"/>
      <w:r>
        <w:rPr>
          <w:rFonts w:cs="Arial"/>
          <w:b/>
        </w:rPr>
        <w:t>Contexto del modelo de Gestión de Conocimiento e Innovación</w:t>
      </w:r>
      <w:bookmarkEnd w:id="244"/>
    </w:p>
    <w:p w:rsidR="003D7F3C" w:rsidRDefault="003D7F3C" w:rsidP="003D7F3C">
      <w:pPr>
        <w:pStyle w:val="Prrafodelista"/>
        <w:spacing w:after="0" w:line="240" w:lineRule="auto"/>
        <w:ind w:left="0"/>
        <w:jc w:val="both"/>
        <w:rPr>
          <w:rFonts w:cs="Arial"/>
        </w:rPr>
      </w:pPr>
    </w:p>
    <w:p w:rsidR="003D7F3C" w:rsidRDefault="003D7F3C" w:rsidP="003D7F3C">
      <w:pPr>
        <w:pStyle w:val="Prrafodelista"/>
        <w:spacing w:after="0" w:line="240" w:lineRule="auto"/>
        <w:ind w:left="0"/>
        <w:jc w:val="both"/>
        <w:rPr>
          <w:rFonts w:cs="Arial"/>
        </w:rPr>
      </w:pPr>
      <w:r>
        <w:rPr>
          <w:rFonts w:cs="Arial"/>
        </w:rPr>
        <w:t xml:space="preserve">El </w:t>
      </w:r>
      <w:r w:rsidRPr="000B22EB">
        <w:rPr>
          <w:rFonts w:cs="Arial"/>
        </w:rPr>
        <w:t>ICBF en concordancia con las directrices establecidas en el Plan Nacional de Desarrollo</w:t>
      </w:r>
      <w:r>
        <w:rPr>
          <w:rFonts w:cs="Arial"/>
        </w:rPr>
        <w:t xml:space="preserve"> -PND</w:t>
      </w:r>
      <w:r w:rsidRPr="000B22EB">
        <w:rPr>
          <w:rFonts w:cs="Arial"/>
        </w:rPr>
        <w:t xml:space="preserve"> </w:t>
      </w:r>
      <w:r>
        <w:rPr>
          <w:rFonts w:cs="Arial"/>
        </w:rPr>
        <w:t>2014-2018 “</w:t>
      </w:r>
      <w:r w:rsidRPr="000A31AE">
        <w:rPr>
          <w:rFonts w:cs="Arial"/>
          <w:i/>
        </w:rPr>
        <w:t>Todos por un Nuevo País</w:t>
      </w:r>
      <w:r>
        <w:rPr>
          <w:rFonts w:cs="Arial"/>
        </w:rPr>
        <w:t xml:space="preserve">” </w:t>
      </w:r>
      <w:r w:rsidRPr="000B22EB">
        <w:rPr>
          <w:rFonts w:cs="Arial"/>
        </w:rPr>
        <w:t>y lo definido en su Plan Indicativo institucional 2015-2018 “</w:t>
      </w:r>
      <w:r w:rsidRPr="000A31AE">
        <w:rPr>
          <w:rFonts w:cs="Arial"/>
          <w:i/>
        </w:rPr>
        <w:t>Estamos cambiando el mundo</w:t>
      </w:r>
      <w:r w:rsidRPr="000B22EB">
        <w:rPr>
          <w:rFonts w:cs="Arial"/>
        </w:rPr>
        <w:t xml:space="preserve">”, para los temas de innovación y la gestión del conocimiento, </w:t>
      </w:r>
      <w:r>
        <w:rPr>
          <w:rFonts w:cs="Arial"/>
        </w:rPr>
        <w:t>realizó en la vigencia 2016 el diseño Modelo de Gestión de Conocimiento e Innovación</w:t>
      </w:r>
      <w:r w:rsidRPr="000C6B63">
        <w:rPr>
          <w:rFonts w:cs="Arial"/>
        </w:rPr>
        <w:t xml:space="preserve"> </w:t>
      </w:r>
      <w:r>
        <w:rPr>
          <w:rFonts w:cs="Arial"/>
        </w:rPr>
        <w:t xml:space="preserve">con el objetivo de </w:t>
      </w:r>
      <w:r w:rsidRPr="000C6B63">
        <w:rPr>
          <w:rFonts w:cs="Arial"/>
        </w:rPr>
        <w:t>desarrollar soluciones novedosas en sus procesos y servicios, de manera que aporte al mejoramiento</w:t>
      </w:r>
      <w:r>
        <w:rPr>
          <w:rFonts w:cs="Arial"/>
        </w:rPr>
        <w:t xml:space="preserve"> </w:t>
      </w:r>
      <w:r w:rsidRPr="000C6B63">
        <w:rPr>
          <w:rFonts w:cs="Arial"/>
        </w:rPr>
        <w:t>continuo en el quehacer de la Entidad y la calidad de la atención</w:t>
      </w:r>
      <w:r>
        <w:rPr>
          <w:rFonts w:cs="Arial"/>
        </w:rPr>
        <w:t>.</w:t>
      </w:r>
    </w:p>
    <w:p w:rsidR="003D7F3C" w:rsidRDefault="003D7F3C" w:rsidP="003D7F3C">
      <w:pPr>
        <w:pStyle w:val="Prrafodelista"/>
        <w:spacing w:after="0" w:line="240" w:lineRule="auto"/>
        <w:ind w:left="0"/>
        <w:jc w:val="both"/>
        <w:rPr>
          <w:rFonts w:cs="Arial"/>
        </w:rPr>
      </w:pPr>
    </w:p>
    <w:p w:rsidR="003D7F3C" w:rsidRDefault="003D7F3C" w:rsidP="003D7F3C">
      <w:pPr>
        <w:pStyle w:val="Prrafodelista"/>
        <w:spacing w:after="0" w:line="240" w:lineRule="auto"/>
        <w:ind w:left="0"/>
        <w:jc w:val="both"/>
        <w:rPr>
          <w:rFonts w:cs="Arial"/>
        </w:rPr>
      </w:pPr>
      <w:r>
        <w:rPr>
          <w:rFonts w:cs="Arial"/>
        </w:rPr>
        <w:t xml:space="preserve">Lo anterior con el fin de: i) </w:t>
      </w:r>
      <w:r w:rsidRPr="000C6B63">
        <w:rPr>
          <w:rFonts w:cs="Arial"/>
        </w:rPr>
        <w:t>Institucionalizar el aprendizaje y la inteligencia de la entidad, lo que permite la permanencia, el crecimiento y aumento de la asert</w:t>
      </w:r>
      <w:r>
        <w:rPr>
          <w:rFonts w:cs="Arial"/>
        </w:rPr>
        <w:t xml:space="preserve">ividad en la toma de decisiones; ii) </w:t>
      </w:r>
      <w:r w:rsidRPr="000C6B63">
        <w:rPr>
          <w:rFonts w:cs="Arial"/>
        </w:rPr>
        <w:t>Consolidar al ICBF como entidad moderna de clase mundial y eficiente que aprende continuamente y capitaliza las oportun</w:t>
      </w:r>
      <w:r>
        <w:rPr>
          <w:rFonts w:cs="Arial"/>
        </w:rPr>
        <w:t xml:space="preserve">idades gracias a su experiencia; iii) </w:t>
      </w:r>
      <w:r w:rsidRPr="000C6B63">
        <w:rPr>
          <w:rFonts w:cs="Arial"/>
        </w:rPr>
        <w:t>Ofrecer soluciones nuevas y diversas a</w:t>
      </w:r>
      <w:r>
        <w:rPr>
          <w:rFonts w:cs="Arial"/>
        </w:rPr>
        <w:t xml:space="preserve"> problemas nuevos o recurrentes y iv) </w:t>
      </w:r>
      <w:r w:rsidRPr="000C6B63">
        <w:rPr>
          <w:rFonts w:cs="Arial"/>
        </w:rPr>
        <w:t>Aumentar la capacidad de adaptación a nuevas necesidades institucionales y de los Niños, Niñas, Adolescentes y sus Familias</w:t>
      </w:r>
      <w:r>
        <w:rPr>
          <w:rFonts w:cs="Arial"/>
        </w:rPr>
        <w:t>.</w:t>
      </w:r>
    </w:p>
    <w:p w:rsidR="003D7F3C" w:rsidRDefault="003D7F3C" w:rsidP="003D7F3C">
      <w:pPr>
        <w:spacing w:after="0" w:line="240" w:lineRule="auto"/>
        <w:jc w:val="both"/>
        <w:rPr>
          <w:rFonts w:cs="Arial"/>
        </w:rPr>
      </w:pPr>
    </w:p>
    <w:p w:rsidR="003D7F3C" w:rsidRDefault="003D7F3C" w:rsidP="003D7F3C">
      <w:pPr>
        <w:spacing w:after="0" w:line="240" w:lineRule="auto"/>
        <w:jc w:val="both"/>
        <w:rPr>
          <w:rFonts w:cs="Arial"/>
        </w:rPr>
      </w:pPr>
      <w:r>
        <w:rPr>
          <w:rFonts w:cs="Arial"/>
        </w:rPr>
        <w:t>El diseño del Modelo  de Gestión del Conocimiento e Innovación contempló cuatro (4) fases que permitieron estructurar un Modelo con sus respectivos componentes</w:t>
      </w:r>
      <w:r w:rsidRPr="00BC51BE">
        <w:rPr>
          <w:rFonts w:cs="Arial"/>
        </w:rPr>
        <w:t>, elementos claves, principios,</w:t>
      </w:r>
      <w:r>
        <w:rPr>
          <w:rFonts w:cs="Arial"/>
        </w:rPr>
        <w:t xml:space="preserve"> </w:t>
      </w:r>
      <w:r w:rsidRPr="00BC51BE">
        <w:rPr>
          <w:rFonts w:cs="Arial"/>
        </w:rPr>
        <w:t>actividades p</w:t>
      </w:r>
      <w:r>
        <w:rPr>
          <w:rFonts w:cs="Arial"/>
        </w:rPr>
        <w:t>ropias de la Innovación y Gestió</w:t>
      </w:r>
      <w:r w:rsidRPr="00BC51BE">
        <w:rPr>
          <w:rFonts w:cs="Arial"/>
        </w:rPr>
        <w:t>n del Conocimiento, herramientas colaborativas, la arquitectura del conocimiento, las mediciones, los factores críticos de éxito, y las condiciones a mejorar; todo ello enmarcado en unas estrategias, objetivos y barreras frente al conocimiento y la Innovación</w:t>
      </w:r>
      <w:r>
        <w:rPr>
          <w:rFonts w:cs="Arial"/>
        </w:rPr>
        <w:t xml:space="preserve"> que se espera ser implementando en el 2017. Estas fases se describen de manera general a continuación: </w:t>
      </w:r>
    </w:p>
    <w:p w:rsidR="003D7F3C" w:rsidRDefault="003D7F3C" w:rsidP="003D7F3C">
      <w:pPr>
        <w:spacing w:after="0" w:line="240" w:lineRule="auto"/>
        <w:jc w:val="both"/>
        <w:rPr>
          <w:rFonts w:cs="Arial"/>
        </w:rPr>
      </w:pPr>
    </w:p>
    <w:p w:rsidR="003D7F3C" w:rsidRDefault="003D7F3C" w:rsidP="000E4EEA">
      <w:pPr>
        <w:pStyle w:val="Prrafodelista"/>
        <w:numPr>
          <w:ilvl w:val="0"/>
          <w:numId w:val="249"/>
        </w:numPr>
        <w:spacing w:after="0" w:line="240" w:lineRule="auto"/>
        <w:jc w:val="both"/>
        <w:rPr>
          <w:rFonts w:cs="Arial"/>
        </w:rPr>
      </w:pPr>
      <w:r>
        <w:rPr>
          <w:rFonts w:cs="Arial"/>
        </w:rPr>
        <w:t>Primera fase que contempló</w:t>
      </w:r>
      <w:r w:rsidRPr="00084079">
        <w:rPr>
          <w:rFonts w:cs="Arial"/>
        </w:rPr>
        <w:t xml:space="preserve"> el diseño del enfoque concept</w:t>
      </w:r>
      <w:r>
        <w:rPr>
          <w:rFonts w:cs="Arial"/>
        </w:rPr>
        <w:t>ual, el cual define</w:t>
      </w:r>
      <w:r w:rsidRPr="00084079">
        <w:rPr>
          <w:rFonts w:cs="Arial"/>
        </w:rPr>
        <w:t xml:space="preserve"> la gestión de conocimiento del ICBF como la “</w:t>
      </w:r>
      <w:r w:rsidRPr="00084079">
        <w:rPr>
          <w:rFonts w:cs="Arial"/>
          <w:i/>
        </w:rPr>
        <w:t>capacidad de crear, guardar, compartir y usar el conocimiento organizacional, el saber como (Know how), para lograr los objetivos misionales de la organización (white t. 2004)”</w:t>
      </w:r>
      <w:r w:rsidRPr="00084079">
        <w:rPr>
          <w:rFonts w:cs="Arial"/>
        </w:rPr>
        <w:t xml:space="preserve"> y, la Gestión de la Innovación como un “p</w:t>
      </w:r>
      <w:r w:rsidRPr="00084079">
        <w:rPr>
          <w:rFonts w:cs="Arial"/>
          <w:i/>
        </w:rPr>
        <w:t>roceso a través del cual se crea valor para la sociedad mediante prácticas, modelo de gestión, productos o servicios novedosos que satisfacen una necesidad, aprovecha una oportunidad y resuelven un problema de forma más eficiente y eficaz (Pre Conpes de la Política Nacional de Innovación, 2015</w:t>
      </w:r>
      <w:r>
        <w:rPr>
          <w:rFonts w:cs="Arial"/>
        </w:rPr>
        <w:t>).</w:t>
      </w:r>
    </w:p>
    <w:p w:rsidR="00097886" w:rsidRPr="00084079" w:rsidRDefault="00097886" w:rsidP="00097886">
      <w:pPr>
        <w:pStyle w:val="Prrafodelista"/>
        <w:spacing w:after="0" w:line="240" w:lineRule="auto"/>
        <w:ind w:left="1080"/>
        <w:jc w:val="both"/>
        <w:rPr>
          <w:rFonts w:cs="Arial"/>
        </w:rPr>
      </w:pPr>
    </w:p>
    <w:p w:rsidR="003D7F3C" w:rsidRDefault="003D7F3C" w:rsidP="000E4EEA">
      <w:pPr>
        <w:pStyle w:val="Prrafodelista"/>
        <w:numPr>
          <w:ilvl w:val="0"/>
          <w:numId w:val="249"/>
        </w:numPr>
        <w:spacing w:after="0" w:line="240" w:lineRule="auto"/>
        <w:jc w:val="both"/>
        <w:rPr>
          <w:rFonts w:cs="Arial"/>
        </w:rPr>
      </w:pPr>
      <w:r>
        <w:rPr>
          <w:rFonts w:cs="Arial"/>
        </w:rPr>
        <w:t>S</w:t>
      </w:r>
      <w:r w:rsidRPr="00084079">
        <w:rPr>
          <w:rFonts w:cs="Arial"/>
        </w:rPr>
        <w:t>egunda f</w:t>
      </w:r>
      <w:r>
        <w:rPr>
          <w:rFonts w:cs="Arial"/>
        </w:rPr>
        <w:t>ase de diagnóstico que buscó</w:t>
      </w:r>
      <w:r w:rsidRPr="00084079">
        <w:rPr>
          <w:rFonts w:cs="Arial"/>
        </w:rPr>
        <w:t xml:space="preserve"> identificar las experiencias y estrategias de Innovación y Gesti</w:t>
      </w:r>
      <w:r>
        <w:rPr>
          <w:rFonts w:cs="Arial"/>
        </w:rPr>
        <w:t>ón del Conocimiento en el ICBF.</w:t>
      </w:r>
    </w:p>
    <w:p w:rsidR="00097886" w:rsidRPr="00097886" w:rsidRDefault="00097886" w:rsidP="00097886">
      <w:pPr>
        <w:spacing w:after="0" w:line="240" w:lineRule="auto"/>
        <w:jc w:val="both"/>
        <w:rPr>
          <w:rFonts w:cs="Arial"/>
        </w:rPr>
      </w:pPr>
    </w:p>
    <w:p w:rsidR="003D7F3C" w:rsidRDefault="003D7F3C" w:rsidP="000E4EEA">
      <w:pPr>
        <w:pStyle w:val="Prrafodelista"/>
        <w:numPr>
          <w:ilvl w:val="0"/>
          <w:numId w:val="249"/>
        </w:numPr>
        <w:spacing w:after="0" w:line="240" w:lineRule="auto"/>
        <w:jc w:val="both"/>
        <w:rPr>
          <w:rFonts w:cs="Arial"/>
        </w:rPr>
      </w:pPr>
      <w:r>
        <w:rPr>
          <w:rFonts w:cs="Arial"/>
        </w:rPr>
        <w:t>Tercera fase que implicó</w:t>
      </w:r>
      <w:r w:rsidRPr="00084079">
        <w:rPr>
          <w:rFonts w:cs="Arial"/>
        </w:rPr>
        <w:t xml:space="preserve"> la construcción del modelo</w:t>
      </w:r>
      <w:r>
        <w:rPr>
          <w:rFonts w:cs="Arial"/>
        </w:rPr>
        <w:t xml:space="preserve"> de gestión del conocimiento e innovación.</w:t>
      </w:r>
    </w:p>
    <w:p w:rsidR="00097886" w:rsidRPr="00097886" w:rsidRDefault="00097886" w:rsidP="00097886">
      <w:pPr>
        <w:spacing w:after="0" w:line="240" w:lineRule="auto"/>
        <w:jc w:val="both"/>
        <w:rPr>
          <w:rFonts w:cs="Arial"/>
        </w:rPr>
      </w:pPr>
    </w:p>
    <w:p w:rsidR="003D7F3C" w:rsidRPr="00084079" w:rsidRDefault="003D7F3C" w:rsidP="000E4EEA">
      <w:pPr>
        <w:pStyle w:val="Prrafodelista"/>
        <w:numPr>
          <w:ilvl w:val="0"/>
          <w:numId w:val="249"/>
        </w:numPr>
        <w:spacing w:after="0" w:line="240" w:lineRule="auto"/>
        <w:jc w:val="both"/>
        <w:rPr>
          <w:rFonts w:cs="Arial"/>
        </w:rPr>
      </w:pPr>
      <w:r>
        <w:rPr>
          <w:rFonts w:cs="Arial"/>
        </w:rPr>
        <w:t>Cuarta</w:t>
      </w:r>
      <w:r w:rsidRPr="00084079">
        <w:rPr>
          <w:rFonts w:cs="Arial"/>
        </w:rPr>
        <w:t xml:space="preserve"> fase de recomendaciones para la impleme</w:t>
      </w:r>
      <w:r>
        <w:rPr>
          <w:rFonts w:cs="Arial"/>
        </w:rPr>
        <w:t>ntación que se tiene contemplada</w:t>
      </w:r>
      <w:r w:rsidRPr="00084079">
        <w:rPr>
          <w:rFonts w:cs="Arial"/>
        </w:rPr>
        <w:t xml:space="preserve"> para esta vigencia 2017</w:t>
      </w:r>
      <w:r>
        <w:rPr>
          <w:rFonts w:cs="Arial"/>
        </w:rPr>
        <w:t>.</w:t>
      </w:r>
    </w:p>
    <w:p w:rsidR="003D7F3C" w:rsidRDefault="003D7F3C" w:rsidP="003D7F3C">
      <w:pPr>
        <w:pStyle w:val="Prrafodelista"/>
        <w:spacing w:after="0" w:line="240" w:lineRule="auto"/>
        <w:ind w:left="0"/>
        <w:jc w:val="both"/>
        <w:rPr>
          <w:rFonts w:cs="Arial"/>
        </w:rPr>
      </w:pPr>
    </w:p>
    <w:p w:rsidR="003D7F3C" w:rsidRDefault="003D7F3C" w:rsidP="003D7F3C">
      <w:pPr>
        <w:pStyle w:val="Prrafodelista"/>
        <w:spacing w:after="0" w:line="240" w:lineRule="auto"/>
        <w:ind w:left="0"/>
        <w:jc w:val="both"/>
        <w:rPr>
          <w:rFonts w:cs="Arial"/>
        </w:rPr>
      </w:pPr>
      <w:r>
        <w:rPr>
          <w:rFonts w:cs="Arial"/>
        </w:rPr>
        <w:t>P</w:t>
      </w:r>
      <w:r w:rsidRPr="003C406C">
        <w:rPr>
          <w:rFonts w:cs="Arial"/>
        </w:rPr>
        <w:t>ara promover la Gestión del Conocimiento</w:t>
      </w:r>
      <w:r>
        <w:rPr>
          <w:rFonts w:cs="Arial"/>
        </w:rPr>
        <w:t xml:space="preserve"> y la Innovación</w:t>
      </w:r>
      <w:r w:rsidRPr="003C406C">
        <w:rPr>
          <w:rFonts w:cs="Arial"/>
        </w:rPr>
        <w:t xml:space="preserve">, el ICBF </w:t>
      </w:r>
      <w:r>
        <w:rPr>
          <w:rFonts w:cs="Arial"/>
        </w:rPr>
        <w:t xml:space="preserve">viene implementado algunas estrategias como son las siguientes: la Estrategia Permanente de </w:t>
      </w:r>
      <w:r w:rsidRPr="0026640B">
        <w:rPr>
          <w:rFonts w:cs="Arial"/>
          <w:b/>
        </w:rPr>
        <w:t>Innovación</w:t>
      </w:r>
      <w:r>
        <w:rPr>
          <w:rFonts w:cs="Arial"/>
        </w:rPr>
        <w:t xml:space="preserve"> y Cambio organizacional-EPICO, con el fin de</w:t>
      </w:r>
      <w:r w:rsidRPr="003C406C">
        <w:rPr>
          <w:rFonts w:cs="Arial"/>
        </w:rPr>
        <w:t xml:space="preserve"> a</w:t>
      </w:r>
      <w:r>
        <w:rPr>
          <w:rFonts w:cs="Arial"/>
        </w:rPr>
        <w:t>delantar procesos de Innovación; adicionalmente vienen desarrollando procesos de</w:t>
      </w:r>
      <w:r w:rsidRPr="003C406C">
        <w:rPr>
          <w:rFonts w:cs="Arial"/>
        </w:rPr>
        <w:t xml:space="preserve"> Investigación </w:t>
      </w:r>
      <w:r>
        <w:rPr>
          <w:rFonts w:cs="Arial"/>
        </w:rPr>
        <w:t>a nivel regional y en conjunto con la academia;</w:t>
      </w:r>
      <w:r w:rsidRPr="003C406C">
        <w:rPr>
          <w:rFonts w:cs="Arial"/>
        </w:rPr>
        <w:t xml:space="preserve"> Evaluacion</w:t>
      </w:r>
      <w:r>
        <w:rPr>
          <w:rFonts w:cs="Arial"/>
        </w:rPr>
        <w:t>es (operaciones, resultados e impacto)</w:t>
      </w:r>
      <w:r w:rsidRPr="003C406C">
        <w:rPr>
          <w:rFonts w:cs="Arial"/>
        </w:rPr>
        <w:t xml:space="preserve"> de los programas y servicios del ICBF, así como Estudios y Análisis del Observatorio de la Niñez </w:t>
      </w:r>
      <w:r w:rsidRPr="002C2E8B">
        <w:rPr>
          <w:rFonts w:cs="Arial"/>
          <w:bCs/>
        </w:rPr>
        <w:t>que sirvan como herramientas complementarias para la toma de decisiones en m</w:t>
      </w:r>
      <w:r>
        <w:rPr>
          <w:rFonts w:cs="Arial"/>
          <w:bCs/>
        </w:rPr>
        <w:t>ateria de políticas y programas</w:t>
      </w:r>
      <w:r w:rsidRPr="002C2E8B">
        <w:rPr>
          <w:rFonts w:cs="Arial"/>
          <w:bCs/>
        </w:rPr>
        <w:t xml:space="preserve"> a favor del bienestar de la primera infancia, la niñez, la adolescencia y las familias.</w:t>
      </w:r>
      <w:r>
        <w:rPr>
          <w:rFonts w:cs="Arial"/>
          <w:bCs/>
        </w:rPr>
        <w:t xml:space="preserve"> A</w:t>
      </w:r>
      <w:r>
        <w:rPr>
          <w:rFonts w:cs="Arial"/>
        </w:rPr>
        <w:t xml:space="preserve">dicionalmente el ICBF cuenta con herramientas de socialización y divulgación de la gestión institucional como el Café PARD; la construcción del Entorno Digital- Búho; la Biblioteca Virtual; </w:t>
      </w:r>
      <w:r w:rsidRPr="00BC51BE">
        <w:rPr>
          <w:rFonts w:cs="Arial"/>
        </w:rPr>
        <w:t>GECO -Gestión del Conocimiento</w:t>
      </w:r>
      <w:r>
        <w:rPr>
          <w:rFonts w:cs="Arial"/>
        </w:rPr>
        <w:t xml:space="preserve"> como una herramienta de interacción con la ciudadanía y la Escuela modalidad Virtual que promueve procesos de formación y capacitación.</w:t>
      </w:r>
    </w:p>
    <w:p w:rsidR="003D7F3C" w:rsidRPr="00DB7DCE" w:rsidRDefault="003D7F3C" w:rsidP="003D7F3C">
      <w:pPr>
        <w:autoSpaceDE w:val="0"/>
        <w:autoSpaceDN w:val="0"/>
        <w:adjustRightInd w:val="0"/>
        <w:spacing w:after="0" w:line="240" w:lineRule="auto"/>
        <w:jc w:val="both"/>
        <w:rPr>
          <w:rFonts w:cs="Arial"/>
          <w:b/>
        </w:rPr>
      </w:pPr>
    </w:p>
    <w:p w:rsidR="00BE4C3C" w:rsidRDefault="00BE4C3C" w:rsidP="000E4EEA">
      <w:pPr>
        <w:pStyle w:val="Ttulo2"/>
        <w:numPr>
          <w:ilvl w:val="1"/>
          <w:numId w:val="248"/>
        </w:numPr>
        <w:spacing w:line="240" w:lineRule="auto"/>
        <w:rPr>
          <w:rFonts w:cs="Arial"/>
          <w:b/>
        </w:rPr>
      </w:pPr>
      <w:bookmarkStart w:id="245" w:name="_Toc473581455"/>
      <w:r>
        <w:rPr>
          <w:rFonts w:cs="Arial"/>
          <w:b/>
          <w:szCs w:val="22"/>
        </w:rPr>
        <w:t xml:space="preserve">Logros </w:t>
      </w:r>
      <w:r w:rsidR="003A6D83">
        <w:rPr>
          <w:rFonts w:cs="Arial"/>
          <w:b/>
          <w:szCs w:val="22"/>
        </w:rPr>
        <w:t xml:space="preserve">y Retos </w:t>
      </w:r>
      <w:r>
        <w:rPr>
          <w:rFonts w:cs="Arial"/>
          <w:b/>
          <w:szCs w:val="22"/>
        </w:rPr>
        <w:t>de T</w:t>
      </w:r>
      <w:r w:rsidRPr="00A7148E">
        <w:rPr>
          <w:rFonts w:cs="Arial"/>
          <w:b/>
        </w:rPr>
        <w:t>ransparencia, participación y servicio al ciudadano</w:t>
      </w:r>
      <w:bookmarkEnd w:id="245"/>
    </w:p>
    <w:p w:rsidR="00BE4C3C" w:rsidRPr="00C30ADF" w:rsidRDefault="00BE4C3C" w:rsidP="00BE4C3C"/>
    <w:p w:rsidR="00BE4C3C" w:rsidRDefault="00BE4C3C" w:rsidP="00BE4C3C">
      <w:pPr>
        <w:pStyle w:val="Prrafodelista"/>
        <w:numPr>
          <w:ilvl w:val="0"/>
          <w:numId w:val="245"/>
        </w:numPr>
        <w:spacing w:after="160" w:line="259" w:lineRule="auto"/>
        <w:ind w:left="360"/>
        <w:contextualSpacing/>
        <w:jc w:val="both"/>
        <w:rPr>
          <w:rFonts w:cs="Arial"/>
        </w:rPr>
      </w:pPr>
      <w:r w:rsidRPr="00A7148E">
        <w:rPr>
          <w:rFonts w:cs="Arial"/>
        </w:rPr>
        <w:t>Alcanzar el fenecimiento de la cuenta. Por primera vez en cinco años, la Contraloría General de la República calificó sobresaliente la gestión financiera y legal del Instituto. Para la vigencia fiscal 2015, el ICBF obtuvo un puntaje de 81,46, después de que por cinco años consecutivos los conceptos fueran desfavorables con puntajes por debajo de 80 puntos.</w:t>
      </w:r>
    </w:p>
    <w:p w:rsidR="006C5219" w:rsidRDefault="00BE4C3C" w:rsidP="006C5219">
      <w:pPr>
        <w:pStyle w:val="Prrafodelista"/>
        <w:numPr>
          <w:ilvl w:val="0"/>
          <w:numId w:val="245"/>
        </w:numPr>
        <w:spacing w:after="160" w:line="259" w:lineRule="auto"/>
        <w:ind w:left="360"/>
        <w:contextualSpacing/>
        <w:jc w:val="both"/>
        <w:rPr>
          <w:rFonts w:cs="Arial"/>
        </w:rPr>
      </w:pPr>
      <w:r w:rsidRPr="00A7148E">
        <w:rPr>
          <w:rFonts w:cs="Arial"/>
        </w:rPr>
        <w:t>Gestionar la mejor ejecución presupuestal del ICBF en los últimos cinco años para el año 201</w:t>
      </w:r>
      <w:r>
        <w:rPr>
          <w:rFonts w:cs="Arial"/>
        </w:rPr>
        <w:t>6</w:t>
      </w:r>
      <w:r w:rsidRPr="00A7148E">
        <w:rPr>
          <w:rFonts w:cs="Arial"/>
        </w:rPr>
        <w:t>. Lo que ubica en el primer lugar del Sector de Inclusión y Reconciliación Social al Instituto.</w:t>
      </w:r>
    </w:p>
    <w:p w:rsidR="006C5219" w:rsidRPr="006C5219" w:rsidRDefault="006C5219" w:rsidP="006C5219">
      <w:pPr>
        <w:pStyle w:val="Prrafodelista"/>
        <w:spacing w:after="160" w:line="259" w:lineRule="auto"/>
        <w:ind w:left="360"/>
        <w:contextualSpacing/>
        <w:jc w:val="both"/>
        <w:rPr>
          <w:rFonts w:cs="Arial"/>
        </w:rPr>
      </w:pPr>
    </w:p>
    <w:p w:rsidR="00BE4C3C" w:rsidRPr="006C5219" w:rsidRDefault="00BE4C3C" w:rsidP="00BE4C3C">
      <w:pPr>
        <w:pStyle w:val="Prrafodelista"/>
        <w:numPr>
          <w:ilvl w:val="0"/>
          <w:numId w:val="245"/>
        </w:numPr>
        <w:spacing w:after="160" w:line="259" w:lineRule="auto"/>
        <w:ind w:left="360"/>
        <w:contextualSpacing/>
        <w:jc w:val="both"/>
        <w:rPr>
          <w:rFonts w:cs="Arial"/>
        </w:rPr>
      </w:pPr>
      <w:r w:rsidRPr="006C5219">
        <w:rPr>
          <w:rFonts w:cs="Arial"/>
        </w:rPr>
        <w:t>Aumentar 11.8 puntos en la calificación preliminar del Índice de Transparencia de Entidades Públicas - ITEP, lo que significó pasar de 53.8 puntos en la evaluación 2013-2014, a 65.6 puntos en la versión 2015-2016, en otras palabras, ICBF salió del Riesgo Alto de corrupción, gracias a las mejoras que se implementaron.</w:t>
      </w:r>
    </w:p>
    <w:p w:rsidR="006C5219" w:rsidRPr="006C5219" w:rsidRDefault="006C5219" w:rsidP="006C5219">
      <w:pPr>
        <w:pStyle w:val="Prrafodelista"/>
        <w:spacing w:after="160" w:line="259" w:lineRule="auto"/>
        <w:ind w:left="360"/>
        <w:contextualSpacing/>
        <w:jc w:val="both"/>
        <w:rPr>
          <w:rFonts w:cs="Arial"/>
        </w:rPr>
      </w:pPr>
    </w:p>
    <w:p w:rsidR="00BE4C3C" w:rsidRPr="006C5219" w:rsidRDefault="00BE4C3C" w:rsidP="00BE4C3C">
      <w:pPr>
        <w:pStyle w:val="Prrafodelista"/>
        <w:numPr>
          <w:ilvl w:val="0"/>
          <w:numId w:val="245"/>
        </w:numPr>
        <w:spacing w:after="160" w:line="259" w:lineRule="auto"/>
        <w:ind w:left="360"/>
        <w:contextualSpacing/>
        <w:jc w:val="both"/>
        <w:rPr>
          <w:rFonts w:cs="Arial"/>
        </w:rPr>
      </w:pPr>
      <w:r w:rsidRPr="006C5219">
        <w:rPr>
          <w:rFonts w:cs="Arial"/>
        </w:rPr>
        <w:t>En los resultados de</w:t>
      </w:r>
      <w:r w:rsidRPr="006C5219">
        <w:t xml:space="preserve"> </w:t>
      </w:r>
      <w:r w:rsidRPr="006C5219">
        <w:rPr>
          <w:rFonts w:cs="Arial"/>
        </w:rPr>
        <w:t xml:space="preserve">Formulario Único Reporte de Avances de la Gestión – FURAG que adelanta del Departamento Administrativo de la Función pública para la versión 2015, se logró aumentar frente a la versión 2014, en Plan Anticorrupción (Pasó de 81 a 97,3), Acceso a Información pública (De 77 a 85,8), en Participación ciudadana (De 59 a 67,1), en Rendición de cuentas (De 74 a 83,8) en Servicio al ciudadano (De 67 a 85,5) en Gobierno en línea (de 51 a 62,5) y en </w:t>
      </w:r>
      <w:r w:rsidR="006C5219" w:rsidRPr="006C5219">
        <w:rPr>
          <w:rFonts w:cs="Arial"/>
        </w:rPr>
        <w:t>Gestión de Calidad (De 76 a 83).</w:t>
      </w:r>
    </w:p>
    <w:p w:rsidR="006C5219" w:rsidRPr="006C5219" w:rsidRDefault="006C5219" w:rsidP="006C5219">
      <w:pPr>
        <w:pStyle w:val="Prrafodelista"/>
        <w:spacing w:after="160" w:line="259" w:lineRule="auto"/>
        <w:ind w:left="360"/>
        <w:contextualSpacing/>
        <w:jc w:val="both"/>
        <w:rPr>
          <w:rFonts w:cs="Arial"/>
        </w:rPr>
      </w:pPr>
    </w:p>
    <w:p w:rsidR="006C5219" w:rsidRDefault="00BE4C3C" w:rsidP="006C5219">
      <w:pPr>
        <w:pStyle w:val="Prrafodelista"/>
        <w:numPr>
          <w:ilvl w:val="0"/>
          <w:numId w:val="245"/>
        </w:numPr>
        <w:spacing w:after="160" w:line="259" w:lineRule="auto"/>
        <w:ind w:left="360"/>
        <w:contextualSpacing/>
        <w:jc w:val="both"/>
        <w:rPr>
          <w:rFonts w:cs="Arial"/>
        </w:rPr>
      </w:pPr>
      <w:r w:rsidRPr="006C5219">
        <w:rPr>
          <w:rFonts w:cs="Arial"/>
        </w:rPr>
        <w:t xml:space="preserve">Implementar el Banco Nacional de Oferentes para cada modalidad de atención, consolidando en una única base la </w:t>
      </w:r>
      <w:r w:rsidRPr="00A7148E">
        <w:rPr>
          <w:rFonts w:cs="Arial"/>
        </w:rPr>
        <w:t>oferta nacional de oferentes, es decir, entidades con capacidad para prestar el servicio público de bienestar familiar, que garanticen condiciones legales, técnicas, administrativas y financieras, de experiencia e infraestructura exigidas.</w:t>
      </w:r>
    </w:p>
    <w:p w:rsidR="006C5219" w:rsidRPr="006C5219" w:rsidRDefault="006C5219" w:rsidP="006C5219">
      <w:pPr>
        <w:pStyle w:val="Prrafodelista"/>
        <w:spacing w:after="160" w:line="259" w:lineRule="auto"/>
        <w:ind w:left="360"/>
        <w:contextualSpacing/>
        <w:jc w:val="both"/>
        <w:rPr>
          <w:rFonts w:cs="Arial"/>
        </w:rPr>
      </w:pPr>
    </w:p>
    <w:p w:rsidR="006C5219" w:rsidRDefault="00BE4C3C" w:rsidP="00BE4C3C">
      <w:pPr>
        <w:pStyle w:val="Prrafodelista"/>
        <w:numPr>
          <w:ilvl w:val="0"/>
          <w:numId w:val="245"/>
        </w:numPr>
        <w:spacing w:after="160" w:line="259" w:lineRule="auto"/>
        <w:ind w:left="360"/>
        <w:contextualSpacing/>
        <w:jc w:val="both"/>
        <w:rPr>
          <w:rFonts w:cs="Arial"/>
        </w:rPr>
      </w:pPr>
      <w:r w:rsidRPr="00A7148E">
        <w:rPr>
          <w:rFonts w:cs="Arial"/>
        </w:rPr>
        <w:t>Validar la relación de contratos publicados en SECOP, mediante la realización de informes de verificación trimestrales, con el estado de cada una de las regionales.</w:t>
      </w:r>
    </w:p>
    <w:p w:rsidR="00BE4C3C" w:rsidRPr="00A7148E" w:rsidRDefault="00BE4C3C" w:rsidP="006C5219">
      <w:pPr>
        <w:pStyle w:val="Prrafodelista"/>
        <w:spacing w:after="160" w:line="259" w:lineRule="auto"/>
        <w:ind w:left="360"/>
        <w:contextualSpacing/>
        <w:jc w:val="both"/>
        <w:rPr>
          <w:rFonts w:cs="Arial"/>
        </w:rPr>
      </w:pPr>
      <w:r w:rsidRPr="00A7148E">
        <w:rPr>
          <w:rFonts w:cs="Arial"/>
        </w:rPr>
        <w:t xml:space="preserve">  </w:t>
      </w:r>
    </w:p>
    <w:p w:rsidR="00BE4C3C" w:rsidRDefault="00BE4C3C" w:rsidP="00BE4C3C">
      <w:pPr>
        <w:pStyle w:val="Prrafodelista"/>
        <w:numPr>
          <w:ilvl w:val="0"/>
          <w:numId w:val="245"/>
        </w:numPr>
        <w:spacing w:after="160" w:line="259" w:lineRule="auto"/>
        <w:ind w:left="360"/>
        <w:contextualSpacing/>
        <w:jc w:val="both"/>
        <w:rPr>
          <w:rFonts w:cs="Arial"/>
        </w:rPr>
      </w:pPr>
      <w:r w:rsidRPr="00A7148E">
        <w:rPr>
          <w:rFonts w:cs="Arial"/>
        </w:rPr>
        <w:t>Actualizar y publicar el actual Manual de Contratación de la entidad. Así, se emitió la Resolución 10601 del 10 de octubre de 2016, con la cual se modificó la Resolución 1100 de 2015 y se adoptó el Manual de Contratación, conforme al nuevo mo</w:t>
      </w:r>
      <w:r w:rsidR="006C5219">
        <w:rPr>
          <w:rFonts w:cs="Arial"/>
        </w:rPr>
        <w:t>delo de operación por procesos.</w:t>
      </w:r>
    </w:p>
    <w:p w:rsidR="006C5219" w:rsidRPr="00A7148E" w:rsidRDefault="006C5219" w:rsidP="006C5219">
      <w:pPr>
        <w:pStyle w:val="Prrafodelista"/>
        <w:spacing w:after="160" w:line="259" w:lineRule="auto"/>
        <w:ind w:left="360"/>
        <w:contextualSpacing/>
        <w:jc w:val="both"/>
        <w:rPr>
          <w:rFonts w:cs="Arial"/>
        </w:rPr>
      </w:pPr>
    </w:p>
    <w:p w:rsidR="00BE4C3C" w:rsidRDefault="00BE4C3C" w:rsidP="00BE4C3C">
      <w:pPr>
        <w:pStyle w:val="Prrafodelista"/>
        <w:numPr>
          <w:ilvl w:val="0"/>
          <w:numId w:val="245"/>
        </w:numPr>
        <w:spacing w:after="160" w:line="259" w:lineRule="auto"/>
        <w:ind w:left="360"/>
        <w:contextualSpacing/>
        <w:jc w:val="both"/>
        <w:rPr>
          <w:rFonts w:cs="Arial"/>
        </w:rPr>
      </w:pPr>
      <w:r w:rsidRPr="00A62ACD">
        <w:rPr>
          <w:rFonts w:cs="Arial"/>
        </w:rPr>
        <w:t>Fortalecer el esquema de supervisión. Se logró pasar de 514 profesionales a 924 profesionales en el equipo de supervisión de primera infancia a nivel nacional. Por su parte, para Protección se contrataron 152 profesionales para los equipos de apoyo para la supe</w:t>
      </w:r>
      <w:r w:rsidR="006C5219">
        <w:rPr>
          <w:rFonts w:cs="Arial"/>
        </w:rPr>
        <w:t>rvisión de contratos de aporte.</w:t>
      </w:r>
    </w:p>
    <w:p w:rsidR="006C5219" w:rsidRPr="006C5219" w:rsidRDefault="006C5219" w:rsidP="006C5219">
      <w:pPr>
        <w:pStyle w:val="Prrafodelista"/>
        <w:spacing w:after="160" w:line="259" w:lineRule="auto"/>
        <w:ind w:left="360"/>
        <w:contextualSpacing/>
        <w:jc w:val="both"/>
        <w:rPr>
          <w:rFonts w:cs="Arial"/>
        </w:rPr>
      </w:pPr>
    </w:p>
    <w:p w:rsidR="00BE4C3C" w:rsidRDefault="00C771B4" w:rsidP="00BE4C3C">
      <w:pPr>
        <w:pStyle w:val="Prrafodelista"/>
        <w:numPr>
          <w:ilvl w:val="0"/>
          <w:numId w:val="245"/>
        </w:numPr>
        <w:spacing w:after="160" w:line="259" w:lineRule="auto"/>
        <w:ind w:left="360"/>
        <w:contextualSpacing/>
        <w:jc w:val="both"/>
        <w:rPr>
          <w:rFonts w:cs="Arial"/>
        </w:rPr>
      </w:pPr>
      <w:r>
        <w:rPr>
          <w:rFonts w:cs="Arial"/>
        </w:rPr>
        <w:t>Se realizaron</w:t>
      </w:r>
      <w:r w:rsidRPr="00FE3430">
        <w:rPr>
          <w:rFonts w:cs="Arial"/>
        </w:rPr>
        <w:t xml:space="preserve"> </w:t>
      </w:r>
      <w:r w:rsidRPr="006C5219">
        <w:rPr>
          <w:rFonts w:cs="Arial"/>
        </w:rPr>
        <w:t xml:space="preserve">2.381 visitas de seguimiento a la implementación de lineamientos correspondientes a: 970 visitas a sedes de entidades contratistas,1.380 visitas a unidades de servicio – hogares sustitutos , 31 visitas a unidades de servicio – hogares sustitutos tutores </w:t>
      </w:r>
      <w:r w:rsidRPr="00FE3430">
        <w:rPr>
          <w:rFonts w:cs="Arial"/>
        </w:rPr>
        <w:t xml:space="preserve">; </w:t>
      </w:r>
      <w:r w:rsidRPr="006C5219">
        <w:rPr>
          <w:rFonts w:cs="Arial"/>
        </w:rPr>
        <w:t>14.104 visitas a los puntos de entrega primarios de alimentos de alto valor nutricional aplicando el instrumento de seguimiento.</w:t>
      </w:r>
      <w:r w:rsidR="00BE4C3C" w:rsidRPr="00A62ACD">
        <w:rPr>
          <w:rFonts w:cs="Arial"/>
        </w:rPr>
        <w:t xml:space="preserve"> </w:t>
      </w:r>
      <w:r w:rsidR="00BE4C3C" w:rsidRPr="006C5219">
        <w:rPr>
          <w:rFonts w:cs="Arial"/>
        </w:rPr>
        <w:t>50.000 visitas en Primera Infancia durante 2016</w:t>
      </w:r>
      <w:r w:rsidR="00BE4C3C" w:rsidRPr="00A62ACD">
        <w:rPr>
          <w:rFonts w:cs="Arial"/>
        </w:rPr>
        <w:t>.</w:t>
      </w:r>
    </w:p>
    <w:p w:rsidR="006C5219" w:rsidRPr="006C5219" w:rsidRDefault="006C5219" w:rsidP="006C5219">
      <w:pPr>
        <w:pStyle w:val="Prrafodelista"/>
        <w:spacing w:after="160" w:line="259" w:lineRule="auto"/>
        <w:ind w:left="360"/>
        <w:contextualSpacing/>
        <w:jc w:val="both"/>
        <w:rPr>
          <w:rFonts w:cs="Arial"/>
        </w:rPr>
      </w:pPr>
    </w:p>
    <w:p w:rsidR="006C5219" w:rsidRDefault="00BE4C3C" w:rsidP="006C5219">
      <w:pPr>
        <w:pStyle w:val="Prrafodelista"/>
        <w:numPr>
          <w:ilvl w:val="0"/>
          <w:numId w:val="245"/>
        </w:numPr>
        <w:spacing w:after="160" w:line="259" w:lineRule="auto"/>
        <w:ind w:left="360"/>
        <w:contextualSpacing/>
        <w:jc w:val="both"/>
        <w:rPr>
          <w:rFonts w:cs="Arial"/>
        </w:rPr>
      </w:pPr>
      <w:r w:rsidRPr="00A7148E">
        <w:rPr>
          <w:rFonts w:cs="Arial"/>
        </w:rPr>
        <w:t xml:space="preserve">Revisar, articular, actualizar y publicar el Código de Ética y el Código de Buen Gobierno del ICBF. Dentro del proceso de articulación del documento del Código de Ética y Buen Gobierno se plantearon varios ajustes  y se inició el desarrollo del mismo, con la implementación de la </w:t>
      </w:r>
      <w:r w:rsidR="006C5219">
        <w:rPr>
          <w:rFonts w:cs="Arial"/>
        </w:rPr>
        <w:t>Guía de Conflicto de intereses.</w:t>
      </w:r>
    </w:p>
    <w:p w:rsidR="006C5219" w:rsidRPr="006C5219" w:rsidRDefault="006C5219" w:rsidP="006C5219">
      <w:pPr>
        <w:pStyle w:val="Prrafodelista"/>
        <w:spacing w:after="160" w:line="259" w:lineRule="auto"/>
        <w:ind w:left="360"/>
        <w:contextualSpacing/>
        <w:jc w:val="both"/>
        <w:rPr>
          <w:rFonts w:cs="Arial"/>
        </w:rPr>
      </w:pPr>
    </w:p>
    <w:p w:rsidR="00BE4C3C" w:rsidRDefault="00BE4C3C" w:rsidP="00BE4C3C">
      <w:pPr>
        <w:pStyle w:val="Prrafodelista"/>
        <w:numPr>
          <w:ilvl w:val="0"/>
          <w:numId w:val="245"/>
        </w:numPr>
        <w:spacing w:after="160" w:line="259" w:lineRule="auto"/>
        <w:ind w:left="360"/>
        <w:contextualSpacing/>
        <w:jc w:val="both"/>
        <w:rPr>
          <w:rFonts w:cs="Arial"/>
        </w:rPr>
      </w:pPr>
      <w:r w:rsidRPr="00A7148E">
        <w:rPr>
          <w:rFonts w:cs="Arial"/>
        </w:rPr>
        <w:t>Fortalecer el proceso meritocrático para seleccionar los Directores Regionales. Para ello, se adelantó una articulación con el Departamento Administrativo de la Función Pública. Desde 2015, las pruebas de conocimientos las está diseñando y calificando la Universidad Nacional de Colombia.</w:t>
      </w:r>
    </w:p>
    <w:p w:rsidR="006C5219" w:rsidRPr="006C5219" w:rsidRDefault="006C5219" w:rsidP="006C5219">
      <w:pPr>
        <w:pStyle w:val="Prrafodelista"/>
        <w:spacing w:after="160" w:line="259" w:lineRule="auto"/>
        <w:ind w:left="360"/>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Pr>
          <w:rFonts w:cs="Arial"/>
        </w:rPr>
        <w:t>Firmar</w:t>
      </w:r>
      <w:r w:rsidRPr="00A7148E">
        <w:rPr>
          <w:rFonts w:cs="Arial"/>
        </w:rPr>
        <w:t xml:space="preserve"> pactos por la legalidad y transparencia en la totalidad de regionales para </w:t>
      </w:r>
      <w:r>
        <w:rPr>
          <w:rFonts w:cs="Arial"/>
        </w:rPr>
        <w:t>el Programa de Primera Infancia, con operadores y veedores del programa.</w:t>
      </w:r>
    </w:p>
    <w:p w:rsidR="006C5219" w:rsidRPr="006C5219" w:rsidRDefault="006C5219" w:rsidP="006C5219">
      <w:pPr>
        <w:pStyle w:val="Prrafodelista"/>
        <w:spacing w:after="0" w:line="259" w:lineRule="auto"/>
        <w:ind w:left="360"/>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Pr>
          <w:rFonts w:cs="Arial"/>
        </w:rPr>
        <w:t>Articular la</w:t>
      </w:r>
      <w:r w:rsidRPr="00A7148E">
        <w:rPr>
          <w:rFonts w:cs="Arial"/>
        </w:rPr>
        <w:t xml:space="preserve"> estrategia de prevención de la corrupción y de la falta disciplinaria</w:t>
      </w:r>
      <w:r>
        <w:rPr>
          <w:rFonts w:cs="Arial"/>
        </w:rPr>
        <w:t xml:space="preserve"> para </w:t>
      </w:r>
      <w:r w:rsidRPr="00A7148E">
        <w:rPr>
          <w:rFonts w:cs="Arial"/>
        </w:rPr>
        <w:t xml:space="preserve">prevenir la comisión de la falta disciplinaria, </w:t>
      </w:r>
      <w:r>
        <w:rPr>
          <w:rFonts w:cs="Arial"/>
        </w:rPr>
        <w:t xml:space="preserve">a través de la </w:t>
      </w:r>
      <w:r w:rsidRPr="00A7148E">
        <w:rPr>
          <w:rFonts w:cs="Arial"/>
        </w:rPr>
        <w:t>sensibilización a más de cuatrociento</w:t>
      </w:r>
      <w:r w:rsidR="006C5219">
        <w:rPr>
          <w:rFonts w:cs="Arial"/>
        </w:rPr>
        <w:t>s (400) colaboradores del ICBF.</w:t>
      </w:r>
    </w:p>
    <w:p w:rsidR="006C5219" w:rsidRPr="006C5219" w:rsidRDefault="006C5219" w:rsidP="006C5219">
      <w:pPr>
        <w:pStyle w:val="Prrafodelista"/>
        <w:spacing w:after="0" w:line="259" w:lineRule="auto"/>
        <w:ind w:left="360"/>
        <w:contextualSpacing/>
        <w:jc w:val="both"/>
        <w:rPr>
          <w:rFonts w:cs="Arial"/>
        </w:rPr>
      </w:pPr>
    </w:p>
    <w:p w:rsidR="006C5219" w:rsidRDefault="00BE4C3C" w:rsidP="006C5219">
      <w:pPr>
        <w:pStyle w:val="Prrafodelista"/>
        <w:numPr>
          <w:ilvl w:val="0"/>
          <w:numId w:val="245"/>
        </w:numPr>
        <w:spacing w:after="0" w:line="259" w:lineRule="auto"/>
        <w:ind w:left="360"/>
        <w:contextualSpacing/>
        <w:jc w:val="both"/>
        <w:rPr>
          <w:rFonts w:cs="Arial"/>
        </w:rPr>
      </w:pPr>
      <w:r>
        <w:rPr>
          <w:rFonts w:cs="Arial"/>
        </w:rPr>
        <w:t>Proferir</w:t>
      </w:r>
      <w:r w:rsidRPr="00A7148E">
        <w:rPr>
          <w:rFonts w:cs="Arial"/>
        </w:rPr>
        <w:t xml:space="preserve"> las sanciones contra servidores públicos del ICBF por faltas disciplinarias cometidas por acción u omisión en el cumplimiento de los deberes del cargo o por extralimitación en el ejercicio de la funciones, </w:t>
      </w:r>
      <w:r>
        <w:rPr>
          <w:rFonts w:cs="Arial"/>
        </w:rPr>
        <w:t xml:space="preserve">constituyen </w:t>
      </w:r>
      <w:r w:rsidRPr="00A7148E">
        <w:rPr>
          <w:rFonts w:cs="Arial"/>
        </w:rPr>
        <w:t>en sí mismas una función preventiva, pues ellas disuaden a otros colaboradores de cometer la mismas faltas disciplinarias y promueven mejores actitudes en el desarr</w:t>
      </w:r>
      <w:r w:rsidR="006C5219">
        <w:rPr>
          <w:rFonts w:cs="Arial"/>
        </w:rPr>
        <w:t>ollo de las funciones asignadas.</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054BE5">
        <w:rPr>
          <w:rFonts w:cs="Arial"/>
        </w:rPr>
        <w:t xml:space="preserve">Brindar información  cada vez más comprensible, </w:t>
      </w:r>
      <w:r>
        <w:rPr>
          <w:rFonts w:cs="Arial"/>
        </w:rPr>
        <w:t>en</w:t>
      </w:r>
      <w:r w:rsidRPr="00054BE5">
        <w:rPr>
          <w:rFonts w:cs="Arial"/>
        </w:rPr>
        <w:t xml:space="preserve"> un lenguaje y una presentación sencilla</w:t>
      </w:r>
      <w:r>
        <w:rPr>
          <w:rFonts w:cs="Arial"/>
        </w:rPr>
        <w:t>, clara</w:t>
      </w:r>
      <w:r w:rsidRPr="00054BE5">
        <w:rPr>
          <w:rFonts w:cs="Arial"/>
        </w:rPr>
        <w:t xml:space="preserve"> y consecuente con </w:t>
      </w:r>
      <w:r>
        <w:rPr>
          <w:rFonts w:cs="Arial"/>
        </w:rPr>
        <w:t>el enfoque diferencial</w:t>
      </w:r>
      <w:r w:rsidR="00097886">
        <w:rPr>
          <w:rFonts w:cs="Arial"/>
        </w:rPr>
        <w:t>.</w:t>
      </w:r>
    </w:p>
    <w:p w:rsidR="00097886" w:rsidRPr="00097886" w:rsidRDefault="00097886" w:rsidP="00097886">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y publicar la información de Planeación y Gestión, así como la información presupuestal del Instituto, en el portal web de la Entidad, en cumplimiento del Decreto 35</w:t>
      </w:r>
      <w:r>
        <w:rPr>
          <w:rFonts w:cs="Arial"/>
        </w:rPr>
        <w:t>6</w:t>
      </w:r>
      <w:r w:rsidRPr="00A7148E">
        <w:rPr>
          <w:rFonts w:cs="Arial"/>
        </w:rPr>
        <w:t>4 de</w:t>
      </w:r>
      <w:r w:rsidRPr="006C5219">
        <w:rPr>
          <w:rFonts w:cs="Arial"/>
        </w:rPr>
        <w:t xml:space="preserve"> diciembre de </w:t>
      </w:r>
      <w:r w:rsidRPr="00A7148E">
        <w:rPr>
          <w:rFonts w:cs="Arial"/>
        </w:rPr>
        <w:t>2015.</w:t>
      </w:r>
    </w:p>
    <w:p w:rsidR="006C5219" w:rsidRDefault="006C5219" w:rsidP="006C5219">
      <w:pPr>
        <w:pStyle w:val="Prrafodelista"/>
        <w:spacing w:after="0" w:line="259" w:lineRule="auto"/>
        <w:ind w:left="360"/>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los formatos de hoja de vida de contratistas en el Sistema de Información y Gestión del Empleo Público – SIGEP y publicar una matriz con facilidad de acceso y búsqueda, de la totalidad de contratistas de ICBF. La Dirección de Contratación implementó dentro de los requisitos para la contratación  de prestación de servicios desde el inicio del año, la actualización de todos los colaboradores en el SIGEP.</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y publicar la información de los perfiles de los funcionarios directivos, en el portal web de la Entidad. Adicionalmente, se actualiza mensualmente el listado de funcionarios directivos en la página web del ICBF y se cuenta con el hipervínculo a la hoja de vida del SIGEP para cada uno de dichos funcionarios.</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la información de evaluaciones de desempeño, publicada en portal web de la Entidad mediante la publicación del informe sobre estudios realizados y el resultado de la Evaluación de Desempeño Laboral correspondiente al período anual u ordinario 2015-2016.</w:t>
      </w:r>
    </w:p>
    <w:p w:rsidR="006C5219" w:rsidRPr="006C5219" w:rsidRDefault="006C5219" w:rsidP="006C5219">
      <w:pPr>
        <w:pStyle w:val="Prrafodelista"/>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los Planes de Mejoramiento de auditorías de los órganos de control en portal web de la Entidad.</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 xml:space="preserve">Divulgar de forma Interna y externa el Plan Anticorrupción y de Atención al Ciudadano del ICBF. Para este proceso de divulgación se contó con el apoyo de la Oficina Asesora de Comunicaciones y la Dirección de Gestión Humana, a través de correos masivos, inclusión de un </w:t>
      </w:r>
      <w:r w:rsidRPr="006C5219">
        <w:rPr>
          <w:rFonts w:cs="Arial"/>
        </w:rPr>
        <w:t>banner</w:t>
      </w:r>
      <w:r w:rsidRPr="00A7148E">
        <w:rPr>
          <w:rFonts w:cs="Arial"/>
        </w:rPr>
        <w:t xml:space="preserve"> en portal Web, proceso de inducción y reinducción y capacitaciones a colaboradores.</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 xml:space="preserve">Divulgar información en diversos idiomas, lenguas y medios, dirigida a quienes no hablan español y personas con alguna discapacidad. En articulación con la RTVC –Sistema de Medios Públicos, se ajustaron los programas producidos durante 2016, donde se introdujo el lenguaje de señas, los cuales serían entregados y difundidos a través de </w:t>
      </w:r>
      <w:r w:rsidRPr="006C5219">
        <w:rPr>
          <w:rFonts w:cs="Arial"/>
        </w:rPr>
        <w:t>Youtube</w:t>
      </w:r>
      <w:r w:rsidRPr="00A7148E">
        <w:rPr>
          <w:rFonts w:cs="Arial"/>
        </w:rPr>
        <w:t>, página web y redes sociales.</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 xml:space="preserve">Publicar campañas institucionales de prevención de la corrupción y promoción de la transparencia en la Entidad. Durante 2016, se creó la estrategia de prevención de corrupción “Martes de Transparencia”, en la cual se elaboraron y enviaron, a nivel nacional, </w:t>
      </w:r>
      <w:r w:rsidRPr="006C5219">
        <w:rPr>
          <w:rFonts w:cs="Arial"/>
        </w:rPr>
        <w:t>mailings</w:t>
      </w:r>
      <w:r w:rsidRPr="00A7148E">
        <w:rPr>
          <w:rFonts w:cs="Arial"/>
        </w:rPr>
        <w:t xml:space="preserve"> con mensajes relacionados con la transparencia, a través de los comunicadores regionales se impulsó la difusión de los mismos y el registro fotográfico para posteriormente elaborar una cartelera virtual. En redes sociales, se movieron tres (3) </w:t>
      </w:r>
      <w:r w:rsidRPr="006C5219">
        <w:rPr>
          <w:rFonts w:cs="Arial"/>
        </w:rPr>
        <w:t>gifs</w:t>
      </w:r>
      <w:r w:rsidRPr="00A7148E">
        <w:rPr>
          <w:rFonts w:cs="Arial"/>
        </w:rPr>
        <w:t xml:space="preserve"> sobre el tema de transparencia y se promovió el </w:t>
      </w:r>
      <w:r w:rsidRPr="006C5219">
        <w:rPr>
          <w:rFonts w:cs="Arial"/>
        </w:rPr>
        <w:t>hashtag</w:t>
      </w:r>
      <w:r w:rsidRPr="00A7148E">
        <w:rPr>
          <w:rFonts w:cs="Arial"/>
        </w:rPr>
        <w:t xml:space="preserve"> </w:t>
      </w:r>
      <w:r w:rsidRPr="006C5219">
        <w:rPr>
          <w:rFonts w:cs="Arial"/>
        </w:rPr>
        <w:t>#ICBFPorLaTransparencia</w:t>
      </w:r>
      <w:r w:rsidRPr="00A7148E">
        <w:rPr>
          <w:rFonts w:cs="Arial"/>
        </w:rPr>
        <w:t xml:space="preserve"> </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Actualizar y publicar los instrumentos de inventario de activos de Información del ICBF, el Esquema de publicación de información del ICBF y el Índice de Información Clasificada y Reservada.</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A7148E">
        <w:rPr>
          <w:rFonts w:cs="Arial"/>
        </w:rPr>
        <w:t>Implementar el Programa de Gestión documental en su Fase Preparatoria, logrando la asignación de las cargas con los recursos para comenzar a desarrollar el Proyecto de Actualización de TRD  de la sede Nacional.</w:t>
      </w:r>
    </w:p>
    <w:p w:rsidR="006C5219" w:rsidRPr="006C5219" w:rsidRDefault="006C5219" w:rsidP="006C5219">
      <w:pPr>
        <w:spacing w:after="0" w:line="259" w:lineRule="auto"/>
        <w:contextualSpacing/>
        <w:jc w:val="both"/>
        <w:rPr>
          <w:rFonts w:cs="Arial"/>
        </w:rPr>
      </w:pPr>
    </w:p>
    <w:p w:rsidR="00BE4C3C" w:rsidRDefault="00BE4C3C" w:rsidP="006C5219">
      <w:pPr>
        <w:pStyle w:val="Prrafodelista"/>
        <w:numPr>
          <w:ilvl w:val="0"/>
          <w:numId w:val="245"/>
        </w:numPr>
        <w:spacing w:after="0" w:line="259" w:lineRule="auto"/>
        <w:ind w:left="360"/>
        <w:contextualSpacing/>
        <w:jc w:val="both"/>
        <w:rPr>
          <w:rFonts w:cs="Arial"/>
        </w:rPr>
      </w:pPr>
      <w:r w:rsidRPr="00D8710A">
        <w:rPr>
          <w:rFonts w:cs="Arial"/>
        </w:rPr>
        <w:t>Se construyeron</w:t>
      </w:r>
      <w:r>
        <w:rPr>
          <w:rFonts w:cs="Arial"/>
        </w:rPr>
        <w:t xml:space="preserve"> los lineamientos de participación ciudadana de la entidad a partir de un diagnóstico institucional del nivel de incidencia de la participación en la gestión, identificando oportunidades de mejora y fortalezas.</w:t>
      </w:r>
    </w:p>
    <w:p w:rsidR="00D8710A" w:rsidRDefault="00D8710A" w:rsidP="00D8710A">
      <w:pPr>
        <w:pStyle w:val="Prrafodelista"/>
        <w:spacing w:after="0" w:line="240" w:lineRule="auto"/>
        <w:ind w:left="360"/>
        <w:contextualSpacing/>
        <w:jc w:val="both"/>
        <w:rPr>
          <w:rFonts w:cs="Arial"/>
        </w:rPr>
      </w:pPr>
    </w:p>
    <w:p w:rsidR="00207E8C" w:rsidRPr="00DB7DCE" w:rsidRDefault="00207E8C" w:rsidP="000E4EEA">
      <w:pPr>
        <w:pStyle w:val="Prrafodelista"/>
        <w:numPr>
          <w:ilvl w:val="0"/>
          <w:numId w:val="250"/>
        </w:numPr>
        <w:spacing w:after="0" w:line="240" w:lineRule="auto"/>
        <w:jc w:val="both"/>
        <w:rPr>
          <w:rFonts w:cs="Arial"/>
          <w:b/>
          <w:u w:val="single"/>
        </w:rPr>
      </w:pPr>
      <w:r w:rsidRPr="00DB7DCE">
        <w:rPr>
          <w:rFonts w:cs="Arial"/>
          <w:b/>
          <w:u w:val="single"/>
        </w:rPr>
        <w:t>GECO:</w:t>
      </w:r>
    </w:p>
    <w:p w:rsidR="00207E8C" w:rsidRDefault="00207E8C" w:rsidP="00207E8C">
      <w:pPr>
        <w:pStyle w:val="Prrafodelista"/>
        <w:spacing w:after="0" w:line="240" w:lineRule="auto"/>
        <w:ind w:left="720"/>
        <w:jc w:val="both"/>
        <w:rPr>
          <w:rFonts w:cs="Arial"/>
        </w:rPr>
      </w:pPr>
    </w:p>
    <w:p w:rsidR="00207E8C" w:rsidRPr="000A31AE" w:rsidRDefault="00207E8C" w:rsidP="00207E8C">
      <w:pPr>
        <w:pStyle w:val="Prrafodelista"/>
        <w:spacing w:after="0" w:line="240" w:lineRule="auto"/>
        <w:ind w:left="720"/>
        <w:jc w:val="both"/>
        <w:rPr>
          <w:rFonts w:cs="Arial"/>
        </w:rPr>
      </w:pPr>
      <w:r w:rsidRPr="002871D8">
        <w:rPr>
          <w:rFonts w:cs="Arial"/>
        </w:rPr>
        <w:t>En el año 2016, se realizó el desarrollo y puesta en producción en la página web institucional la herramienta virtual denominada GECO -Gestión del Conocimiento-, la cual favorece dos frentes estratégicos para la operación de servicios y atención del ICBF. El ciudadano podrá consultar vía web sus inquietudes respecto de los temas más frecuentes de consulta en el ICBF, teniendo a disposición también, videos en lengua de señas colombiana y evitando el desplazamiento a los puntos de atención  y optimizando los recursos disponibles;  de otra parte, el colaborador que atiende a nuestros ciudadanos podrá acceder a una amplia base de conocimiento de las consultas más frecuentes, estandarizando así la respuesta que la entidad brinda por cualquiera de los canales de atención. La herramienta también cuenta con un módulo de preguntas frecuente</w:t>
      </w:r>
      <w:r w:rsidRPr="000A31AE">
        <w:rPr>
          <w:rFonts w:cs="Arial"/>
        </w:rPr>
        <w:t xml:space="preserve">s para el colaborador, a la que puede acceder a través de la intranet del ICBF. </w:t>
      </w:r>
    </w:p>
    <w:p w:rsidR="00207E8C" w:rsidRPr="00A7148E" w:rsidRDefault="00207E8C" w:rsidP="00207E8C">
      <w:pPr>
        <w:pStyle w:val="Prrafodelista"/>
        <w:spacing w:after="0" w:line="240" w:lineRule="auto"/>
        <w:ind w:left="0"/>
        <w:jc w:val="both"/>
        <w:rPr>
          <w:rFonts w:cs="Arial"/>
        </w:rPr>
      </w:pPr>
    </w:p>
    <w:p w:rsidR="00207E8C" w:rsidRPr="00A7148E" w:rsidRDefault="00207E8C" w:rsidP="00207E8C">
      <w:pPr>
        <w:pStyle w:val="Prrafodelista"/>
        <w:spacing w:after="0" w:line="240" w:lineRule="auto"/>
        <w:jc w:val="both"/>
        <w:rPr>
          <w:rFonts w:cs="Arial"/>
        </w:rPr>
      </w:pPr>
      <w:r w:rsidRPr="00A7148E">
        <w:rPr>
          <w:rFonts w:cs="Arial"/>
        </w:rPr>
        <w:t>Con el fin de ser más incluyentes en el servicio, se recopilaron contenidos misionales adicionales, se trata del Módulo de Preguntas Frecuentes con Enfoque Diferencial, respecto del cual, se realizó el ejercicio de traducción a lenguaje claro y se inició la construcción de glosas de dichas respuestas, como preparación para efectuar los videos en lengua de señas colombiana de este módulo, previa su publicación en la herramienta GECO.</w:t>
      </w:r>
    </w:p>
    <w:p w:rsidR="00207E8C" w:rsidRPr="00A7148E" w:rsidRDefault="00207E8C" w:rsidP="00207E8C">
      <w:pPr>
        <w:pStyle w:val="Prrafodelista"/>
        <w:spacing w:after="0" w:line="240" w:lineRule="auto"/>
        <w:jc w:val="both"/>
        <w:rPr>
          <w:rFonts w:cs="Arial"/>
        </w:rPr>
      </w:pPr>
    </w:p>
    <w:p w:rsidR="00207E8C" w:rsidRDefault="00207E8C" w:rsidP="00207E8C">
      <w:pPr>
        <w:pStyle w:val="Prrafodelista"/>
        <w:spacing w:after="0" w:line="240" w:lineRule="auto"/>
        <w:jc w:val="both"/>
        <w:rPr>
          <w:rFonts w:cs="Arial"/>
        </w:rPr>
      </w:pPr>
      <w:r w:rsidRPr="00A7148E">
        <w:rPr>
          <w:rFonts w:cs="Arial"/>
        </w:rPr>
        <w:t xml:space="preserve">Actualmente GECO contiene más de 240 preguntas frecuentes, acompañadas de los videos en Lengua de Señas Colombiana y audios. Desde el mes de agosto se han realizado publicaciones en radio y redes sociales: </w:t>
      </w:r>
      <w:r w:rsidRPr="000506C4">
        <w:rPr>
          <w:rFonts w:cs="Arial"/>
          <w:i/>
        </w:rPr>
        <w:t>Facebook</w:t>
      </w:r>
      <w:r w:rsidRPr="00A7148E">
        <w:rPr>
          <w:rFonts w:cs="Arial"/>
        </w:rPr>
        <w:t xml:space="preserve"> y </w:t>
      </w:r>
      <w:r w:rsidRPr="000506C4">
        <w:rPr>
          <w:rFonts w:cs="Arial"/>
          <w:i/>
        </w:rPr>
        <w:t>Twitter</w:t>
      </w:r>
      <w:r w:rsidRPr="00A7148E">
        <w:rPr>
          <w:rFonts w:cs="Arial"/>
        </w:rPr>
        <w:t>, que promueven el uso de la herramienta y la consulta ciudadana de temas frecuentes como adopción, fijación cuota de alimentos y custodia, impugnación e investigación de la paternidad y permiso salida del país</w:t>
      </w:r>
    </w:p>
    <w:p w:rsidR="00207E8C" w:rsidRDefault="00207E8C" w:rsidP="00207E8C">
      <w:pPr>
        <w:pStyle w:val="Prrafodelista"/>
        <w:spacing w:after="0" w:line="240" w:lineRule="auto"/>
        <w:ind w:left="0"/>
        <w:jc w:val="both"/>
        <w:rPr>
          <w:rFonts w:cs="Arial"/>
        </w:rPr>
      </w:pPr>
    </w:p>
    <w:p w:rsidR="00207E8C" w:rsidRPr="00DB7DCE" w:rsidRDefault="00207E8C" w:rsidP="000E4EEA">
      <w:pPr>
        <w:pStyle w:val="Prrafodelista"/>
        <w:numPr>
          <w:ilvl w:val="0"/>
          <w:numId w:val="250"/>
        </w:numPr>
        <w:spacing w:after="0" w:line="240" w:lineRule="auto"/>
        <w:ind w:left="708"/>
        <w:jc w:val="both"/>
        <w:rPr>
          <w:rFonts w:cs="Arial"/>
          <w:b/>
          <w:u w:val="single"/>
        </w:rPr>
      </w:pPr>
      <w:r w:rsidRPr="00DB7DCE">
        <w:rPr>
          <w:rFonts w:cs="Arial"/>
          <w:b/>
          <w:u w:val="single"/>
        </w:rPr>
        <w:t>Evaluaciones, Investigaciones, Estudios y Análisis:</w:t>
      </w:r>
    </w:p>
    <w:p w:rsidR="00207E8C" w:rsidRDefault="00207E8C" w:rsidP="00207E8C">
      <w:pPr>
        <w:pStyle w:val="Prrafodelista"/>
        <w:spacing w:after="0" w:line="240" w:lineRule="auto"/>
        <w:jc w:val="both"/>
        <w:rPr>
          <w:rFonts w:cs="Arial"/>
        </w:rPr>
      </w:pPr>
    </w:p>
    <w:p w:rsidR="00207E8C" w:rsidRPr="00DB7DCE" w:rsidRDefault="00207E8C" w:rsidP="00207E8C">
      <w:pPr>
        <w:pStyle w:val="Prrafodelista"/>
        <w:spacing w:after="0" w:line="240" w:lineRule="auto"/>
        <w:jc w:val="both"/>
        <w:rPr>
          <w:rFonts w:cs="Arial"/>
        </w:rPr>
      </w:pPr>
      <w:r w:rsidRPr="00DB7DCE">
        <w:rPr>
          <w:rFonts w:cs="Arial"/>
        </w:rPr>
        <w:t>El Instituto Colombiano de Bienestar Familiar -ICBF a través de la Subdirección de Monitoreo y Evaluación de la Dirección de Planeación y Control de Gestión, diseña, aplica y promueve las evaluaciones, investigaciones, encuestas, estudios y análisis. En ese sentido, la Subdirección de Monitoreo y Evaluación lidera la  “</w:t>
      </w:r>
      <w:r w:rsidRPr="00DB7DCE">
        <w:rPr>
          <w:rFonts w:cs="Arial"/>
          <w:i/>
        </w:rPr>
        <w:t>Agenda de Evaluaciones,  investigaciones, Estudios y Análisis del ICBF 2016”</w:t>
      </w:r>
      <w:r w:rsidRPr="00DB7DCE">
        <w:rPr>
          <w:rFonts w:cs="Arial"/>
        </w:rPr>
        <w:t xml:space="preserve">, el cual tiene como objetivo relacionar los temas, proyectos, programas y políticas estratégicas a estudiar, investigar o evaluar durante una vigencia fiscal determinada, se tiene programado la elaboración e implementación de estudios y encuestas poblacionales del orden nacional como:  i) la Encuesta Nacional de la Situación Nutricional - ENSIN 2015 y  ii) el Estudio de la Situación Nutricional y Alimentaria para los pueblos Indígenas de Colombia-ENSANI.  </w:t>
      </w:r>
    </w:p>
    <w:p w:rsidR="00207E8C" w:rsidRPr="009A460E" w:rsidRDefault="00207E8C" w:rsidP="00207E8C">
      <w:pPr>
        <w:spacing w:after="0" w:line="240" w:lineRule="auto"/>
        <w:ind w:left="708"/>
        <w:jc w:val="both"/>
        <w:rPr>
          <w:rFonts w:cs="Arial"/>
        </w:rPr>
      </w:pPr>
    </w:p>
    <w:p w:rsidR="00207E8C" w:rsidRDefault="00207E8C" w:rsidP="00207E8C">
      <w:pPr>
        <w:spacing w:after="0" w:line="240" w:lineRule="auto"/>
        <w:ind w:left="708"/>
        <w:jc w:val="both"/>
        <w:rPr>
          <w:rFonts w:cs="Arial"/>
        </w:rPr>
      </w:pPr>
      <w:r w:rsidRPr="009A460E">
        <w:rPr>
          <w:rFonts w:cs="Arial"/>
        </w:rPr>
        <w:t xml:space="preserve">El proyecto de </w:t>
      </w:r>
      <w:r>
        <w:rPr>
          <w:rFonts w:cs="Arial"/>
        </w:rPr>
        <w:t xml:space="preserve">inversión de </w:t>
      </w:r>
      <w:r w:rsidRPr="009A460E">
        <w:rPr>
          <w:rFonts w:cs="Arial"/>
        </w:rPr>
        <w:t>estudios sociales ha destinado recursos para monitorear la gestión institucional, realizar investigaciones, encuestas poblacionales y evaluar los programas, proyectos y servicios del ICBF orientada al fortalecimiento de la entidad con el fin de mejorar el bienestar de la niñez, la adolescencia y la familia en el marco de la gestión para la prestación de los servicios.</w:t>
      </w:r>
    </w:p>
    <w:p w:rsidR="00207E8C" w:rsidRPr="009A460E" w:rsidRDefault="00207E8C" w:rsidP="00207E8C">
      <w:pPr>
        <w:spacing w:after="0" w:line="240" w:lineRule="auto"/>
        <w:ind w:left="708"/>
        <w:jc w:val="both"/>
        <w:rPr>
          <w:rFonts w:cs="Arial"/>
        </w:rPr>
      </w:pPr>
    </w:p>
    <w:tbl>
      <w:tblPr>
        <w:tblStyle w:val="Tablaconcuadrcula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859"/>
        <w:gridCol w:w="1817"/>
        <w:gridCol w:w="1712"/>
        <w:gridCol w:w="1764"/>
      </w:tblGrid>
      <w:tr w:rsidR="00207E8C" w:rsidRPr="0089136C" w:rsidTr="00B25B81">
        <w:trPr>
          <w:trHeight w:val="457"/>
          <w:jc w:val="center"/>
        </w:trPr>
        <w:tc>
          <w:tcPr>
            <w:tcW w:w="1859" w:type="dxa"/>
            <w:shd w:val="clear" w:color="auto" w:fill="76923C" w:themeFill="accent3" w:themeFillShade="BF"/>
          </w:tcPr>
          <w:p w:rsidR="00207E8C" w:rsidRPr="00B25B81" w:rsidRDefault="00207E8C" w:rsidP="00C66FFC">
            <w:pPr>
              <w:spacing w:after="0" w:line="240" w:lineRule="auto"/>
              <w:jc w:val="center"/>
              <w:rPr>
                <w:rFonts w:eastAsia="Times New Roman" w:cs="Arial"/>
                <w:b/>
                <w:bCs/>
                <w:color w:val="FFFFFF" w:themeColor="background1"/>
                <w:sz w:val="20"/>
              </w:rPr>
            </w:pPr>
          </w:p>
        </w:tc>
        <w:tc>
          <w:tcPr>
            <w:tcW w:w="1817" w:type="dxa"/>
            <w:shd w:val="clear" w:color="auto" w:fill="76923C" w:themeFill="accent3" w:themeFillShade="BF"/>
          </w:tcPr>
          <w:p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Meta</w:t>
            </w:r>
          </w:p>
          <w:p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2016</w:t>
            </w:r>
          </w:p>
        </w:tc>
        <w:tc>
          <w:tcPr>
            <w:tcW w:w="1712" w:type="dxa"/>
            <w:shd w:val="clear" w:color="auto" w:fill="76923C" w:themeFill="accent3" w:themeFillShade="BF"/>
          </w:tcPr>
          <w:p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Avance</w:t>
            </w:r>
          </w:p>
          <w:p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2016</w:t>
            </w:r>
          </w:p>
        </w:tc>
        <w:tc>
          <w:tcPr>
            <w:tcW w:w="1764" w:type="dxa"/>
            <w:shd w:val="clear" w:color="auto" w:fill="76923C" w:themeFill="accent3" w:themeFillShade="BF"/>
          </w:tcPr>
          <w:p w:rsidR="00207E8C" w:rsidRPr="00B25B81" w:rsidRDefault="00207E8C" w:rsidP="00C66FFC">
            <w:pPr>
              <w:spacing w:after="0" w:line="240" w:lineRule="auto"/>
              <w:jc w:val="center"/>
              <w:rPr>
                <w:rFonts w:eastAsia="Times New Roman" w:cs="Arial"/>
                <w:b/>
                <w:bCs/>
                <w:color w:val="FFFFFF" w:themeColor="background1"/>
                <w:sz w:val="20"/>
              </w:rPr>
            </w:pPr>
            <w:r w:rsidRPr="00B25B81">
              <w:rPr>
                <w:rFonts w:eastAsia="Times New Roman" w:cs="Arial"/>
                <w:b/>
                <w:bCs/>
                <w:color w:val="FFFFFF" w:themeColor="background1"/>
                <w:sz w:val="20"/>
              </w:rPr>
              <w:t>% de cumplimiento</w:t>
            </w:r>
          </w:p>
        </w:tc>
      </w:tr>
      <w:tr w:rsidR="00207E8C" w:rsidRPr="0089136C" w:rsidTr="00B25B81">
        <w:trPr>
          <w:trHeight w:val="294"/>
          <w:jc w:val="center"/>
        </w:trPr>
        <w:tc>
          <w:tcPr>
            <w:tcW w:w="1859" w:type="dxa"/>
          </w:tcPr>
          <w:p w:rsidR="00207E8C" w:rsidRPr="0089136C" w:rsidRDefault="00207E8C" w:rsidP="00C66FFC">
            <w:pPr>
              <w:spacing w:after="0" w:line="240" w:lineRule="auto"/>
              <w:rPr>
                <w:rStyle w:val="texto1"/>
                <w:rFonts w:ascii="Arial" w:eastAsia="Times New Roman" w:hAnsi="Arial" w:cs="Arial"/>
                <w:b/>
                <w:bCs/>
                <w:color w:val="auto"/>
                <w:sz w:val="20"/>
              </w:rPr>
            </w:pPr>
            <w:r w:rsidRPr="0089136C">
              <w:rPr>
                <w:rStyle w:val="texto1"/>
                <w:rFonts w:ascii="Arial" w:eastAsia="Times New Roman" w:hAnsi="Arial" w:cs="Arial"/>
                <w:b/>
                <w:color w:val="auto"/>
                <w:sz w:val="20"/>
              </w:rPr>
              <w:t>Cobertura</w:t>
            </w:r>
          </w:p>
        </w:tc>
        <w:tc>
          <w:tcPr>
            <w:tcW w:w="1817" w:type="dxa"/>
          </w:tcPr>
          <w:p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16</w:t>
            </w:r>
          </w:p>
        </w:tc>
        <w:tc>
          <w:tcPr>
            <w:tcW w:w="1712" w:type="dxa"/>
          </w:tcPr>
          <w:p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16</w:t>
            </w:r>
          </w:p>
        </w:tc>
        <w:tc>
          <w:tcPr>
            <w:tcW w:w="1764" w:type="dxa"/>
          </w:tcPr>
          <w:p w:rsidR="00207E8C" w:rsidRPr="0089136C" w:rsidRDefault="00207E8C" w:rsidP="00C66FFC">
            <w:pPr>
              <w:spacing w:after="0" w:line="240" w:lineRule="auto"/>
              <w:jc w:val="center"/>
              <w:rPr>
                <w:rStyle w:val="texto1"/>
                <w:rFonts w:ascii="Arial" w:eastAsia="Times New Roman" w:hAnsi="Arial" w:cs="Arial"/>
                <w:color w:val="auto"/>
                <w:sz w:val="20"/>
              </w:rPr>
            </w:pPr>
            <w:r w:rsidRPr="0089136C">
              <w:rPr>
                <w:rStyle w:val="texto1"/>
                <w:rFonts w:ascii="Arial" w:eastAsia="Times New Roman" w:hAnsi="Arial" w:cs="Arial"/>
                <w:color w:val="auto"/>
                <w:sz w:val="20"/>
              </w:rPr>
              <w:t>100%</w:t>
            </w:r>
          </w:p>
        </w:tc>
      </w:tr>
      <w:tr w:rsidR="00207E8C" w:rsidRPr="0089136C" w:rsidTr="00B25B81">
        <w:trPr>
          <w:trHeight w:val="220"/>
          <w:jc w:val="center"/>
        </w:trPr>
        <w:tc>
          <w:tcPr>
            <w:tcW w:w="1859" w:type="dxa"/>
            <w:shd w:val="clear" w:color="auto" w:fill="76923C" w:themeFill="accent3" w:themeFillShade="BF"/>
          </w:tcPr>
          <w:p w:rsidR="00207E8C" w:rsidRPr="00B25B81" w:rsidRDefault="00207E8C" w:rsidP="00C66FFC">
            <w:pPr>
              <w:spacing w:after="0" w:line="240" w:lineRule="auto"/>
              <w:jc w:val="center"/>
              <w:rPr>
                <w:rFonts w:eastAsia="Times New Roman" w:cs="Arial"/>
                <w:b/>
                <w:color w:val="FFFFFF" w:themeColor="background1"/>
                <w:sz w:val="20"/>
              </w:rPr>
            </w:pPr>
          </w:p>
        </w:tc>
        <w:tc>
          <w:tcPr>
            <w:tcW w:w="1817" w:type="dxa"/>
            <w:shd w:val="clear" w:color="auto" w:fill="76923C" w:themeFill="accent3" w:themeFillShade="BF"/>
          </w:tcPr>
          <w:p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Compromisos</w:t>
            </w:r>
          </w:p>
          <w:p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2016</w:t>
            </w:r>
          </w:p>
        </w:tc>
        <w:tc>
          <w:tcPr>
            <w:tcW w:w="1712" w:type="dxa"/>
            <w:shd w:val="clear" w:color="auto" w:fill="76923C" w:themeFill="accent3" w:themeFillShade="BF"/>
          </w:tcPr>
          <w:p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Obligaciones</w:t>
            </w:r>
          </w:p>
          <w:p w:rsidR="00207E8C" w:rsidRPr="00B25B81" w:rsidRDefault="00207E8C" w:rsidP="00C66FFC">
            <w:pPr>
              <w:spacing w:after="0" w:line="240" w:lineRule="auto"/>
              <w:jc w:val="center"/>
              <w:rPr>
                <w:rFonts w:eastAsia="Times New Roman" w:cs="Arial"/>
                <w:b/>
                <w:color w:val="FFFFFF" w:themeColor="background1"/>
                <w:sz w:val="20"/>
              </w:rPr>
            </w:pPr>
            <w:r w:rsidRPr="00B25B81">
              <w:rPr>
                <w:rFonts w:eastAsia="Times New Roman" w:cs="Arial"/>
                <w:b/>
                <w:color w:val="FFFFFF" w:themeColor="background1"/>
                <w:sz w:val="20"/>
              </w:rPr>
              <w:t>2016</w:t>
            </w:r>
          </w:p>
        </w:tc>
        <w:tc>
          <w:tcPr>
            <w:tcW w:w="1764" w:type="dxa"/>
            <w:shd w:val="clear" w:color="auto" w:fill="76923C" w:themeFill="accent3" w:themeFillShade="BF"/>
          </w:tcPr>
          <w:p w:rsidR="00207E8C" w:rsidRPr="00B25B81" w:rsidRDefault="00207E8C" w:rsidP="00C66FFC">
            <w:pPr>
              <w:pStyle w:val="NormalWeb"/>
              <w:spacing w:after="0" w:afterAutospacing="0"/>
              <w:jc w:val="center"/>
              <w:rPr>
                <w:rFonts w:ascii="Arial" w:hAnsi="Arial" w:cs="Arial"/>
                <w:b/>
                <w:color w:val="FFFFFF" w:themeColor="background1"/>
                <w:sz w:val="20"/>
                <w:szCs w:val="22"/>
              </w:rPr>
            </w:pPr>
            <w:r w:rsidRPr="00B25B81">
              <w:rPr>
                <w:rFonts w:ascii="Arial" w:hAnsi="Arial" w:cs="Arial"/>
                <w:b/>
                <w:color w:val="FFFFFF" w:themeColor="background1"/>
                <w:sz w:val="20"/>
                <w:szCs w:val="22"/>
              </w:rPr>
              <w:t>% de Ejecución</w:t>
            </w:r>
          </w:p>
        </w:tc>
      </w:tr>
      <w:tr w:rsidR="00207E8C" w:rsidRPr="0089136C" w:rsidTr="00B25B81">
        <w:trPr>
          <w:trHeight w:val="457"/>
          <w:jc w:val="center"/>
        </w:trPr>
        <w:tc>
          <w:tcPr>
            <w:tcW w:w="1859" w:type="dxa"/>
          </w:tcPr>
          <w:p w:rsidR="00207E8C" w:rsidRPr="0089136C" w:rsidRDefault="00207E8C" w:rsidP="00C66FFC">
            <w:pPr>
              <w:spacing w:after="0" w:line="240" w:lineRule="auto"/>
              <w:jc w:val="both"/>
              <w:rPr>
                <w:rFonts w:eastAsia="Times New Roman" w:cs="Arial"/>
                <w:b/>
                <w:sz w:val="20"/>
              </w:rPr>
            </w:pPr>
            <w:r w:rsidRPr="0089136C">
              <w:rPr>
                <w:rFonts w:eastAsia="Times New Roman" w:cs="Arial"/>
                <w:b/>
                <w:sz w:val="20"/>
              </w:rPr>
              <w:t xml:space="preserve">Inversión* </w:t>
            </w:r>
          </w:p>
          <w:p w:rsidR="00207E8C" w:rsidRPr="0089136C" w:rsidRDefault="00207E8C" w:rsidP="00C66FFC">
            <w:pPr>
              <w:spacing w:after="0" w:line="240" w:lineRule="auto"/>
              <w:jc w:val="both"/>
              <w:rPr>
                <w:rFonts w:eastAsia="Times New Roman" w:cs="Arial"/>
                <w:b/>
                <w:bCs/>
                <w:sz w:val="20"/>
              </w:rPr>
            </w:pPr>
            <w:r w:rsidRPr="0089136C">
              <w:rPr>
                <w:rFonts w:eastAsia="Times New Roman" w:cs="Arial"/>
                <w:b/>
                <w:sz w:val="20"/>
              </w:rPr>
              <w:t>(millones de $)</w:t>
            </w:r>
          </w:p>
        </w:tc>
        <w:tc>
          <w:tcPr>
            <w:tcW w:w="1817" w:type="dxa"/>
          </w:tcPr>
          <w:p w:rsidR="00207E8C" w:rsidRPr="0089136C" w:rsidRDefault="00207E8C" w:rsidP="00C66FFC">
            <w:pPr>
              <w:spacing w:after="0" w:line="240" w:lineRule="auto"/>
              <w:jc w:val="center"/>
              <w:rPr>
                <w:rFonts w:eastAsia="Times New Roman" w:cs="Arial"/>
                <w:sz w:val="20"/>
              </w:rPr>
            </w:pPr>
            <w:r w:rsidRPr="0089136C">
              <w:rPr>
                <w:rFonts w:eastAsia="Times New Roman" w:cs="Arial"/>
                <w:sz w:val="20"/>
              </w:rPr>
              <w:t>$7.000</w:t>
            </w:r>
          </w:p>
        </w:tc>
        <w:tc>
          <w:tcPr>
            <w:tcW w:w="1712" w:type="dxa"/>
          </w:tcPr>
          <w:p w:rsidR="00207E8C" w:rsidRPr="0089136C" w:rsidRDefault="00207E8C" w:rsidP="00C66FFC">
            <w:pPr>
              <w:spacing w:after="0" w:line="240" w:lineRule="auto"/>
              <w:jc w:val="center"/>
              <w:rPr>
                <w:rFonts w:eastAsia="Times New Roman" w:cs="Arial"/>
                <w:sz w:val="20"/>
              </w:rPr>
            </w:pPr>
            <w:r w:rsidRPr="0089136C">
              <w:rPr>
                <w:rFonts w:eastAsia="Times New Roman" w:cs="Arial"/>
                <w:sz w:val="20"/>
              </w:rPr>
              <w:t>$6.983,9</w:t>
            </w:r>
          </w:p>
        </w:tc>
        <w:tc>
          <w:tcPr>
            <w:tcW w:w="1764" w:type="dxa"/>
          </w:tcPr>
          <w:p w:rsidR="00207E8C" w:rsidRPr="0089136C" w:rsidRDefault="00207E8C" w:rsidP="00C66FFC">
            <w:pPr>
              <w:pStyle w:val="NormalWeb"/>
              <w:spacing w:after="0" w:afterAutospacing="0"/>
              <w:jc w:val="center"/>
              <w:rPr>
                <w:rFonts w:ascii="Arial" w:hAnsi="Arial" w:cs="Arial"/>
                <w:sz w:val="20"/>
                <w:szCs w:val="22"/>
              </w:rPr>
            </w:pPr>
            <w:r w:rsidRPr="0089136C">
              <w:rPr>
                <w:rFonts w:ascii="Arial" w:hAnsi="Arial" w:cs="Arial"/>
                <w:sz w:val="20"/>
                <w:szCs w:val="22"/>
              </w:rPr>
              <w:t>99.7%</w:t>
            </w:r>
          </w:p>
        </w:tc>
      </w:tr>
    </w:tbl>
    <w:p w:rsidR="00207E8C" w:rsidRDefault="00207E8C" w:rsidP="00207E8C">
      <w:pPr>
        <w:spacing w:after="0" w:line="240" w:lineRule="auto"/>
        <w:ind w:left="708"/>
        <w:jc w:val="center"/>
        <w:rPr>
          <w:rFonts w:cs="Arial"/>
          <w:sz w:val="16"/>
        </w:rPr>
      </w:pPr>
      <w:r w:rsidRPr="00B25B81">
        <w:rPr>
          <w:rFonts w:cs="Arial"/>
          <w:b/>
          <w:sz w:val="16"/>
        </w:rPr>
        <w:t>Fuente:</w:t>
      </w:r>
      <w:r w:rsidRPr="002871D8">
        <w:rPr>
          <w:rFonts w:cs="Arial"/>
          <w:sz w:val="16"/>
        </w:rPr>
        <w:t xml:space="preserve"> Reporte SIIF Nación. Corte 31 de Diciembre de 2016</w:t>
      </w:r>
    </w:p>
    <w:p w:rsidR="00207E8C" w:rsidRDefault="00207E8C" w:rsidP="00207E8C">
      <w:pPr>
        <w:spacing w:after="0" w:line="240" w:lineRule="auto"/>
        <w:ind w:left="708"/>
        <w:contextualSpacing/>
        <w:jc w:val="both"/>
        <w:rPr>
          <w:rFonts w:cs="Arial"/>
        </w:rPr>
      </w:pPr>
      <w:r>
        <w:rPr>
          <w:rFonts w:cs="Arial"/>
        </w:rPr>
        <w:t>En este contexto, s</w:t>
      </w:r>
      <w:r w:rsidRPr="003677C8">
        <w:rPr>
          <w:rFonts w:cs="Arial"/>
        </w:rPr>
        <w:t xml:space="preserve">e </w:t>
      </w:r>
      <w:r>
        <w:rPr>
          <w:rFonts w:cs="Arial"/>
        </w:rPr>
        <w:t>realizaron</w:t>
      </w:r>
      <w:r w:rsidRPr="003677C8">
        <w:rPr>
          <w:rFonts w:cs="Arial"/>
        </w:rPr>
        <w:t xml:space="preserve"> dos (2) evaluaciones: i) la </w:t>
      </w:r>
      <w:r w:rsidRPr="003677C8">
        <w:rPr>
          <w:rFonts w:cs="Arial"/>
          <w:i/>
        </w:rPr>
        <w:t>Evaluación de Impacto del programa de Generaciones con Bienestar de la Dirección de Niñez y Adolescencia</w:t>
      </w:r>
      <w:r w:rsidRPr="003677C8">
        <w:rPr>
          <w:rFonts w:cs="Arial"/>
        </w:rPr>
        <w:t xml:space="preserve"> y ii) la </w:t>
      </w:r>
      <w:r w:rsidRPr="003677C8">
        <w:rPr>
          <w:rFonts w:cs="Arial"/>
          <w:i/>
        </w:rPr>
        <w:t>Evaluación de Operaciones y resultados de la Modalidad de Desarrollo Infantil en Medio Familiar de la Dirección de Primera Infancia</w:t>
      </w:r>
      <w:r>
        <w:rPr>
          <w:rFonts w:cs="Arial"/>
        </w:rPr>
        <w:t xml:space="preserve">, el cual cuenta con sus informes de resultados y un plan de implementación de recomendaciones. </w:t>
      </w:r>
    </w:p>
    <w:p w:rsidR="00207E8C" w:rsidRPr="003677C8" w:rsidRDefault="00207E8C" w:rsidP="00207E8C">
      <w:pPr>
        <w:spacing w:after="0" w:line="240" w:lineRule="auto"/>
        <w:ind w:left="708"/>
        <w:contextualSpacing/>
        <w:jc w:val="both"/>
        <w:rPr>
          <w:rFonts w:cs="Arial"/>
        </w:rPr>
      </w:pPr>
    </w:p>
    <w:p w:rsidR="00207E8C" w:rsidRDefault="00207E8C" w:rsidP="00207E8C">
      <w:pPr>
        <w:spacing w:after="0" w:line="240" w:lineRule="auto"/>
        <w:ind w:left="708"/>
        <w:contextualSpacing/>
        <w:jc w:val="both"/>
        <w:rPr>
          <w:rFonts w:cs="Arial"/>
        </w:rPr>
      </w:pPr>
      <w:r>
        <w:rPr>
          <w:rFonts w:cs="Arial"/>
        </w:rPr>
        <w:t xml:space="preserve">Así mismo, al cierre de la vigencia 2016 se culminó el levantamiento de información en campo de la </w:t>
      </w:r>
      <w:r w:rsidRPr="003677C8">
        <w:rPr>
          <w:rFonts w:cs="Arial"/>
        </w:rPr>
        <w:t xml:space="preserve"> “</w:t>
      </w:r>
      <w:r w:rsidRPr="003677C8">
        <w:rPr>
          <w:rFonts w:cs="Arial"/>
          <w:i/>
        </w:rPr>
        <w:t>Encuesta Nacional de la Situación Nutricional- ENSIN 2015</w:t>
      </w:r>
      <w:r w:rsidRPr="003677C8">
        <w:rPr>
          <w:rFonts w:cs="Arial"/>
        </w:rPr>
        <w:t>”</w:t>
      </w:r>
      <w:r>
        <w:rPr>
          <w:rFonts w:cs="Arial"/>
        </w:rPr>
        <w:t xml:space="preserve"> en los 295 municipios del país de acuerdo al diseño muestral, con el acompañamiento técnico necesario para la garantía de la calidad de la información y el proceso técnico necesario para el diseño del plan de análisis general y complementario de la encuesta bajo el enfoque de determinantes sociales de la seguridad alimentaria y nutricional. </w:t>
      </w:r>
      <w:r w:rsidRPr="003677C8">
        <w:rPr>
          <w:rFonts w:cs="Arial"/>
        </w:rPr>
        <w:t xml:space="preserve"> </w:t>
      </w:r>
    </w:p>
    <w:p w:rsidR="00207E8C" w:rsidRDefault="00207E8C" w:rsidP="00207E8C">
      <w:pPr>
        <w:spacing w:after="0" w:line="240" w:lineRule="auto"/>
        <w:ind w:left="708"/>
        <w:contextualSpacing/>
        <w:jc w:val="both"/>
        <w:rPr>
          <w:rFonts w:cs="Arial"/>
        </w:rPr>
      </w:pPr>
    </w:p>
    <w:p w:rsidR="00207E8C" w:rsidRDefault="00207E8C" w:rsidP="00207E8C">
      <w:pPr>
        <w:spacing w:after="0" w:line="240" w:lineRule="auto"/>
        <w:ind w:left="708"/>
        <w:contextualSpacing/>
        <w:jc w:val="both"/>
        <w:rPr>
          <w:rFonts w:cs="Arial"/>
        </w:rPr>
      </w:pPr>
      <w:r w:rsidRPr="00B50C28">
        <w:rPr>
          <w:rFonts w:cs="Arial"/>
        </w:rPr>
        <w:t>Se realizó el proceso de Concertación para el desarrollo del “</w:t>
      </w:r>
      <w:r w:rsidRPr="00B50C28">
        <w:rPr>
          <w:rFonts w:cs="Arial"/>
          <w:i/>
        </w:rPr>
        <w:t>Estudio (encuesta) y Registro para la Caracterización a Nivel Nacional y Regional de la Situación Nutricional y Alimentaria de los Pueblos indígenas de Colombia  - ENSANI</w:t>
      </w:r>
      <w:r>
        <w:rPr>
          <w:rFonts w:cs="Arial"/>
          <w:i/>
        </w:rPr>
        <w:t>”</w:t>
      </w:r>
      <w:r w:rsidRPr="00B50C28">
        <w:rPr>
          <w:rFonts w:cs="Arial"/>
        </w:rPr>
        <w:t>, el cual para la vigencia 2016 recolecto información en los pueblos indígenas de Siona - kofán  ubicados en el Putumayo y los Coreguaje y Macaguaje, ubicados en Caquetá</w:t>
      </w:r>
      <w:r>
        <w:rPr>
          <w:rFonts w:cs="Arial"/>
        </w:rPr>
        <w:t xml:space="preserve"> priorizados por los Autos de la Corte.</w:t>
      </w:r>
    </w:p>
    <w:p w:rsidR="00207E8C" w:rsidRPr="009A460E" w:rsidRDefault="00207E8C" w:rsidP="00207E8C">
      <w:pPr>
        <w:pStyle w:val="Prrafodelista"/>
        <w:spacing w:after="0" w:line="240" w:lineRule="auto"/>
        <w:ind w:left="1416"/>
        <w:jc w:val="both"/>
        <w:rPr>
          <w:rFonts w:cs="Arial"/>
        </w:rPr>
      </w:pPr>
    </w:p>
    <w:p w:rsidR="00207E8C" w:rsidRDefault="00207E8C" w:rsidP="00207E8C">
      <w:pPr>
        <w:spacing w:after="0" w:line="240" w:lineRule="auto"/>
        <w:ind w:left="708"/>
        <w:jc w:val="both"/>
        <w:rPr>
          <w:rFonts w:cs="Arial"/>
        </w:rPr>
      </w:pPr>
      <w:r w:rsidRPr="009A460E">
        <w:rPr>
          <w:rFonts w:cs="Arial"/>
        </w:rPr>
        <w:t xml:space="preserve">Por último es importante mencionar, que se viene apoyando el proceso de institucionalización del Observatorio del Bienestar de la Niñez, </w:t>
      </w:r>
      <w:r>
        <w:rPr>
          <w:rFonts w:cs="Arial"/>
        </w:rPr>
        <w:t xml:space="preserve">el cual para la vigencia 2016 elaboró </w:t>
      </w:r>
      <w:r w:rsidRPr="00DB7DCE">
        <w:rPr>
          <w:rFonts w:cs="Arial"/>
        </w:rPr>
        <w:t>seis (6) infografías relacionadas con las unidades de análisis: Violencias contra la niñez, Adolescentes en conflicto con la Ley Penal y Conflicto armado, paz y niñez. Adicionalmente, elaboró dos boletines, uno sobre Construcción de Paz y Niñez y otro que presenta los resultados de las mesas temáticas realizadas en el marco del Convenio 1398 de OIM. Todas las publicaciones fueron socializadas en el evento de cierre del Convenio con OIM.</w:t>
      </w:r>
    </w:p>
    <w:p w:rsidR="00207E8C" w:rsidRDefault="00207E8C" w:rsidP="00207E8C">
      <w:pPr>
        <w:spacing w:after="0" w:line="240" w:lineRule="auto"/>
        <w:jc w:val="both"/>
        <w:rPr>
          <w:rFonts w:cs="Arial"/>
        </w:rPr>
      </w:pPr>
    </w:p>
    <w:p w:rsidR="00207E8C" w:rsidRDefault="00207E8C" w:rsidP="000E4EEA">
      <w:pPr>
        <w:pStyle w:val="Prrafodelista"/>
        <w:numPr>
          <w:ilvl w:val="0"/>
          <w:numId w:val="250"/>
        </w:numPr>
        <w:spacing w:after="0" w:line="240" w:lineRule="auto"/>
        <w:jc w:val="both"/>
        <w:rPr>
          <w:rFonts w:cs="Arial"/>
          <w:b/>
          <w:u w:val="single"/>
        </w:rPr>
      </w:pPr>
      <w:r w:rsidRPr="00DB7DCE">
        <w:rPr>
          <w:rFonts w:cs="Arial"/>
          <w:b/>
          <w:u w:val="single"/>
        </w:rPr>
        <w:t>Innovación:</w:t>
      </w:r>
    </w:p>
    <w:p w:rsidR="00207E8C" w:rsidRDefault="00207E8C" w:rsidP="00207E8C">
      <w:pPr>
        <w:pStyle w:val="Prrafodelista"/>
        <w:spacing w:after="0" w:line="240" w:lineRule="auto"/>
        <w:ind w:left="720"/>
        <w:jc w:val="both"/>
        <w:rPr>
          <w:rFonts w:cs="Arial"/>
          <w:b/>
          <w:u w:val="single"/>
        </w:rPr>
      </w:pPr>
    </w:p>
    <w:p w:rsidR="00207E8C" w:rsidRPr="00F32658" w:rsidRDefault="00207E8C" w:rsidP="00207E8C">
      <w:pPr>
        <w:pStyle w:val="Prrafodelista"/>
        <w:numPr>
          <w:ilvl w:val="0"/>
          <w:numId w:val="190"/>
        </w:numPr>
        <w:spacing w:after="0" w:line="240" w:lineRule="auto"/>
        <w:jc w:val="both"/>
        <w:rPr>
          <w:rFonts w:cs="Arial"/>
        </w:rPr>
      </w:pPr>
      <w:r w:rsidRPr="00F32658">
        <w:rPr>
          <w:rFonts w:cs="Arial"/>
        </w:rPr>
        <w:t>Se realizó un piloto de innovación frente al reto “¿</w:t>
      </w:r>
      <w:r>
        <w:rPr>
          <w:rFonts w:cs="Arial"/>
        </w:rPr>
        <w:t>C</w:t>
      </w:r>
      <w:r w:rsidRPr="00F32658">
        <w:rPr>
          <w:rFonts w:cs="Arial"/>
          <w:i/>
        </w:rPr>
        <w:t>ómo reducir el número de quejas recibidas contra defensores de familia en la regional Bogotá</w:t>
      </w:r>
      <w:r w:rsidRPr="00F32658">
        <w:rPr>
          <w:rFonts w:cs="Arial"/>
        </w:rPr>
        <w:t>?”</w:t>
      </w:r>
    </w:p>
    <w:p w:rsidR="00207E8C" w:rsidRPr="00F32658" w:rsidRDefault="00207E8C" w:rsidP="00207E8C">
      <w:pPr>
        <w:pStyle w:val="Prrafodelista"/>
        <w:spacing w:after="0" w:line="240" w:lineRule="auto"/>
        <w:ind w:left="720"/>
        <w:jc w:val="both"/>
        <w:rPr>
          <w:rFonts w:cs="Arial"/>
        </w:rPr>
      </w:pPr>
    </w:p>
    <w:p w:rsidR="00207E8C" w:rsidRPr="00F32658" w:rsidRDefault="00207E8C" w:rsidP="000E4EEA">
      <w:pPr>
        <w:pStyle w:val="Prrafodelista"/>
        <w:numPr>
          <w:ilvl w:val="0"/>
          <w:numId w:val="253"/>
        </w:numPr>
        <w:jc w:val="both"/>
      </w:pPr>
      <w:r w:rsidRPr="00F32658">
        <w:t>De 445 Eurekas registradas por nuestros colaboradores en el 2016, 45 fueron aprobadas para su implementación por los Líderes de Proceso en Sede de la Dirección General.</w:t>
      </w:r>
    </w:p>
    <w:p w:rsidR="00207E8C" w:rsidRPr="00B25B81" w:rsidRDefault="00207E8C" w:rsidP="000E4EEA">
      <w:pPr>
        <w:pStyle w:val="Prrafodelista"/>
        <w:numPr>
          <w:ilvl w:val="0"/>
          <w:numId w:val="246"/>
        </w:numPr>
        <w:spacing w:after="0" w:line="240" w:lineRule="auto"/>
        <w:contextualSpacing/>
        <w:jc w:val="both"/>
        <w:rPr>
          <w:rFonts w:cs="Arial"/>
        </w:rPr>
      </w:pPr>
      <w:r w:rsidRPr="00F32658">
        <w:t>De 127 Bitácoras implementadas a nivel nacional, 8 fueron aprobadas por los Líderes de Proceso en Sede de la Dirección</w:t>
      </w:r>
      <w:r>
        <w:t xml:space="preserve"> General.  Las 8 Bitácoras aprobadas están relacionadas al eje o componente Épico: Cuatro (4) corresponden al eje de calidad; 1 al eje ambiental; 2 al eje del ICBF el mejor lugar para trabajar y 1 al eje de seguridad y salud en el trabajo.</w:t>
      </w:r>
    </w:p>
    <w:p w:rsidR="00B25B81" w:rsidRPr="00207E8C" w:rsidRDefault="00B25B81" w:rsidP="00B25B81">
      <w:pPr>
        <w:pStyle w:val="Prrafodelista"/>
        <w:spacing w:after="0" w:line="240" w:lineRule="auto"/>
        <w:ind w:left="360"/>
        <w:contextualSpacing/>
        <w:jc w:val="both"/>
        <w:rPr>
          <w:rFonts w:cs="Arial"/>
        </w:rPr>
      </w:pPr>
    </w:p>
    <w:p w:rsidR="00BE4C3C" w:rsidRDefault="00BE4C3C" w:rsidP="000E4EEA">
      <w:pPr>
        <w:pStyle w:val="Prrafodelista"/>
        <w:numPr>
          <w:ilvl w:val="0"/>
          <w:numId w:val="246"/>
        </w:numPr>
        <w:spacing w:after="0" w:line="240" w:lineRule="auto"/>
        <w:contextualSpacing/>
        <w:jc w:val="both"/>
        <w:rPr>
          <w:rFonts w:cs="Arial"/>
        </w:rPr>
      </w:pPr>
      <w:r w:rsidRPr="00207E8C">
        <w:rPr>
          <w:rFonts w:cs="Arial"/>
        </w:rPr>
        <w:t xml:space="preserve">Visibilizar la gestión institucional para promover espacios de participación ciudadana en todo el ciclo de la gestión pública, </w:t>
      </w:r>
      <w:r w:rsidRPr="00D8710A">
        <w:rPr>
          <w:rFonts w:cs="Arial"/>
        </w:rPr>
        <w:t>desde la formulación de políticas,</w:t>
      </w:r>
      <w:r w:rsidRPr="00207E8C">
        <w:rPr>
          <w:rFonts w:cs="Arial"/>
        </w:rPr>
        <w:t xml:space="preserve"> como la política de Infancia y Adolescencia, hasta el seguimiento y control social a los programas con estrategias como las mesas públicas y otros espacios de rendición de cuentas, a través de una matriz de activos de participación ciudadana.</w:t>
      </w:r>
    </w:p>
    <w:p w:rsidR="00B25B81" w:rsidRPr="00B25B81" w:rsidRDefault="00B25B81" w:rsidP="00B25B81">
      <w:pPr>
        <w:spacing w:after="0" w:line="240" w:lineRule="auto"/>
        <w:contextualSpacing/>
        <w:jc w:val="both"/>
        <w:rPr>
          <w:rFonts w:cs="Arial"/>
        </w:rPr>
      </w:pPr>
    </w:p>
    <w:p w:rsidR="00BE4C3C" w:rsidRDefault="00BE4C3C" w:rsidP="000E4EEA">
      <w:pPr>
        <w:pStyle w:val="Prrafodelista"/>
        <w:numPr>
          <w:ilvl w:val="0"/>
          <w:numId w:val="246"/>
        </w:numPr>
        <w:spacing w:after="0" w:line="240" w:lineRule="auto"/>
        <w:contextualSpacing/>
        <w:jc w:val="both"/>
        <w:rPr>
          <w:rFonts w:cs="Arial"/>
        </w:rPr>
      </w:pPr>
      <w:r w:rsidRPr="00A7148E">
        <w:rPr>
          <w:rFonts w:cs="Arial"/>
        </w:rPr>
        <w:t>Se actualizó la Guía de Rendición de Cuentas con fecha junio de 2016 y se colgó en la página web para la respectiva consulta de los acto</w:t>
      </w:r>
      <w:r w:rsidR="00B25B81">
        <w:rPr>
          <w:rFonts w:cs="Arial"/>
        </w:rPr>
        <w:t>res sociales e institucionales.</w:t>
      </w:r>
    </w:p>
    <w:p w:rsidR="00B25B81" w:rsidRPr="00B25B81" w:rsidRDefault="00B25B81" w:rsidP="00B25B81">
      <w:pPr>
        <w:spacing w:after="0" w:line="240" w:lineRule="auto"/>
        <w:contextualSpacing/>
        <w:jc w:val="both"/>
        <w:rPr>
          <w:rFonts w:cs="Arial"/>
        </w:rPr>
      </w:pPr>
    </w:p>
    <w:p w:rsidR="00BE4C3C" w:rsidRDefault="00BE4C3C" w:rsidP="00BE4C3C">
      <w:pPr>
        <w:numPr>
          <w:ilvl w:val="0"/>
          <w:numId w:val="116"/>
        </w:numPr>
        <w:spacing w:after="0"/>
        <w:jc w:val="both"/>
        <w:rPr>
          <w:rFonts w:cs="Arial"/>
        </w:rPr>
      </w:pPr>
      <w:r w:rsidRPr="00A7148E">
        <w:rPr>
          <w:rFonts w:cs="Arial"/>
        </w:rPr>
        <w:t>Brindar información más oportuna, se avanzó en la entrega  a la ciudadanía y otros actores  informes ejecutivos de gestión en los plazos convenientes para facilitar diálogos con sustentos concretos.</w:t>
      </w:r>
    </w:p>
    <w:p w:rsidR="00B25B81" w:rsidRPr="00A7148E" w:rsidRDefault="00B25B81" w:rsidP="00B25B81">
      <w:pPr>
        <w:spacing w:after="0"/>
        <w:ind w:left="360"/>
        <w:jc w:val="both"/>
        <w:rPr>
          <w:rFonts w:cs="Arial"/>
        </w:rPr>
      </w:pPr>
    </w:p>
    <w:p w:rsidR="00BE4C3C" w:rsidRDefault="00BE4C3C" w:rsidP="00BE4C3C">
      <w:pPr>
        <w:numPr>
          <w:ilvl w:val="0"/>
          <w:numId w:val="116"/>
        </w:numPr>
        <w:spacing w:after="0"/>
        <w:jc w:val="both"/>
        <w:rPr>
          <w:rFonts w:cs="Arial"/>
        </w:rPr>
      </w:pPr>
      <w:r>
        <w:rPr>
          <w:rFonts w:cs="Arial"/>
        </w:rPr>
        <w:t>A</w:t>
      </w:r>
      <w:r w:rsidRPr="00A7148E">
        <w:rPr>
          <w:rFonts w:cs="Arial"/>
        </w:rPr>
        <w:t>ctiva</w:t>
      </w:r>
      <w:r>
        <w:rPr>
          <w:rFonts w:cs="Arial"/>
        </w:rPr>
        <w:t>r</w:t>
      </w:r>
      <w:r w:rsidRPr="00A7148E">
        <w:rPr>
          <w:rFonts w:cs="Arial"/>
        </w:rPr>
        <w:t xml:space="preserve"> las veedurías ciudadanas y participación de las Juntas de Acción Comunal en los procesos y programas.</w:t>
      </w:r>
    </w:p>
    <w:p w:rsidR="00B25B81" w:rsidRPr="00A7148E" w:rsidRDefault="00B25B81" w:rsidP="00B25B81">
      <w:pPr>
        <w:spacing w:after="0"/>
        <w:jc w:val="both"/>
        <w:rPr>
          <w:rFonts w:cs="Arial"/>
        </w:rPr>
      </w:pPr>
    </w:p>
    <w:p w:rsidR="00BE4C3C" w:rsidRDefault="00BE4C3C" w:rsidP="00BE4C3C">
      <w:pPr>
        <w:numPr>
          <w:ilvl w:val="0"/>
          <w:numId w:val="116"/>
        </w:numPr>
        <w:spacing w:after="0" w:line="240" w:lineRule="auto"/>
        <w:jc w:val="both"/>
        <w:rPr>
          <w:rFonts w:cs="Arial"/>
        </w:rPr>
      </w:pPr>
      <w:r w:rsidRPr="00A7148E">
        <w:rPr>
          <w:rFonts w:cs="Arial"/>
        </w:rPr>
        <w:t>Capacitar y atención a los Veedores por parte d</w:t>
      </w:r>
      <w:r w:rsidR="00B25B81">
        <w:rPr>
          <w:rFonts w:cs="Arial"/>
        </w:rPr>
        <w:t>e la función pública y el SNBF.</w:t>
      </w:r>
    </w:p>
    <w:p w:rsidR="00B25B81" w:rsidRPr="00A7148E" w:rsidRDefault="00B25B81" w:rsidP="00B25B81">
      <w:pPr>
        <w:spacing w:after="0" w:line="240" w:lineRule="auto"/>
        <w:jc w:val="both"/>
        <w:rPr>
          <w:rFonts w:cs="Arial"/>
        </w:rPr>
      </w:pPr>
    </w:p>
    <w:p w:rsidR="00BE4C3C" w:rsidRDefault="00BE4C3C" w:rsidP="00BE4C3C">
      <w:pPr>
        <w:numPr>
          <w:ilvl w:val="0"/>
          <w:numId w:val="117"/>
        </w:numPr>
        <w:spacing w:after="0" w:line="240" w:lineRule="auto"/>
        <w:jc w:val="both"/>
        <w:rPr>
          <w:rFonts w:cs="Arial"/>
        </w:rPr>
      </w:pPr>
      <w:r w:rsidRPr="00A7148E">
        <w:rPr>
          <w:rFonts w:cs="Arial"/>
        </w:rPr>
        <w:t>Fortale</w:t>
      </w:r>
      <w:r>
        <w:rPr>
          <w:rFonts w:cs="Arial"/>
        </w:rPr>
        <w:t>cer</w:t>
      </w:r>
      <w:r w:rsidRPr="00A7148E">
        <w:rPr>
          <w:rFonts w:cs="Arial"/>
        </w:rPr>
        <w:t xml:space="preserve"> las Mesas técnicas de primera infancia, infancia, adolescencia, juventud y familias, un dialogo abierto con las comunidades para discutir sobre el desarrollo técnico, operación y participación.</w:t>
      </w:r>
    </w:p>
    <w:p w:rsidR="00B25B81" w:rsidRPr="00A7148E" w:rsidRDefault="00B25B81" w:rsidP="00B25B81">
      <w:pPr>
        <w:spacing w:after="0" w:line="240" w:lineRule="auto"/>
        <w:ind w:left="360"/>
        <w:jc w:val="both"/>
        <w:rPr>
          <w:rFonts w:cs="Arial"/>
        </w:rPr>
      </w:pPr>
    </w:p>
    <w:p w:rsidR="00BE4C3C" w:rsidRDefault="00BE4C3C" w:rsidP="00BE4C3C">
      <w:pPr>
        <w:numPr>
          <w:ilvl w:val="0"/>
          <w:numId w:val="117"/>
        </w:numPr>
        <w:spacing w:after="0" w:line="240" w:lineRule="auto"/>
        <w:jc w:val="both"/>
        <w:rPr>
          <w:rFonts w:cs="Arial"/>
        </w:rPr>
      </w:pPr>
      <w:r>
        <w:rPr>
          <w:rFonts w:cs="Arial"/>
        </w:rPr>
        <w:t>Dar</w:t>
      </w:r>
      <w:r w:rsidRPr="00A7148E">
        <w:rPr>
          <w:rFonts w:cs="Arial"/>
        </w:rPr>
        <w:t xml:space="preserve"> a conocer sus problemáticas y necesidades en los diferentes Comités que lideran las Entidades Territoriales, donde la comunidad pudo participar activamente.</w:t>
      </w:r>
    </w:p>
    <w:p w:rsidR="00B25B81" w:rsidRPr="00A7148E" w:rsidRDefault="00B25B81" w:rsidP="00B25B81">
      <w:pPr>
        <w:spacing w:after="0" w:line="240" w:lineRule="auto"/>
        <w:jc w:val="both"/>
        <w:rPr>
          <w:rFonts w:cs="Arial"/>
        </w:rPr>
      </w:pPr>
    </w:p>
    <w:p w:rsidR="00BE4C3C" w:rsidRDefault="00BE4C3C" w:rsidP="00BE4C3C">
      <w:pPr>
        <w:numPr>
          <w:ilvl w:val="0"/>
          <w:numId w:val="117"/>
        </w:numPr>
        <w:spacing w:after="0" w:line="240" w:lineRule="auto"/>
        <w:jc w:val="both"/>
        <w:rPr>
          <w:rFonts w:cs="Arial"/>
        </w:rPr>
      </w:pPr>
      <w:r>
        <w:rPr>
          <w:rFonts w:cs="Arial"/>
        </w:rPr>
        <w:t>Facilitar</w:t>
      </w:r>
      <w:r w:rsidRPr="00A7148E">
        <w:rPr>
          <w:rFonts w:cs="Arial"/>
        </w:rPr>
        <w:t xml:space="preserve"> en estos eventos comunitarios interinstitucionales del área Urbana y Rural, discusiones abiertas, en las cuales los usuarios se benefician de la oferta de las diferentes entidades de orden local y regional.</w:t>
      </w:r>
    </w:p>
    <w:p w:rsidR="00B25B81" w:rsidRPr="00A7148E" w:rsidRDefault="00B25B81" w:rsidP="00B25B81">
      <w:pPr>
        <w:spacing w:after="0" w:line="240" w:lineRule="auto"/>
        <w:jc w:val="both"/>
        <w:rPr>
          <w:rFonts w:cs="Arial"/>
        </w:rPr>
      </w:pPr>
    </w:p>
    <w:p w:rsidR="00BE4C3C" w:rsidRDefault="00BE4C3C" w:rsidP="00BE4C3C">
      <w:pPr>
        <w:numPr>
          <w:ilvl w:val="0"/>
          <w:numId w:val="117"/>
        </w:numPr>
        <w:spacing w:after="0" w:line="240" w:lineRule="auto"/>
        <w:jc w:val="both"/>
        <w:rPr>
          <w:rFonts w:cs="Arial"/>
        </w:rPr>
      </w:pPr>
      <w:r>
        <w:rPr>
          <w:rFonts w:cs="Arial"/>
        </w:rPr>
        <w:t>Generar</w:t>
      </w:r>
      <w:r w:rsidRPr="00A7148E">
        <w:rPr>
          <w:rFonts w:cs="Arial"/>
        </w:rPr>
        <w:t xml:space="preserve"> espacios de reflexión sobre datos, contenidos e informes de gestión, resultados y avances en el cumplimento de metas, para luego establecer un diálogo en el cual se brindaron explicaciones, justificaciones y respuestas a las in</w:t>
      </w:r>
      <w:r w:rsidR="00B25B81">
        <w:rPr>
          <w:rFonts w:cs="Arial"/>
        </w:rPr>
        <w:t>quietudes de los participantes.</w:t>
      </w:r>
    </w:p>
    <w:p w:rsidR="00B25B81" w:rsidRPr="00A7148E" w:rsidRDefault="00B25B81" w:rsidP="00B25B81">
      <w:pPr>
        <w:spacing w:after="0" w:line="240" w:lineRule="auto"/>
        <w:jc w:val="both"/>
        <w:rPr>
          <w:rFonts w:cs="Arial"/>
        </w:rPr>
      </w:pPr>
    </w:p>
    <w:p w:rsidR="00BE4C3C" w:rsidRDefault="00BE4C3C" w:rsidP="00BE4C3C">
      <w:pPr>
        <w:numPr>
          <w:ilvl w:val="0"/>
          <w:numId w:val="118"/>
        </w:numPr>
        <w:spacing w:after="0" w:line="240" w:lineRule="auto"/>
        <w:jc w:val="both"/>
        <w:rPr>
          <w:rFonts w:cs="Arial"/>
        </w:rPr>
      </w:pPr>
      <w:r w:rsidRPr="00A7148E">
        <w:rPr>
          <w:rFonts w:cs="Arial"/>
        </w:rPr>
        <w:t>Establecer procesos de comunicación permanente con los Operad</w:t>
      </w:r>
      <w:r w:rsidR="00B25B81">
        <w:rPr>
          <w:rFonts w:cs="Arial"/>
        </w:rPr>
        <w:t>ores.</w:t>
      </w:r>
    </w:p>
    <w:p w:rsidR="00B25B81" w:rsidRPr="00A7148E" w:rsidRDefault="00B25B81" w:rsidP="00B25B81">
      <w:pPr>
        <w:spacing w:after="0" w:line="240" w:lineRule="auto"/>
        <w:ind w:left="360"/>
        <w:jc w:val="both"/>
        <w:rPr>
          <w:rFonts w:cs="Arial"/>
        </w:rPr>
      </w:pPr>
    </w:p>
    <w:p w:rsidR="00BE4C3C" w:rsidRDefault="00BE4C3C" w:rsidP="00BE4C3C">
      <w:pPr>
        <w:numPr>
          <w:ilvl w:val="0"/>
          <w:numId w:val="118"/>
        </w:numPr>
        <w:spacing w:after="0" w:line="240" w:lineRule="auto"/>
        <w:jc w:val="both"/>
        <w:rPr>
          <w:rFonts w:cs="Arial"/>
        </w:rPr>
      </w:pPr>
      <w:r w:rsidRPr="00A7148E">
        <w:rPr>
          <w:rFonts w:cs="Arial"/>
        </w:rPr>
        <w:t>Fortalecer desde la dirección del SNBF la formación de ciudadanos en petición de cuentas, control so</w:t>
      </w:r>
      <w:r w:rsidR="00B25B81">
        <w:rPr>
          <w:rFonts w:cs="Arial"/>
        </w:rPr>
        <w:t>cial y participación ciudadana.</w:t>
      </w:r>
    </w:p>
    <w:p w:rsidR="00B25B81" w:rsidRPr="00A7148E" w:rsidRDefault="00B25B81" w:rsidP="00B25B81">
      <w:pPr>
        <w:spacing w:after="0" w:line="240" w:lineRule="auto"/>
        <w:jc w:val="both"/>
        <w:rPr>
          <w:rFonts w:cs="Arial"/>
        </w:rPr>
      </w:pPr>
    </w:p>
    <w:p w:rsidR="00BE4C3C" w:rsidRDefault="00BE4C3C" w:rsidP="00BE4C3C">
      <w:pPr>
        <w:numPr>
          <w:ilvl w:val="0"/>
          <w:numId w:val="118"/>
        </w:numPr>
        <w:spacing w:after="0" w:line="240" w:lineRule="auto"/>
        <w:jc w:val="both"/>
        <w:rPr>
          <w:rFonts w:cs="Arial"/>
        </w:rPr>
      </w:pPr>
      <w:r w:rsidRPr="00A7148E">
        <w:rPr>
          <w:rFonts w:cs="Arial"/>
        </w:rPr>
        <w:t>Brindar orientaciones claras sobre el proceso de quejas y denuncias a la comunidad y se compartieron herramientas y procedimientos para avanzar en este proceso.</w:t>
      </w:r>
    </w:p>
    <w:p w:rsidR="00B25B81" w:rsidRPr="00A7148E" w:rsidRDefault="00B25B81" w:rsidP="00B25B81">
      <w:pPr>
        <w:spacing w:after="0" w:line="240" w:lineRule="auto"/>
        <w:jc w:val="both"/>
        <w:rPr>
          <w:rFonts w:cs="Arial"/>
        </w:rPr>
      </w:pPr>
    </w:p>
    <w:p w:rsidR="00BE4C3C" w:rsidRDefault="00BE4C3C" w:rsidP="00BE4C3C">
      <w:pPr>
        <w:numPr>
          <w:ilvl w:val="0"/>
          <w:numId w:val="118"/>
        </w:numPr>
        <w:spacing w:after="0" w:line="240" w:lineRule="auto"/>
        <w:jc w:val="both"/>
        <w:rPr>
          <w:rFonts w:cs="Arial"/>
        </w:rPr>
      </w:pPr>
      <w:r w:rsidRPr="00A7148E">
        <w:rPr>
          <w:rFonts w:cs="Arial"/>
        </w:rPr>
        <w:t>Hacer seguimiento al cumplimiento de los compromisos adquiridos con la comunidad garantizando que esta se sienta comprometida a aportar cada vez más en la cualificación del S</w:t>
      </w:r>
      <w:r>
        <w:rPr>
          <w:rFonts w:cs="Arial"/>
        </w:rPr>
        <w:t>N</w:t>
      </w:r>
      <w:r w:rsidRPr="00A7148E">
        <w:rPr>
          <w:rFonts w:cs="Arial"/>
        </w:rPr>
        <w:t>BF.</w:t>
      </w:r>
    </w:p>
    <w:p w:rsidR="00B25B81" w:rsidRPr="00A7148E" w:rsidRDefault="00B25B81" w:rsidP="00B25B81">
      <w:pPr>
        <w:spacing w:after="0" w:line="240" w:lineRule="auto"/>
        <w:jc w:val="both"/>
        <w:rPr>
          <w:rFonts w:cs="Arial"/>
        </w:rPr>
      </w:pPr>
    </w:p>
    <w:p w:rsidR="00BE4C3C" w:rsidRPr="000506C4" w:rsidRDefault="00BE4C3C" w:rsidP="00BE4C3C">
      <w:pPr>
        <w:numPr>
          <w:ilvl w:val="0"/>
          <w:numId w:val="118"/>
        </w:numPr>
        <w:spacing w:after="0" w:line="240" w:lineRule="auto"/>
        <w:jc w:val="both"/>
        <w:rPr>
          <w:rFonts w:cs="Arial"/>
        </w:rPr>
      </w:pPr>
      <w:r w:rsidRPr="00A7148E">
        <w:rPr>
          <w:rFonts w:cs="Arial"/>
        </w:rPr>
        <w:t>Facilitar espacios, recursos logísticos y condiciones adecuadas para las mesas públicas y los eventos de rendición de cuentas lo que permitió un clima de integración, participación y motivación permanente.</w:t>
      </w:r>
    </w:p>
    <w:p w:rsidR="00BE4C3C" w:rsidRDefault="00BE4C3C" w:rsidP="00BE4C3C">
      <w:pPr>
        <w:numPr>
          <w:ilvl w:val="0"/>
          <w:numId w:val="118"/>
        </w:numPr>
        <w:spacing w:after="0" w:line="240" w:lineRule="auto"/>
        <w:jc w:val="both"/>
      </w:pPr>
      <w:r>
        <w:t xml:space="preserve">Construir y diseñar </w:t>
      </w:r>
      <w:r w:rsidRPr="00A7148E">
        <w:t>el portafolio de servicios, programas y trámites del ICBF., a través de un micro sitio web que contiene generalidades, requisitos, población objetivo, forma de acceder a los servicios y demás informació</w:t>
      </w:r>
      <w:r w:rsidR="00B25B81">
        <w:t>n de interés para el ciudadano.</w:t>
      </w:r>
    </w:p>
    <w:p w:rsidR="00B25B81" w:rsidRDefault="00B25B81" w:rsidP="00B25B81">
      <w:pPr>
        <w:spacing w:after="0" w:line="240" w:lineRule="auto"/>
        <w:jc w:val="both"/>
      </w:pPr>
    </w:p>
    <w:p w:rsidR="00BE4C3C" w:rsidRDefault="00BE4C3C" w:rsidP="000E4EEA">
      <w:pPr>
        <w:pStyle w:val="Prrafodelista"/>
        <w:numPr>
          <w:ilvl w:val="0"/>
          <w:numId w:val="247"/>
        </w:numPr>
        <w:spacing w:after="0" w:line="240" w:lineRule="auto"/>
        <w:jc w:val="both"/>
        <w:rPr>
          <w:rFonts w:cs="Arial"/>
        </w:rPr>
      </w:pPr>
      <w:r w:rsidRPr="00A7148E">
        <w:rPr>
          <w:rFonts w:cs="Arial"/>
        </w:rPr>
        <w:t>En alianza con el SENA, se llevó a cabo la Certificación en competencia laboral (Norma Técnica Laboral 210601010 – Facilitar el servicio a los clientes de acuerdo con las políticas de la organización), a 40 colaboradores de los diferentes Centros Zonales y algunas depe</w:t>
      </w:r>
      <w:r w:rsidR="00B25B81">
        <w:rPr>
          <w:rFonts w:cs="Arial"/>
        </w:rPr>
        <w:t>ndencias de la Regional Bogotá.</w:t>
      </w:r>
    </w:p>
    <w:p w:rsidR="00B25B81" w:rsidRPr="00A7148E" w:rsidRDefault="00B25B81" w:rsidP="00B25B81">
      <w:pPr>
        <w:pStyle w:val="Prrafodelista"/>
        <w:spacing w:after="0" w:line="240" w:lineRule="auto"/>
        <w:ind w:left="420"/>
        <w:jc w:val="both"/>
        <w:rPr>
          <w:rFonts w:cs="Arial"/>
        </w:rPr>
      </w:pPr>
    </w:p>
    <w:p w:rsidR="00BE4C3C" w:rsidRDefault="00BE4C3C" w:rsidP="000E4EEA">
      <w:pPr>
        <w:pStyle w:val="Prrafodelista"/>
        <w:numPr>
          <w:ilvl w:val="0"/>
          <w:numId w:val="247"/>
        </w:numPr>
        <w:spacing w:after="0" w:line="240" w:lineRule="auto"/>
        <w:jc w:val="both"/>
        <w:rPr>
          <w:rFonts w:cs="Arial"/>
        </w:rPr>
      </w:pPr>
      <w:r>
        <w:rPr>
          <w:rFonts w:cs="Arial"/>
        </w:rPr>
        <w:t>Estructurar</w:t>
      </w:r>
      <w:r w:rsidRPr="00A7148E">
        <w:rPr>
          <w:rFonts w:cs="Arial"/>
        </w:rPr>
        <w:t xml:space="preserve"> el ABC de adopciones, mediante el cual se describen las principales directrices técnicas que deben tener en cuenta los profesionales de Servicios y Atención en los tres niveles de atención para la adecuada información y orientación de la ruta de los trámites de adopciones de acuerdo al Lineamiento Técnico Administrativo de Adopción del año 2016, elaborado por la Dirección de Protección.</w:t>
      </w:r>
    </w:p>
    <w:p w:rsidR="00B25B81" w:rsidRPr="00B25B81" w:rsidRDefault="00B25B81" w:rsidP="00B25B81">
      <w:pPr>
        <w:spacing w:after="0" w:line="240" w:lineRule="auto"/>
        <w:jc w:val="both"/>
        <w:rPr>
          <w:rFonts w:cs="Arial"/>
        </w:rPr>
      </w:pPr>
    </w:p>
    <w:p w:rsidR="00BE4C3C" w:rsidRDefault="00BE4C3C" w:rsidP="000E4EEA">
      <w:pPr>
        <w:pStyle w:val="Prrafodelista"/>
        <w:numPr>
          <w:ilvl w:val="0"/>
          <w:numId w:val="247"/>
        </w:numPr>
        <w:spacing w:after="0" w:line="240" w:lineRule="auto"/>
        <w:jc w:val="both"/>
        <w:rPr>
          <w:rFonts w:cs="Arial"/>
        </w:rPr>
      </w:pPr>
      <w:r>
        <w:rPr>
          <w:rFonts w:cs="Arial"/>
        </w:rPr>
        <w:t>F</w:t>
      </w:r>
      <w:r w:rsidRPr="00A7148E">
        <w:rPr>
          <w:rFonts w:cs="Arial"/>
        </w:rPr>
        <w:t>ortalecer la confianza ciudadana, toda vez que a través de la línea 141 se ha duplicado el número de denuncias recibidas por inobservancia, amenaza o vulneración de derechos.</w:t>
      </w:r>
      <w:r>
        <w:rPr>
          <w:rFonts w:cs="Arial"/>
        </w:rPr>
        <w:t xml:space="preserve"> Así como la habilitación de la línea de denuncias de corrupción 01800 #4</w:t>
      </w:r>
    </w:p>
    <w:p w:rsidR="00B25B81" w:rsidRPr="00B25B81" w:rsidRDefault="00B25B81" w:rsidP="00B25B81">
      <w:pPr>
        <w:spacing w:after="0" w:line="240" w:lineRule="auto"/>
        <w:jc w:val="both"/>
        <w:rPr>
          <w:rFonts w:cs="Arial"/>
        </w:rPr>
      </w:pPr>
    </w:p>
    <w:p w:rsidR="00207E8C" w:rsidRDefault="00BE4C3C" w:rsidP="000E4EEA">
      <w:pPr>
        <w:pStyle w:val="Prrafodelista"/>
        <w:numPr>
          <w:ilvl w:val="0"/>
          <w:numId w:val="247"/>
        </w:numPr>
        <w:spacing w:after="0" w:line="240" w:lineRule="auto"/>
        <w:jc w:val="both"/>
        <w:rPr>
          <w:rFonts w:cs="Arial"/>
        </w:rPr>
      </w:pPr>
      <w:r w:rsidRPr="007375BB">
        <w:rPr>
          <w:rFonts w:cs="Arial"/>
        </w:rPr>
        <w:t>Realizar la primera caracterización de ciudadanos, a partir de la información de quienes realizan peticiones a la entidad.</w:t>
      </w:r>
    </w:p>
    <w:p w:rsidR="00B25B81" w:rsidRPr="00B25B81" w:rsidRDefault="00B25B81" w:rsidP="00B25B81">
      <w:pPr>
        <w:spacing w:after="0" w:line="240" w:lineRule="auto"/>
        <w:jc w:val="both"/>
        <w:rPr>
          <w:rFonts w:cs="Arial"/>
        </w:rPr>
      </w:pPr>
    </w:p>
    <w:p w:rsidR="003D7F3C" w:rsidRDefault="00207E8C" w:rsidP="000E4EEA">
      <w:pPr>
        <w:pStyle w:val="Prrafodelista"/>
        <w:numPr>
          <w:ilvl w:val="0"/>
          <w:numId w:val="247"/>
        </w:numPr>
        <w:spacing w:after="0" w:line="240" w:lineRule="auto"/>
        <w:jc w:val="both"/>
        <w:rPr>
          <w:rFonts w:cs="Arial"/>
        </w:rPr>
      </w:pPr>
      <w:r w:rsidRPr="00207E8C">
        <w:rPr>
          <w:rFonts w:cs="Arial"/>
        </w:rPr>
        <w:t>I</w:t>
      </w:r>
      <w:r w:rsidR="003D7F3C" w:rsidRPr="00207E8C">
        <w:rPr>
          <w:rFonts w:cs="Arial"/>
        </w:rPr>
        <w:t>mplementar una Estrategia de Comunicación para la adopción del Modelo de Gestión del Conocimiento e Innovación en el ICBF</w:t>
      </w:r>
      <w:r w:rsidR="00B25B81">
        <w:rPr>
          <w:rFonts w:cs="Arial"/>
        </w:rPr>
        <w:t>.</w:t>
      </w:r>
    </w:p>
    <w:p w:rsidR="00B25B81" w:rsidRPr="00B25B81" w:rsidRDefault="00B25B81" w:rsidP="00B25B81">
      <w:pPr>
        <w:spacing w:after="0" w:line="240" w:lineRule="auto"/>
        <w:jc w:val="both"/>
        <w:rPr>
          <w:rFonts w:cs="Arial"/>
        </w:rPr>
      </w:pPr>
    </w:p>
    <w:p w:rsidR="00207E8C" w:rsidRDefault="003D7F3C" w:rsidP="000E4EEA">
      <w:pPr>
        <w:pStyle w:val="Prrafodelista"/>
        <w:numPr>
          <w:ilvl w:val="0"/>
          <w:numId w:val="250"/>
        </w:numPr>
        <w:spacing w:after="0" w:line="240" w:lineRule="auto"/>
        <w:jc w:val="both"/>
        <w:rPr>
          <w:rFonts w:cs="Arial"/>
        </w:rPr>
      </w:pPr>
      <w:r w:rsidRPr="00207E8C">
        <w:rPr>
          <w:rFonts w:cs="Arial"/>
        </w:rPr>
        <w:t>Realizar Convocatoria para la formación de equipos de innovación</w:t>
      </w:r>
      <w:r w:rsidR="00207E8C">
        <w:rPr>
          <w:rFonts w:cs="Arial"/>
        </w:rPr>
        <w:t>.</w:t>
      </w:r>
    </w:p>
    <w:p w:rsidR="00B25B81" w:rsidRDefault="00B25B81" w:rsidP="00B25B81">
      <w:pPr>
        <w:pStyle w:val="Prrafodelista"/>
        <w:spacing w:after="0" w:line="240" w:lineRule="auto"/>
        <w:ind w:left="360"/>
        <w:jc w:val="both"/>
        <w:rPr>
          <w:rFonts w:cs="Arial"/>
        </w:rPr>
      </w:pPr>
    </w:p>
    <w:p w:rsidR="003D7F3C" w:rsidRDefault="003D7F3C" w:rsidP="000E4EEA">
      <w:pPr>
        <w:pStyle w:val="Prrafodelista"/>
        <w:numPr>
          <w:ilvl w:val="0"/>
          <w:numId w:val="250"/>
        </w:numPr>
        <w:spacing w:after="0" w:line="240" w:lineRule="auto"/>
        <w:jc w:val="both"/>
        <w:rPr>
          <w:rFonts w:cs="Arial"/>
        </w:rPr>
      </w:pPr>
      <w:r w:rsidRPr="00207E8C">
        <w:rPr>
          <w:rFonts w:cs="Arial"/>
        </w:rPr>
        <w:t>Elaborar Mapas de Conocimiento en conjunto con las áreas misionales.</w:t>
      </w:r>
    </w:p>
    <w:p w:rsidR="00B25B81" w:rsidRPr="00B25B81" w:rsidRDefault="00B25B81" w:rsidP="00B25B81">
      <w:pPr>
        <w:spacing w:after="0" w:line="240" w:lineRule="auto"/>
        <w:jc w:val="both"/>
        <w:rPr>
          <w:rFonts w:cs="Arial"/>
        </w:rPr>
      </w:pPr>
    </w:p>
    <w:p w:rsidR="003D7F3C" w:rsidRDefault="003D7F3C" w:rsidP="000E4EEA">
      <w:pPr>
        <w:pStyle w:val="Prrafodelista"/>
        <w:numPr>
          <w:ilvl w:val="0"/>
          <w:numId w:val="250"/>
        </w:numPr>
        <w:spacing w:after="0" w:line="240" w:lineRule="auto"/>
        <w:jc w:val="both"/>
        <w:rPr>
          <w:rFonts w:cs="Arial"/>
        </w:rPr>
      </w:pPr>
      <w:r w:rsidRPr="0089136C">
        <w:rPr>
          <w:rFonts w:cs="Arial"/>
        </w:rPr>
        <w:t>Promover entornos para el conocimiento y la innovación: Confianza, autonomía, respeto por TODAS las ideas, líderes innovadores, experimentar, curiosidad, cuestionar el síndrome del SHA (Siempre se ha hecho así). Eliminar el Mito de Sísifo (Esfuerzo Inútil)</w:t>
      </w:r>
      <w:r w:rsidR="00B25B81">
        <w:rPr>
          <w:rFonts w:cs="Arial"/>
        </w:rPr>
        <w:t>.</w:t>
      </w:r>
    </w:p>
    <w:p w:rsidR="00B25B81" w:rsidRPr="0089136C" w:rsidRDefault="00B25B81" w:rsidP="00B25B81">
      <w:pPr>
        <w:pStyle w:val="Prrafodelista"/>
        <w:spacing w:after="0" w:line="240" w:lineRule="auto"/>
        <w:ind w:left="360"/>
        <w:jc w:val="both"/>
        <w:rPr>
          <w:rFonts w:cs="Arial"/>
        </w:rPr>
      </w:pPr>
    </w:p>
    <w:p w:rsidR="003D7F3C" w:rsidRDefault="003D7F3C" w:rsidP="000E4EEA">
      <w:pPr>
        <w:pStyle w:val="Prrafodelista"/>
        <w:numPr>
          <w:ilvl w:val="0"/>
          <w:numId w:val="250"/>
        </w:numPr>
        <w:spacing w:after="0" w:line="240" w:lineRule="auto"/>
        <w:jc w:val="both"/>
        <w:rPr>
          <w:rFonts w:cs="Arial"/>
        </w:rPr>
      </w:pPr>
      <w:r w:rsidRPr="0089136C">
        <w:rPr>
          <w:rFonts w:cs="Arial"/>
        </w:rPr>
        <w:t>Otras Acciones:</w:t>
      </w:r>
    </w:p>
    <w:p w:rsidR="00B25B81" w:rsidRPr="00B25B81" w:rsidRDefault="00B25B81" w:rsidP="00B25B81">
      <w:pPr>
        <w:spacing w:after="0" w:line="240" w:lineRule="auto"/>
        <w:jc w:val="both"/>
        <w:rPr>
          <w:rFonts w:cs="Arial"/>
        </w:rPr>
      </w:pPr>
    </w:p>
    <w:p w:rsidR="003D7F3C" w:rsidRPr="0089136C" w:rsidRDefault="003D7F3C" w:rsidP="000E4EEA">
      <w:pPr>
        <w:pStyle w:val="Prrafodelista"/>
        <w:numPr>
          <w:ilvl w:val="1"/>
          <w:numId w:val="251"/>
        </w:numPr>
        <w:spacing w:after="0" w:line="240" w:lineRule="auto"/>
        <w:jc w:val="both"/>
        <w:rPr>
          <w:rFonts w:cs="Arial"/>
        </w:rPr>
      </w:pPr>
      <w:r w:rsidRPr="0089136C">
        <w:rPr>
          <w:rFonts w:cs="Arial"/>
        </w:rPr>
        <w:t>Rediseñar y posicionar la Biblioteca Virtual</w:t>
      </w:r>
    </w:p>
    <w:p w:rsidR="003D7F3C" w:rsidRPr="0089136C" w:rsidRDefault="003D7F3C" w:rsidP="000E4EEA">
      <w:pPr>
        <w:pStyle w:val="Prrafodelista"/>
        <w:numPr>
          <w:ilvl w:val="1"/>
          <w:numId w:val="251"/>
        </w:numPr>
        <w:spacing w:after="0" w:line="240" w:lineRule="auto"/>
        <w:jc w:val="both"/>
        <w:rPr>
          <w:rFonts w:cs="Arial"/>
        </w:rPr>
      </w:pPr>
      <w:r w:rsidRPr="0089136C">
        <w:rPr>
          <w:rFonts w:cs="Arial"/>
        </w:rPr>
        <w:t xml:space="preserve">Fortalecer / Posicionar el Observatorio </w:t>
      </w:r>
    </w:p>
    <w:p w:rsidR="003D7F3C" w:rsidRPr="0089136C" w:rsidRDefault="003D7F3C" w:rsidP="000E4EEA">
      <w:pPr>
        <w:pStyle w:val="Prrafodelista"/>
        <w:numPr>
          <w:ilvl w:val="1"/>
          <w:numId w:val="251"/>
        </w:numPr>
        <w:spacing w:after="0" w:line="240" w:lineRule="auto"/>
        <w:jc w:val="both"/>
        <w:rPr>
          <w:rFonts w:cs="Arial"/>
        </w:rPr>
      </w:pPr>
      <w:r w:rsidRPr="0089136C">
        <w:rPr>
          <w:rFonts w:cs="Arial"/>
        </w:rPr>
        <w:t>Promover la Escuela del ICBF en su modalidad Virtual</w:t>
      </w:r>
    </w:p>
    <w:p w:rsidR="003D7F3C" w:rsidRDefault="003D7F3C" w:rsidP="000E4EEA">
      <w:pPr>
        <w:pStyle w:val="Prrafodelista"/>
        <w:numPr>
          <w:ilvl w:val="1"/>
          <w:numId w:val="251"/>
        </w:numPr>
        <w:spacing w:after="0" w:line="240" w:lineRule="auto"/>
        <w:jc w:val="both"/>
        <w:rPr>
          <w:rFonts w:cs="Arial"/>
        </w:rPr>
      </w:pPr>
      <w:r w:rsidRPr="0089136C">
        <w:rPr>
          <w:rFonts w:cs="Arial"/>
        </w:rPr>
        <w:t>Implementar el Ecosistema Digital</w:t>
      </w:r>
    </w:p>
    <w:p w:rsidR="00B25B81" w:rsidRPr="0089136C" w:rsidRDefault="00B25B81" w:rsidP="00B25B81">
      <w:pPr>
        <w:pStyle w:val="Prrafodelista"/>
        <w:spacing w:after="0" w:line="240" w:lineRule="auto"/>
        <w:ind w:left="1440"/>
        <w:jc w:val="both"/>
        <w:rPr>
          <w:rFonts w:cs="Arial"/>
        </w:rPr>
      </w:pPr>
    </w:p>
    <w:p w:rsidR="003D7F3C" w:rsidRDefault="003D7F3C" w:rsidP="000E4EEA">
      <w:pPr>
        <w:pStyle w:val="Prrafodelista"/>
        <w:numPr>
          <w:ilvl w:val="0"/>
          <w:numId w:val="250"/>
        </w:numPr>
        <w:spacing w:after="0" w:line="240" w:lineRule="auto"/>
        <w:contextualSpacing/>
        <w:jc w:val="both"/>
        <w:rPr>
          <w:rFonts w:cs="Arial"/>
        </w:rPr>
      </w:pPr>
      <w:r w:rsidRPr="0089136C">
        <w:rPr>
          <w:rFonts w:cs="Arial"/>
        </w:rPr>
        <w:t xml:space="preserve">Con </w:t>
      </w:r>
      <w:r>
        <w:rPr>
          <w:rFonts w:cs="Arial"/>
        </w:rPr>
        <w:t xml:space="preserve">respecto a la ENSIN </w:t>
      </w:r>
      <w:r w:rsidRPr="0089136C">
        <w:rPr>
          <w:rFonts w:cs="Arial"/>
        </w:rPr>
        <w:t>para el 2017, cumpliendo con las etapas de una operación estadística de esta magnitud, posterior al proceso de depuración y verificación técnica, se ejecutará el plan de análisis definido, para esto, se contará con la construcción conjunta entre las instituciones del Estado participantes de la encuesta.</w:t>
      </w:r>
    </w:p>
    <w:p w:rsidR="00D70A2A" w:rsidRPr="00D70A2A" w:rsidRDefault="00D70A2A" w:rsidP="00D70A2A">
      <w:pPr>
        <w:spacing w:after="0" w:line="240" w:lineRule="auto"/>
        <w:contextualSpacing/>
        <w:jc w:val="both"/>
        <w:rPr>
          <w:rFonts w:cs="Arial"/>
        </w:rPr>
      </w:pPr>
    </w:p>
    <w:p w:rsidR="003D7F3C" w:rsidRDefault="003D7F3C" w:rsidP="000E4EEA">
      <w:pPr>
        <w:pStyle w:val="Prrafodelista"/>
        <w:numPr>
          <w:ilvl w:val="0"/>
          <w:numId w:val="252"/>
        </w:numPr>
        <w:spacing w:after="0" w:line="240" w:lineRule="auto"/>
        <w:contextualSpacing/>
        <w:jc w:val="both"/>
        <w:rPr>
          <w:rFonts w:cs="Arial"/>
        </w:rPr>
      </w:pPr>
      <w:r w:rsidRPr="0089136C">
        <w:rPr>
          <w:rFonts w:cs="Arial"/>
        </w:rPr>
        <w:t>Adelantar ENSANI en los pueblos indígenas priorizados por los Autos de la Corte por ri</w:t>
      </w:r>
      <w:r w:rsidR="00D70A2A">
        <w:rPr>
          <w:rFonts w:cs="Arial"/>
        </w:rPr>
        <w:t>esgo de supervivencia cultural.</w:t>
      </w:r>
    </w:p>
    <w:p w:rsidR="00D70A2A" w:rsidRPr="0089136C" w:rsidRDefault="00D70A2A" w:rsidP="00D70A2A">
      <w:pPr>
        <w:pStyle w:val="Prrafodelista"/>
        <w:spacing w:after="0" w:line="240" w:lineRule="auto"/>
        <w:ind w:left="720"/>
        <w:contextualSpacing/>
        <w:jc w:val="both"/>
        <w:rPr>
          <w:rFonts w:cs="Arial"/>
        </w:rPr>
      </w:pPr>
    </w:p>
    <w:p w:rsidR="003D7F3C" w:rsidRDefault="003D7F3C" w:rsidP="000E4EEA">
      <w:pPr>
        <w:pStyle w:val="Prrafodelista"/>
        <w:numPr>
          <w:ilvl w:val="0"/>
          <w:numId w:val="252"/>
        </w:numPr>
        <w:spacing w:after="0" w:line="240" w:lineRule="auto"/>
        <w:contextualSpacing/>
        <w:jc w:val="both"/>
        <w:rPr>
          <w:rFonts w:cs="Arial"/>
        </w:rPr>
      </w:pPr>
      <w:r w:rsidRPr="0089136C">
        <w:rPr>
          <w:rFonts w:cs="Arial"/>
        </w:rPr>
        <w:t xml:space="preserve">Elaboración de Documentos, estudios y análisis que se articulen con las Direcciones de Protección, Niñez y Adolescencia; Primera Infancia y  Familias y </w:t>
      </w:r>
      <w:r w:rsidR="00D70A2A" w:rsidRPr="0089136C">
        <w:rPr>
          <w:rFonts w:cs="Arial"/>
        </w:rPr>
        <w:t>Comunidades.</w:t>
      </w:r>
    </w:p>
    <w:p w:rsidR="00D70A2A" w:rsidRPr="00D70A2A" w:rsidRDefault="00D70A2A" w:rsidP="00D70A2A">
      <w:pPr>
        <w:spacing w:after="0" w:line="240" w:lineRule="auto"/>
        <w:contextualSpacing/>
        <w:jc w:val="both"/>
        <w:rPr>
          <w:rFonts w:cs="Arial"/>
        </w:rPr>
      </w:pPr>
    </w:p>
    <w:p w:rsidR="00D70A2A" w:rsidRDefault="003D7F3C" w:rsidP="000E4EEA">
      <w:pPr>
        <w:pStyle w:val="Prrafodelista"/>
        <w:numPr>
          <w:ilvl w:val="0"/>
          <w:numId w:val="252"/>
        </w:numPr>
        <w:spacing w:after="0" w:line="240" w:lineRule="auto"/>
        <w:contextualSpacing/>
        <w:jc w:val="both"/>
        <w:rPr>
          <w:rFonts w:cs="Arial"/>
        </w:rPr>
      </w:pPr>
      <w:r w:rsidRPr="0089136C">
        <w:rPr>
          <w:rFonts w:cs="Arial"/>
        </w:rPr>
        <w:t>Generar estrategias de difusión y socialización de las investigaciones y evaluaciones</w:t>
      </w:r>
      <w:r w:rsidR="00D70A2A">
        <w:rPr>
          <w:rFonts w:cs="Arial"/>
        </w:rPr>
        <w:t>.</w:t>
      </w:r>
    </w:p>
    <w:p w:rsidR="003D7F3C" w:rsidRPr="00D70A2A" w:rsidRDefault="003D7F3C" w:rsidP="00D70A2A">
      <w:pPr>
        <w:spacing w:after="0" w:line="240" w:lineRule="auto"/>
        <w:contextualSpacing/>
        <w:jc w:val="both"/>
        <w:rPr>
          <w:rFonts w:cs="Arial"/>
        </w:rPr>
      </w:pPr>
      <w:r w:rsidRPr="00D70A2A">
        <w:rPr>
          <w:rFonts w:cs="Arial"/>
        </w:rPr>
        <w:t xml:space="preserve"> </w:t>
      </w:r>
    </w:p>
    <w:p w:rsidR="003D7F3C" w:rsidRPr="0089136C" w:rsidRDefault="003D7F3C" w:rsidP="000E4EEA">
      <w:pPr>
        <w:pStyle w:val="Prrafodelista"/>
        <w:numPr>
          <w:ilvl w:val="0"/>
          <w:numId w:val="252"/>
        </w:numPr>
        <w:spacing w:after="0" w:line="240" w:lineRule="auto"/>
        <w:contextualSpacing/>
        <w:jc w:val="both"/>
        <w:rPr>
          <w:rFonts w:cs="Arial"/>
        </w:rPr>
      </w:pPr>
      <w:r w:rsidRPr="0089136C">
        <w:rPr>
          <w:rFonts w:cs="Arial"/>
        </w:rPr>
        <w:t>Fortalecer los planes de implementación de recomendaciones de las Evaluaciones de los programas  del ICBF</w:t>
      </w:r>
      <w:r w:rsidR="00D70A2A">
        <w:rPr>
          <w:rFonts w:cs="Arial"/>
        </w:rPr>
        <w:t>.</w:t>
      </w:r>
    </w:p>
    <w:p w:rsidR="003D7F3C" w:rsidRPr="000A51D1" w:rsidRDefault="003D7F3C" w:rsidP="003D7F3C">
      <w:pPr>
        <w:spacing w:after="0" w:line="240" w:lineRule="auto"/>
        <w:contextualSpacing/>
        <w:jc w:val="both"/>
        <w:rPr>
          <w:rFonts w:cs="Arial"/>
        </w:rPr>
      </w:pPr>
    </w:p>
    <w:p w:rsidR="003D7F3C" w:rsidRPr="007375BB" w:rsidRDefault="003D7F3C" w:rsidP="00A9027E">
      <w:pPr>
        <w:pStyle w:val="Prrafodelista"/>
        <w:spacing w:after="0" w:line="240" w:lineRule="auto"/>
        <w:ind w:left="420"/>
        <w:jc w:val="both"/>
        <w:rPr>
          <w:rFonts w:cs="Arial"/>
        </w:rPr>
      </w:pPr>
    </w:p>
    <w:p w:rsidR="00BE4C3C" w:rsidRDefault="00BE4C3C" w:rsidP="00D35939">
      <w:pPr>
        <w:spacing w:after="0" w:line="240" w:lineRule="auto"/>
        <w:jc w:val="both"/>
        <w:rPr>
          <w:rFonts w:cs="Arial"/>
        </w:rPr>
      </w:pPr>
    </w:p>
    <w:p w:rsidR="00015C71" w:rsidRPr="00283792" w:rsidRDefault="00272E00" w:rsidP="007342CF">
      <w:pPr>
        <w:pStyle w:val="Ttulo1"/>
        <w:pageBreakBefore/>
        <w:numPr>
          <w:ilvl w:val="0"/>
          <w:numId w:val="243"/>
        </w:numPr>
        <w:rPr>
          <w:rFonts w:cs="Arial"/>
          <w:sz w:val="24"/>
          <w:szCs w:val="24"/>
        </w:rPr>
      </w:pPr>
      <w:bookmarkStart w:id="246" w:name="_Toc473581456"/>
      <w:r>
        <w:rPr>
          <w:rFonts w:cs="Arial"/>
          <w:szCs w:val="22"/>
        </w:rPr>
        <w:t>G</w:t>
      </w:r>
      <w:r w:rsidR="00015C71" w:rsidRPr="00283792">
        <w:rPr>
          <w:rFonts w:cs="Arial"/>
          <w:szCs w:val="22"/>
        </w:rPr>
        <w:t xml:space="preserve">ESTIÓN DEL TALENTO </w:t>
      </w:r>
      <w:r w:rsidR="00015C71" w:rsidRPr="00D70A2A">
        <w:rPr>
          <w:rFonts w:cs="Arial"/>
          <w:sz w:val="24"/>
          <w:szCs w:val="24"/>
        </w:rPr>
        <w:t>H</w:t>
      </w:r>
      <w:r w:rsidR="00015C71" w:rsidRPr="00283792">
        <w:rPr>
          <w:rFonts w:cs="Arial"/>
          <w:sz w:val="24"/>
          <w:szCs w:val="24"/>
        </w:rPr>
        <w:t>UMANO</w:t>
      </w:r>
      <w:bookmarkEnd w:id="246"/>
    </w:p>
    <w:p w:rsidR="00015C71" w:rsidRPr="00283792" w:rsidRDefault="00015C71" w:rsidP="00015C71">
      <w:pPr>
        <w:spacing w:after="0" w:line="240" w:lineRule="auto"/>
        <w:jc w:val="both"/>
        <w:rPr>
          <w:rFonts w:cs="Arial"/>
          <w:sz w:val="24"/>
          <w:szCs w:val="24"/>
        </w:rPr>
      </w:pPr>
    </w:p>
    <w:p w:rsidR="00212EB6" w:rsidRPr="00283792" w:rsidRDefault="00212EB6" w:rsidP="00B8532B">
      <w:pPr>
        <w:pStyle w:val="Ttulo2"/>
        <w:numPr>
          <w:ilvl w:val="1"/>
          <w:numId w:val="22"/>
        </w:numPr>
        <w:spacing w:line="240" w:lineRule="auto"/>
        <w:rPr>
          <w:rFonts w:cs="Arial"/>
          <w:b/>
          <w:szCs w:val="22"/>
        </w:rPr>
      </w:pPr>
      <w:bookmarkStart w:id="247" w:name="_Toc470095202"/>
      <w:bookmarkStart w:id="248" w:name="_Toc473581457"/>
      <w:r w:rsidRPr="00283792">
        <w:rPr>
          <w:rFonts w:cs="Arial"/>
          <w:b/>
          <w:szCs w:val="22"/>
        </w:rPr>
        <w:t>Plan institucional de capacitación</w:t>
      </w:r>
      <w:bookmarkEnd w:id="247"/>
      <w:bookmarkEnd w:id="248"/>
    </w:p>
    <w:p w:rsidR="00212EB6" w:rsidRPr="00283792" w:rsidRDefault="00212EB6" w:rsidP="00212EB6">
      <w:pPr>
        <w:pStyle w:val="Prrafodelista"/>
        <w:spacing w:after="0" w:line="240" w:lineRule="auto"/>
        <w:ind w:left="792"/>
        <w:jc w:val="both"/>
        <w:rPr>
          <w:rFonts w:cs="Arial"/>
        </w:rPr>
      </w:pPr>
    </w:p>
    <w:p w:rsidR="00212EB6" w:rsidRPr="00283792" w:rsidRDefault="00212EB6" w:rsidP="00212EB6">
      <w:pPr>
        <w:overflowPunct w:val="0"/>
        <w:spacing w:line="240" w:lineRule="auto"/>
        <w:jc w:val="both"/>
        <w:textAlignment w:val="baseline"/>
        <w:rPr>
          <w:rFonts w:cs="Arial"/>
          <w:spacing w:val="-4"/>
          <w:lang w:eastAsia="es-CO"/>
        </w:rPr>
      </w:pPr>
      <w:r w:rsidRPr="00283792">
        <w:rPr>
          <w:rFonts w:cs="Arial"/>
          <w:spacing w:val="-4"/>
          <w:lang w:eastAsia="es-CO"/>
        </w:rPr>
        <w:t xml:space="preserve">Durante 2016 se elaboró un Plan Único de Capacitación </w:t>
      </w:r>
      <w:r>
        <w:rPr>
          <w:rFonts w:cs="Arial"/>
          <w:spacing w:val="-4"/>
          <w:lang w:eastAsia="es-CO"/>
        </w:rPr>
        <w:t xml:space="preserve">(PIC) </w:t>
      </w:r>
      <w:r w:rsidRPr="00283792">
        <w:rPr>
          <w:rFonts w:cs="Arial"/>
          <w:spacing w:val="-4"/>
          <w:lang w:eastAsia="es-CO"/>
        </w:rPr>
        <w:t>con alcance regional, el cual contó con los siguientes ejes de desarrollo:</w:t>
      </w:r>
    </w:p>
    <w:p w:rsidR="00212EB6" w:rsidRPr="00220470" w:rsidRDefault="00DA2ADC" w:rsidP="00D70A2A">
      <w:pPr>
        <w:overflowPunct w:val="0"/>
        <w:spacing w:line="240" w:lineRule="auto"/>
        <w:jc w:val="center"/>
        <w:textAlignment w:val="baseline"/>
        <w:rPr>
          <w:rFonts w:cs="Arial"/>
          <w:b/>
          <w:spacing w:val="-4"/>
          <w:lang w:eastAsia="es-CO"/>
        </w:rPr>
      </w:pPr>
      <w:r>
        <w:rPr>
          <w:rFonts w:cs="Arial"/>
          <w:b/>
          <w:spacing w:val="-4"/>
          <w:lang w:eastAsia="es-CO"/>
        </w:rPr>
        <w:t>Ejes de desarrollo PIC</w:t>
      </w:r>
    </w:p>
    <w:tbl>
      <w:tblPr>
        <w:tblStyle w:val="Tablaconcuadrcula"/>
        <w:tblW w:w="9691"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3182"/>
        <w:gridCol w:w="6509"/>
      </w:tblGrid>
      <w:tr w:rsidR="00212EB6" w:rsidRPr="009A405A" w:rsidTr="00097886">
        <w:trPr>
          <w:trHeight w:val="286"/>
          <w:tblHeader/>
          <w:jc w:val="center"/>
        </w:trPr>
        <w:tc>
          <w:tcPr>
            <w:tcW w:w="3182" w:type="dxa"/>
            <w:shd w:val="clear" w:color="auto" w:fill="76923C" w:themeFill="accent3" w:themeFillShade="BF"/>
            <w:vAlign w:val="center"/>
            <w:hideMark/>
          </w:tcPr>
          <w:p w:rsidR="00212EB6" w:rsidRPr="00101548" w:rsidRDefault="00101548" w:rsidP="00A27DBD">
            <w:pPr>
              <w:spacing w:after="0" w:line="240" w:lineRule="auto"/>
              <w:jc w:val="center"/>
              <w:rPr>
                <w:rFonts w:cs="Arial"/>
                <w:b/>
                <w:bCs/>
                <w:color w:val="FFFFFF" w:themeColor="background1"/>
                <w:spacing w:val="-4"/>
                <w:sz w:val="18"/>
                <w:szCs w:val="20"/>
                <w:lang w:val="es-CO" w:eastAsia="es-CO"/>
              </w:rPr>
            </w:pPr>
            <w:r>
              <w:rPr>
                <w:rFonts w:cs="Arial"/>
                <w:b/>
                <w:bCs/>
                <w:color w:val="FFFFFF" w:themeColor="background1"/>
                <w:spacing w:val="-4"/>
                <w:sz w:val="18"/>
                <w:szCs w:val="20"/>
                <w:lang w:val="es-CO" w:eastAsia="es-CO"/>
              </w:rPr>
              <w:t>Eje d</w:t>
            </w:r>
            <w:r w:rsidRPr="00101548">
              <w:rPr>
                <w:rFonts w:cs="Arial"/>
                <w:b/>
                <w:bCs/>
                <w:color w:val="FFFFFF" w:themeColor="background1"/>
                <w:spacing w:val="-4"/>
                <w:sz w:val="18"/>
                <w:szCs w:val="20"/>
                <w:lang w:val="es-CO" w:eastAsia="es-CO"/>
              </w:rPr>
              <w:t>e Desarrollo</w:t>
            </w:r>
          </w:p>
        </w:tc>
        <w:tc>
          <w:tcPr>
            <w:tcW w:w="6509" w:type="dxa"/>
            <w:shd w:val="clear" w:color="auto" w:fill="76923C" w:themeFill="accent3" w:themeFillShade="BF"/>
            <w:vAlign w:val="center"/>
            <w:hideMark/>
          </w:tcPr>
          <w:p w:rsidR="00212EB6" w:rsidRPr="00101548" w:rsidRDefault="00101548" w:rsidP="00A27DBD">
            <w:pPr>
              <w:spacing w:after="0" w:line="240" w:lineRule="auto"/>
              <w:jc w:val="center"/>
              <w:rPr>
                <w:rFonts w:cs="Arial"/>
                <w:b/>
                <w:bCs/>
                <w:color w:val="FFFFFF" w:themeColor="background1"/>
                <w:spacing w:val="-4"/>
                <w:sz w:val="18"/>
                <w:szCs w:val="20"/>
                <w:lang w:val="es-CO" w:eastAsia="es-CO"/>
              </w:rPr>
            </w:pPr>
            <w:r w:rsidRPr="00101548">
              <w:rPr>
                <w:rFonts w:cs="Arial"/>
                <w:b/>
                <w:bCs/>
                <w:color w:val="FFFFFF" w:themeColor="background1"/>
                <w:spacing w:val="-4"/>
                <w:sz w:val="18"/>
                <w:szCs w:val="20"/>
                <w:lang w:val="es-CO" w:eastAsia="es-CO"/>
              </w:rPr>
              <w:t>Objetivos</w:t>
            </w:r>
          </w:p>
        </w:tc>
      </w:tr>
      <w:tr w:rsidR="00212EB6" w:rsidRPr="009A405A" w:rsidTr="00101548">
        <w:trPr>
          <w:trHeight w:val="261"/>
          <w:jc w:val="center"/>
        </w:trPr>
        <w:tc>
          <w:tcPr>
            <w:tcW w:w="3182" w:type="dxa"/>
            <w:vAlign w:val="center"/>
            <w:hideMark/>
          </w:tcPr>
          <w:p w:rsidR="00212EB6" w:rsidRPr="00101548" w:rsidRDefault="00101548" w:rsidP="00A27DBD">
            <w:pPr>
              <w:spacing w:after="0" w:line="240" w:lineRule="auto"/>
              <w:rPr>
                <w:rFonts w:cs="Arial"/>
                <w:bCs/>
                <w:spacing w:val="-4"/>
                <w:sz w:val="18"/>
                <w:szCs w:val="20"/>
                <w:lang w:val="es-CO" w:eastAsia="es-CO"/>
              </w:rPr>
            </w:pPr>
            <w:r w:rsidRPr="00101548">
              <w:rPr>
                <w:rFonts w:cs="Arial"/>
                <w:bCs/>
                <w:spacing w:val="-4"/>
                <w:sz w:val="18"/>
                <w:szCs w:val="20"/>
                <w:lang w:val="es-CO" w:eastAsia="es-CO"/>
              </w:rPr>
              <w:t>Gestión Institucional</w:t>
            </w:r>
          </w:p>
        </w:tc>
        <w:tc>
          <w:tcPr>
            <w:tcW w:w="6509" w:type="dxa"/>
            <w:vAlign w:val="center"/>
            <w:hideMark/>
          </w:tcPr>
          <w:p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Fortalecer y construir  criterios conceptuales, metodológicos y técnicos para la prestación del servicio.</w:t>
            </w:r>
          </w:p>
          <w:p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Buscar la apropiación de modelos de gestión que garanticen la efectividad de las organizaciones.</w:t>
            </w:r>
          </w:p>
        </w:tc>
      </w:tr>
      <w:tr w:rsidR="00212EB6" w:rsidRPr="009A405A" w:rsidTr="00101548">
        <w:trPr>
          <w:trHeight w:val="128"/>
          <w:jc w:val="center"/>
        </w:trPr>
        <w:tc>
          <w:tcPr>
            <w:tcW w:w="3182" w:type="dxa"/>
            <w:vAlign w:val="center"/>
            <w:hideMark/>
          </w:tcPr>
          <w:p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Crecimiento Personal y</w:t>
            </w:r>
            <w:r w:rsidRPr="00101548">
              <w:rPr>
                <w:rFonts w:cs="Arial"/>
                <w:bCs/>
                <w:spacing w:val="-4"/>
                <w:sz w:val="18"/>
                <w:szCs w:val="20"/>
                <w:lang w:val="es-CO" w:eastAsia="es-CO"/>
              </w:rPr>
              <w:t xml:space="preserve"> Profesional</w:t>
            </w:r>
          </w:p>
        </w:tc>
        <w:tc>
          <w:tcPr>
            <w:tcW w:w="6509" w:type="dxa"/>
            <w:vAlign w:val="center"/>
            <w:hideMark/>
          </w:tcPr>
          <w:p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Desarrollar conocimientos y habilidades particulares para el trabajo en la gestión (Misional y/o técnica).</w:t>
            </w:r>
          </w:p>
        </w:tc>
      </w:tr>
      <w:tr w:rsidR="00212EB6" w:rsidRPr="009A405A" w:rsidTr="00101548">
        <w:tblPrEx>
          <w:jc w:val="left"/>
        </w:tblPrEx>
        <w:trPr>
          <w:trHeight w:val="310"/>
          <w:tblHeader/>
        </w:trPr>
        <w:tc>
          <w:tcPr>
            <w:tcW w:w="3182" w:type="dxa"/>
            <w:hideMark/>
          </w:tcPr>
          <w:p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Acciones para Cambiar e</w:t>
            </w:r>
            <w:r w:rsidRPr="00101548">
              <w:rPr>
                <w:rFonts w:cs="Arial"/>
                <w:bCs/>
                <w:spacing w:val="-4"/>
                <w:sz w:val="18"/>
                <w:szCs w:val="20"/>
                <w:lang w:val="es-CO" w:eastAsia="es-CO"/>
              </w:rPr>
              <w:t>l Mundo</w:t>
            </w:r>
          </w:p>
        </w:tc>
        <w:tc>
          <w:tcPr>
            <w:tcW w:w="6509" w:type="dxa"/>
            <w:hideMark/>
          </w:tcPr>
          <w:p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Impulsar el desarrollo y participación de los servidores públicos en la construcción de su entorno social, familiar y laboral, hacia un cambio cultural.</w:t>
            </w:r>
          </w:p>
        </w:tc>
      </w:tr>
      <w:tr w:rsidR="00212EB6" w:rsidRPr="009A405A" w:rsidTr="00101548">
        <w:tblPrEx>
          <w:jc w:val="left"/>
        </w:tblPrEx>
        <w:trPr>
          <w:trHeight w:val="310"/>
        </w:trPr>
        <w:tc>
          <w:tcPr>
            <w:tcW w:w="3182" w:type="dxa"/>
            <w:hideMark/>
          </w:tcPr>
          <w:p w:rsidR="00212EB6" w:rsidRPr="00101548" w:rsidRDefault="00101548" w:rsidP="00A27DBD">
            <w:pPr>
              <w:spacing w:after="0" w:line="240" w:lineRule="auto"/>
              <w:rPr>
                <w:rFonts w:cs="Arial"/>
                <w:bCs/>
                <w:spacing w:val="-4"/>
                <w:sz w:val="18"/>
                <w:szCs w:val="20"/>
                <w:lang w:val="es-CO" w:eastAsia="es-CO"/>
              </w:rPr>
            </w:pPr>
            <w:r>
              <w:rPr>
                <w:rFonts w:cs="Arial"/>
                <w:bCs/>
                <w:spacing w:val="-4"/>
                <w:sz w:val="18"/>
                <w:szCs w:val="20"/>
                <w:lang w:val="es-CO" w:eastAsia="es-CO"/>
              </w:rPr>
              <w:t>Desarrollo Territorial y</w:t>
            </w:r>
            <w:r w:rsidRPr="00101548">
              <w:rPr>
                <w:rFonts w:cs="Arial"/>
                <w:bCs/>
                <w:spacing w:val="-4"/>
                <w:sz w:val="18"/>
                <w:szCs w:val="20"/>
                <w:lang w:val="es-CO" w:eastAsia="es-CO"/>
              </w:rPr>
              <w:t xml:space="preserve"> Nacional</w:t>
            </w:r>
          </w:p>
        </w:tc>
        <w:tc>
          <w:tcPr>
            <w:tcW w:w="6509" w:type="dxa"/>
            <w:hideMark/>
          </w:tcPr>
          <w:p w:rsidR="00212EB6" w:rsidRPr="00E07128" w:rsidRDefault="00212EB6" w:rsidP="00A27DBD">
            <w:pPr>
              <w:spacing w:after="0" w:line="240" w:lineRule="auto"/>
              <w:jc w:val="both"/>
              <w:rPr>
                <w:rFonts w:cs="Arial"/>
                <w:spacing w:val="-4"/>
                <w:sz w:val="18"/>
                <w:szCs w:val="20"/>
                <w:lang w:eastAsia="es-CO"/>
              </w:rPr>
            </w:pPr>
            <w:r w:rsidRPr="00E07128">
              <w:rPr>
                <w:rFonts w:cs="Arial"/>
                <w:spacing w:val="-4"/>
                <w:sz w:val="18"/>
                <w:szCs w:val="20"/>
                <w:lang w:eastAsia="es-CO"/>
              </w:rPr>
              <w:t>Asegurar la sostenibilidad social, cultural y económica del territorio en un contexto determinado.</w:t>
            </w:r>
          </w:p>
        </w:tc>
      </w:tr>
    </w:tbl>
    <w:p w:rsidR="00212EB6" w:rsidRPr="00E07128" w:rsidRDefault="00212EB6" w:rsidP="00C033F1">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rsidR="00212EB6" w:rsidRPr="003F1CFC" w:rsidRDefault="00212EB6" w:rsidP="00212EB6">
      <w:pPr>
        <w:spacing w:after="0" w:line="240" w:lineRule="auto"/>
        <w:jc w:val="both"/>
        <w:rPr>
          <w:rFonts w:cs="Arial"/>
          <w:color w:val="4F81BD" w:themeColor="accent1"/>
          <w:spacing w:val="-4"/>
          <w:sz w:val="24"/>
          <w:szCs w:val="24"/>
          <w:lang w:eastAsia="es-CO"/>
        </w:rPr>
      </w:pPr>
    </w:p>
    <w:p w:rsidR="00212EB6" w:rsidRPr="00283792" w:rsidRDefault="00212EB6" w:rsidP="00212EB6">
      <w:pPr>
        <w:spacing w:after="0" w:line="240" w:lineRule="auto"/>
        <w:jc w:val="both"/>
        <w:rPr>
          <w:rFonts w:cs="Arial"/>
          <w:lang w:eastAsia="es-CO"/>
        </w:rPr>
      </w:pPr>
      <w:r w:rsidRPr="00283792">
        <w:rPr>
          <w:rFonts w:cs="Arial"/>
        </w:rPr>
        <w:t>El Plan Institucional de Capacitación (PIC) fue desarrollado mediante eventos presenciales y virtuales, bajo distintas modalidades y temáticas, a saber:</w:t>
      </w:r>
    </w:p>
    <w:p w:rsidR="00212EB6" w:rsidRPr="009A405A" w:rsidRDefault="00212EB6" w:rsidP="00212EB6">
      <w:pPr>
        <w:spacing w:after="0" w:line="240" w:lineRule="auto"/>
        <w:jc w:val="both"/>
        <w:rPr>
          <w:rFonts w:cs="Arial"/>
          <w:color w:val="4F81BD" w:themeColor="accent1"/>
          <w:lang w:eastAsia="es-CO"/>
        </w:rPr>
      </w:pPr>
    </w:p>
    <w:p w:rsidR="00212EB6" w:rsidRPr="00283792" w:rsidRDefault="00212EB6" w:rsidP="00212EB6">
      <w:pPr>
        <w:spacing w:after="0" w:line="240" w:lineRule="auto"/>
        <w:jc w:val="both"/>
        <w:rPr>
          <w:rFonts w:cs="Arial"/>
          <w:u w:val="single"/>
          <w:lang w:eastAsia="es-CO"/>
        </w:rPr>
      </w:pPr>
      <w:r w:rsidRPr="00283792">
        <w:rPr>
          <w:rFonts w:cs="Arial"/>
          <w:u w:val="single"/>
          <w:lang w:eastAsia="es-CO"/>
        </w:rPr>
        <w:t>Cursos presenciales</w:t>
      </w:r>
    </w:p>
    <w:p w:rsidR="00212EB6" w:rsidRPr="00283792" w:rsidRDefault="00212EB6" w:rsidP="00212EB6">
      <w:pPr>
        <w:spacing w:after="0" w:line="240" w:lineRule="auto"/>
        <w:jc w:val="both"/>
        <w:rPr>
          <w:rFonts w:cs="Arial"/>
          <w:u w:val="single"/>
          <w:lang w:eastAsia="es-CO"/>
        </w:rPr>
      </w:pP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Normas Internacionales de Información Financieras para entidades del sector público.</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Actualización en Derecho Disciplinario.</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Taller de Habilidades Gerenciales.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Jornadas de actualización en temas del sector público.</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Octavo Congreso Internacional Derecho de Familia.</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Certificación Internacional MCSD Web Application - visual c#.</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Normas Internacionales de Información Financiera para pequeñas y medianas empresas NIIF para Pymes.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Atención en Crisis.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Taller: guía técnica del componente de alimentación y nutrición.</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SIM - módulo AUS y funcionalidad asignación de cupos.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Código General del Proceso.</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Generaciones con Bienestar.</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Actualización en contratación estatal.</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Formación y actualización en la Norma de Calidad NTC ISO 9001-2015.</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Ruta para el restablecimiento de derechos de niños, niñas y adolescentes pertenecientes a grupos indígenas.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III Simposio de Crianza y Salud.</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Taller de supervisión de contratos y convenios.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SGSST y SGSI.</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Brigadas de emergencia.</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Seminario de pagadores.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Dimensión pedagógica y prácticas restaurativas.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Capacitación equipos técnicos interdisciplinarios.</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Guía técnica del componente de alimentación y nutrición para la población con discapacidad.</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Sistema de Seguimiento Nutricional y uso del Sistema de Información Misional Cuéntame.</w:t>
      </w:r>
    </w:p>
    <w:p w:rsidR="00212EB6" w:rsidRPr="00283792" w:rsidRDefault="00212EB6" w:rsidP="00D712DC">
      <w:pPr>
        <w:pStyle w:val="Prrafodelista"/>
        <w:numPr>
          <w:ilvl w:val="0"/>
          <w:numId w:val="45"/>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en Restablecimiento de Derechos.</w:t>
      </w:r>
    </w:p>
    <w:p w:rsidR="00212EB6" w:rsidRPr="00283792" w:rsidRDefault="00212EB6" w:rsidP="00D712DC">
      <w:pPr>
        <w:pStyle w:val="Prrafodelista"/>
        <w:numPr>
          <w:ilvl w:val="0"/>
          <w:numId w:val="45"/>
        </w:numPr>
        <w:spacing w:after="0" w:line="240" w:lineRule="auto"/>
        <w:contextualSpacing/>
        <w:jc w:val="both"/>
        <w:rPr>
          <w:rFonts w:eastAsia="Times New Roman" w:cs="Arial"/>
          <w:lang w:val="es-CO" w:eastAsia="es-CO"/>
        </w:rPr>
      </w:pPr>
      <w:r w:rsidRPr="00283792">
        <w:rPr>
          <w:rFonts w:eastAsia="Times New Roman" w:cs="Arial"/>
          <w:lang w:val="es-CO" w:eastAsia="es-CO"/>
        </w:rPr>
        <w:t>Jornada de encuadre técnico con gestores de prevención del embarazo en la adolescencia.</w:t>
      </w:r>
    </w:p>
    <w:p w:rsidR="00212EB6" w:rsidRPr="00283792" w:rsidRDefault="00212EB6" w:rsidP="00212EB6">
      <w:pPr>
        <w:spacing w:after="0" w:line="240" w:lineRule="auto"/>
        <w:jc w:val="both"/>
        <w:rPr>
          <w:rFonts w:cs="Arial"/>
        </w:rPr>
      </w:pPr>
    </w:p>
    <w:p w:rsidR="00212EB6" w:rsidRPr="00283792" w:rsidRDefault="00212EB6" w:rsidP="00212EB6">
      <w:pPr>
        <w:spacing w:after="0" w:line="240" w:lineRule="auto"/>
        <w:jc w:val="both"/>
        <w:rPr>
          <w:rFonts w:cs="Arial"/>
          <w:u w:val="single"/>
          <w:lang w:eastAsia="es-CO"/>
        </w:rPr>
      </w:pPr>
      <w:r w:rsidRPr="00283792">
        <w:rPr>
          <w:rFonts w:cs="Arial"/>
          <w:u w:val="single"/>
          <w:lang w:eastAsia="es-CO"/>
        </w:rPr>
        <w:t>Cursos virtuales</w:t>
      </w:r>
    </w:p>
    <w:p w:rsidR="00212EB6" w:rsidRPr="00283792" w:rsidRDefault="00212EB6" w:rsidP="00212EB6">
      <w:pPr>
        <w:spacing w:after="0" w:line="240" w:lineRule="auto"/>
        <w:jc w:val="both"/>
        <w:rPr>
          <w:rFonts w:cs="Arial"/>
          <w:u w:val="single"/>
          <w:lang w:eastAsia="es-CO"/>
        </w:rPr>
      </w:pP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Ley 1098 de Infancia y Adolescencia.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Pr>
          <w:rFonts w:eastAsia="Times New Roman" w:cs="Arial"/>
          <w:lang w:val="es-CO" w:eastAsia="es-CO"/>
        </w:rPr>
        <w:t>Cátedra José</w:t>
      </w:r>
      <w:r w:rsidRPr="00283792">
        <w:rPr>
          <w:rFonts w:eastAsia="Times New Roman" w:cs="Arial"/>
          <w:lang w:val="es-CO" w:eastAsia="es-CO"/>
        </w:rPr>
        <w:t xml:space="preserve"> Antonio Carballo.</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Seguridad de la Información.</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Guías Alimentarias Basadas en Alimentos (GABA).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Sistema Integrado de Gestión de Calidad.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Innovación y creatividad.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Servicio y atención.</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Niños, niñas y adolescentes víctimas del conflicto armado ¡nuestro compromiso!</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prevención de violencias intrafamiliar, sexual y comunitaria.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proyecto de vida.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Habilidades blandas: competencias integrales para el mundo laboral.</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Convención sobre los Derechos del Niño y sus protocolos facultativos.</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Guía psicología: el rol del psicólogo en el proceso administrativo de restablecimiento de derechos (PARD).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Protección integral.</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Cómo hacer política de infancia y adolescencia.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Guía de nutrición: el nutricionista en el PARD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Diplomado virtual en línea de productividad.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Consejería en lactancia materna.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Guía de investigación del trabajador social en el (PARD).</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Sistema Nacional de Bienestar Familiar (SNBF).</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Formulación e implementación de indicadores de infancia y adolescencia.</w:t>
      </w:r>
    </w:p>
    <w:p w:rsidR="00212EB6" w:rsidRPr="00283792" w:rsidRDefault="00212EB6" w:rsidP="00D712DC">
      <w:pPr>
        <w:pStyle w:val="Prrafodelista"/>
        <w:numPr>
          <w:ilvl w:val="0"/>
          <w:numId w:val="46"/>
        </w:numPr>
        <w:spacing w:after="160" w:line="240" w:lineRule="auto"/>
        <w:contextualSpacing/>
        <w:jc w:val="both"/>
        <w:rPr>
          <w:rFonts w:eastAsia="Times New Roman" w:cs="Arial"/>
          <w:lang w:val="es-CO" w:eastAsia="es-CO"/>
        </w:rPr>
      </w:pPr>
      <w:r w:rsidRPr="00283792">
        <w:rPr>
          <w:rFonts w:eastAsia="Times New Roman" w:cs="Arial"/>
          <w:lang w:val="es-CO" w:eastAsia="es-CO"/>
        </w:rPr>
        <w:t>Caja de herramientas de participación ciudadana.</w:t>
      </w:r>
    </w:p>
    <w:p w:rsidR="00212EB6" w:rsidRPr="00283792" w:rsidRDefault="00212EB6" w:rsidP="00D712DC">
      <w:pPr>
        <w:pStyle w:val="Prrafodelista"/>
        <w:numPr>
          <w:ilvl w:val="0"/>
          <w:numId w:val="46"/>
        </w:numPr>
        <w:spacing w:after="0" w:line="240" w:lineRule="auto"/>
        <w:contextualSpacing/>
        <w:jc w:val="both"/>
        <w:rPr>
          <w:rFonts w:eastAsia="Times New Roman" w:cs="Arial"/>
          <w:lang w:val="es-CO" w:eastAsia="es-CO"/>
        </w:rPr>
      </w:pPr>
      <w:r w:rsidRPr="00283792">
        <w:rPr>
          <w:rFonts w:eastAsia="Times New Roman" w:cs="Arial"/>
          <w:lang w:val="es-CO" w:eastAsia="es-CO"/>
        </w:rPr>
        <w:t>Diplomado cuerpos, género y diversidad.</w:t>
      </w:r>
    </w:p>
    <w:p w:rsidR="00212EB6" w:rsidRPr="00283792" w:rsidRDefault="00212EB6" w:rsidP="00212EB6">
      <w:pPr>
        <w:spacing w:after="0" w:line="240" w:lineRule="auto"/>
        <w:jc w:val="both"/>
        <w:rPr>
          <w:rFonts w:cs="Arial"/>
          <w:lang w:eastAsia="es-CO"/>
        </w:rPr>
      </w:pPr>
    </w:p>
    <w:p w:rsidR="00212EB6" w:rsidRPr="007377BC" w:rsidRDefault="00212EB6" w:rsidP="00212EB6">
      <w:pPr>
        <w:spacing w:after="0" w:line="240" w:lineRule="auto"/>
        <w:jc w:val="both"/>
        <w:rPr>
          <w:rFonts w:cs="Arial"/>
        </w:rPr>
      </w:pPr>
      <w:r w:rsidRPr="00220470">
        <w:rPr>
          <w:rFonts w:cs="Arial"/>
        </w:rPr>
        <w:t>A 31 de diciembre de 2016, 4.404 servidores públicos, tanto</w:t>
      </w:r>
      <w:r w:rsidRPr="00283792">
        <w:rPr>
          <w:rFonts w:cs="Arial"/>
        </w:rPr>
        <w:t xml:space="preserve"> de la Sede Nacional como de las Direcciones Regionales, fueron capacitados bajo este Plan, con lo que se alcanzó un porcentaje </w:t>
      </w:r>
      <w:r w:rsidRPr="007377BC">
        <w:rPr>
          <w:rFonts w:cs="Arial"/>
        </w:rPr>
        <w:t>de cumplimiento del indicador de “Servidores capacitados” del 85,89% sobre una meta del 87% sobre la planta global del ICBF para 2016.</w:t>
      </w:r>
    </w:p>
    <w:p w:rsidR="00212EB6" w:rsidRPr="007377BC" w:rsidRDefault="00212EB6" w:rsidP="00212EB6">
      <w:pPr>
        <w:spacing w:after="0" w:line="240" w:lineRule="auto"/>
        <w:jc w:val="both"/>
        <w:rPr>
          <w:rFonts w:cs="Arial"/>
        </w:rPr>
      </w:pPr>
    </w:p>
    <w:p w:rsidR="00212EB6" w:rsidRPr="007377BC" w:rsidRDefault="00212EB6" w:rsidP="00212EB6">
      <w:pPr>
        <w:spacing w:after="0" w:line="240" w:lineRule="auto"/>
        <w:jc w:val="both"/>
        <w:rPr>
          <w:rFonts w:cs="Arial"/>
        </w:rPr>
      </w:pPr>
      <w:r w:rsidRPr="007377BC">
        <w:rPr>
          <w:rFonts w:cs="Arial"/>
        </w:rPr>
        <w:t>De igual forma, las y los servidores públicos también pudieron acceder a actividades de educación para el trabajo y el desarrollo humano (Educación No Formal) a través del Convenio Carlos Lleras Restrepo – ICETEX, de las cuales se beneficiaron 73 servidores; por otra parte se dio continuidad a los Proyectos de Aprendizaje en Equipo (PAE), para lo cual se definieron 7 proyectos para 2016, los cuales se exponen a continuación:</w:t>
      </w:r>
    </w:p>
    <w:p w:rsidR="00212EB6" w:rsidRPr="007377BC" w:rsidRDefault="00212EB6" w:rsidP="00212EB6">
      <w:pPr>
        <w:spacing w:after="0" w:line="240" w:lineRule="auto"/>
        <w:jc w:val="both"/>
        <w:rPr>
          <w:rFonts w:cs="Arial"/>
        </w:rPr>
      </w:pPr>
    </w:p>
    <w:p w:rsidR="00212EB6" w:rsidRDefault="00212EB6" w:rsidP="00212EB6">
      <w:pPr>
        <w:spacing w:after="0" w:line="240" w:lineRule="auto"/>
        <w:jc w:val="center"/>
        <w:rPr>
          <w:rFonts w:cs="Arial"/>
          <w:b/>
        </w:rPr>
      </w:pPr>
      <w:r w:rsidRPr="007377BC">
        <w:rPr>
          <w:rFonts w:cs="Arial"/>
          <w:b/>
        </w:rPr>
        <w:t>Proyectos de Aprendizaje en Equipo</w:t>
      </w:r>
    </w:p>
    <w:p w:rsidR="00D70A2A" w:rsidRPr="007377BC" w:rsidRDefault="00D70A2A" w:rsidP="00212EB6">
      <w:pPr>
        <w:spacing w:after="0" w:line="240" w:lineRule="auto"/>
        <w:jc w:val="center"/>
        <w:rPr>
          <w:rFonts w:cs="Arial"/>
          <w:b/>
        </w:rPr>
      </w:pPr>
    </w:p>
    <w:tbl>
      <w:tblPr>
        <w:tblStyle w:val="Tablaconcuadrcula"/>
        <w:tblW w:w="9493"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92"/>
        <w:gridCol w:w="7001"/>
      </w:tblGrid>
      <w:tr w:rsidR="00212EB6" w:rsidRPr="007377BC" w:rsidTr="00101548">
        <w:trPr>
          <w:trHeight w:val="20"/>
        </w:trPr>
        <w:tc>
          <w:tcPr>
            <w:tcW w:w="2492" w:type="dxa"/>
            <w:shd w:val="clear" w:color="auto" w:fill="76923C" w:themeFill="accent3" w:themeFillShade="BF"/>
            <w:vAlign w:val="center"/>
            <w:hideMark/>
          </w:tcPr>
          <w:p w:rsidR="00212EB6" w:rsidRPr="00101548" w:rsidRDefault="00212EB6" w:rsidP="00A27DBD">
            <w:pPr>
              <w:spacing w:after="0" w:line="240" w:lineRule="auto"/>
              <w:jc w:val="center"/>
              <w:rPr>
                <w:rFonts w:eastAsia="Times New Roman" w:cs="Arial"/>
                <w:b/>
                <w:bCs/>
                <w:color w:val="FFFFFF" w:themeColor="background1"/>
                <w:sz w:val="18"/>
                <w:szCs w:val="20"/>
                <w:lang w:val="es-CO" w:eastAsia="es-CO"/>
              </w:rPr>
            </w:pPr>
            <w:r w:rsidRPr="00101548">
              <w:rPr>
                <w:rFonts w:eastAsia="Times New Roman" w:cs="Arial"/>
                <w:b/>
                <w:bCs/>
                <w:color w:val="FFFFFF" w:themeColor="background1"/>
                <w:sz w:val="18"/>
                <w:szCs w:val="20"/>
                <w:lang w:eastAsia="es-CO"/>
              </w:rPr>
              <w:t>REGIONAL</w:t>
            </w:r>
          </w:p>
        </w:tc>
        <w:tc>
          <w:tcPr>
            <w:tcW w:w="7001" w:type="dxa"/>
            <w:shd w:val="clear" w:color="auto" w:fill="76923C" w:themeFill="accent3" w:themeFillShade="BF"/>
            <w:vAlign w:val="center"/>
            <w:hideMark/>
          </w:tcPr>
          <w:p w:rsidR="00212EB6" w:rsidRPr="00101548" w:rsidRDefault="00212EB6" w:rsidP="00A27DBD">
            <w:pPr>
              <w:spacing w:after="0" w:line="240" w:lineRule="auto"/>
              <w:jc w:val="center"/>
              <w:rPr>
                <w:rFonts w:eastAsia="Times New Roman" w:cs="Arial"/>
                <w:b/>
                <w:bCs/>
                <w:color w:val="FFFFFF" w:themeColor="background1"/>
                <w:sz w:val="18"/>
                <w:szCs w:val="20"/>
                <w:lang w:val="es-CO" w:eastAsia="es-CO"/>
              </w:rPr>
            </w:pPr>
            <w:r w:rsidRPr="00101548">
              <w:rPr>
                <w:rFonts w:eastAsia="Times New Roman" w:cs="Arial"/>
                <w:b/>
                <w:bCs/>
                <w:color w:val="FFFFFF" w:themeColor="background1"/>
                <w:sz w:val="18"/>
                <w:szCs w:val="20"/>
                <w:lang w:eastAsia="es-CO"/>
              </w:rPr>
              <w:t>PROYECTO</w:t>
            </w:r>
          </w:p>
        </w:tc>
      </w:tr>
      <w:tr w:rsidR="00212EB6" w:rsidRPr="007377BC" w:rsidTr="00101548">
        <w:trPr>
          <w:trHeight w:val="20"/>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Cundinamarca</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Promoción de las pausas saludables para la prevención de desórdenes psicofísicos causados por la fatiga física y mental durante la jornada laboral.</w:t>
            </w:r>
          </w:p>
        </w:tc>
      </w:tr>
      <w:tr w:rsidR="00212EB6" w:rsidRPr="007377BC" w:rsidTr="00101548">
        <w:trPr>
          <w:trHeight w:val="20"/>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Defensores de Familia</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PARD – Ley de Infancia.</w:t>
            </w:r>
          </w:p>
        </w:tc>
      </w:tr>
      <w:tr w:rsidR="00212EB6" w:rsidRPr="007377BC" w:rsidTr="00101548">
        <w:trPr>
          <w:trHeight w:val="20"/>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Valle (Grupo de Protección)</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Activando la respuesta ICBF intra e interinstitucional ante la demanda de asistencia técnica en Restablecimiento de Derechos.</w:t>
            </w:r>
          </w:p>
        </w:tc>
      </w:tr>
      <w:tr w:rsidR="00212EB6" w:rsidRPr="007377BC" w:rsidTr="00101548">
        <w:trPr>
          <w:trHeight w:val="20"/>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Risaralda</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Cultura Ambiental.</w:t>
            </w:r>
          </w:p>
        </w:tc>
      </w:tr>
      <w:tr w:rsidR="00212EB6" w:rsidRPr="007377BC" w:rsidTr="00101548">
        <w:trPr>
          <w:trHeight w:val="20"/>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Norte de Santander (Grupo de Planeación y Sistemas)</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Fortalecimiento de conocimientos, habilidades y actitudes para lograr solucionar problemas como: el no reporte de incidentes de seguridad de la información de la regional.</w:t>
            </w:r>
          </w:p>
        </w:tc>
      </w:tr>
      <w:tr w:rsidR="00212EB6" w:rsidRPr="007377BC" w:rsidTr="00101548">
        <w:tblPrEx>
          <w:jc w:val="center"/>
        </w:tblPrEx>
        <w:trPr>
          <w:trHeight w:val="20"/>
          <w:tblHeader/>
          <w:jc w:val="center"/>
        </w:trPr>
        <w:tc>
          <w:tcPr>
            <w:tcW w:w="2492" w:type="dxa"/>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 xml:space="preserve">Boyacá </w:t>
            </w:r>
          </w:p>
        </w:tc>
        <w:tc>
          <w:tcPr>
            <w:tcW w:w="7001" w:type="dxa"/>
            <w:vAlign w:val="center"/>
            <w:hideMark/>
          </w:tcPr>
          <w:p w:rsidR="00212EB6" w:rsidRPr="00E07128" w:rsidRDefault="00212EB6" w:rsidP="00A27DBD">
            <w:pPr>
              <w:spacing w:after="0" w:line="240" w:lineRule="auto"/>
              <w:jc w:val="both"/>
              <w:rPr>
                <w:rFonts w:eastAsia="Times New Roman" w:cs="Arial"/>
                <w:sz w:val="18"/>
                <w:szCs w:val="20"/>
                <w:lang w:val="es-CO" w:eastAsia="es-CO"/>
              </w:rPr>
            </w:pPr>
            <w:r w:rsidRPr="00E07128">
              <w:rPr>
                <w:rFonts w:eastAsia="Times New Roman" w:cs="Arial"/>
                <w:sz w:val="18"/>
                <w:szCs w:val="20"/>
                <w:lang w:eastAsia="es-CO"/>
              </w:rPr>
              <w:t>Programa de Prevención y Promoción de la salud a los colaboradores de la Sede Regional del ICBF Regional Boyacá.</w:t>
            </w:r>
          </w:p>
        </w:tc>
      </w:tr>
      <w:tr w:rsidR="00212EB6" w:rsidRPr="007377BC" w:rsidTr="00101548">
        <w:tblPrEx>
          <w:jc w:val="center"/>
          <w:tblCellMar>
            <w:left w:w="70" w:type="dxa"/>
            <w:right w:w="70" w:type="dxa"/>
          </w:tblCellMar>
        </w:tblPrEx>
        <w:trPr>
          <w:trHeight w:val="20"/>
          <w:tblHeader/>
          <w:jc w:val="center"/>
        </w:trPr>
        <w:tc>
          <w:tcPr>
            <w:tcW w:w="2492" w:type="dxa"/>
            <w:shd w:val="clear" w:color="auto" w:fill="FFFFFF" w:themeFill="background1"/>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Cesar</w:t>
            </w:r>
          </w:p>
        </w:tc>
        <w:tc>
          <w:tcPr>
            <w:tcW w:w="7001" w:type="dxa"/>
            <w:shd w:val="clear" w:color="auto" w:fill="FFFFFF" w:themeFill="background1"/>
            <w:vAlign w:val="center"/>
            <w:hideMark/>
          </w:tcPr>
          <w:p w:rsidR="00212EB6" w:rsidRPr="00E07128" w:rsidRDefault="00212EB6" w:rsidP="00A27DBD">
            <w:pPr>
              <w:spacing w:after="0" w:line="240" w:lineRule="auto"/>
              <w:rPr>
                <w:rFonts w:eastAsia="Times New Roman" w:cs="Arial"/>
                <w:sz w:val="18"/>
                <w:szCs w:val="20"/>
                <w:lang w:val="es-CO" w:eastAsia="es-CO"/>
              </w:rPr>
            </w:pPr>
            <w:r w:rsidRPr="00E07128">
              <w:rPr>
                <w:rFonts w:eastAsia="Times New Roman" w:cs="Arial"/>
                <w:sz w:val="18"/>
                <w:szCs w:val="20"/>
                <w:lang w:eastAsia="es-CO"/>
              </w:rPr>
              <w:t>Trabajo en equipo.</w:t>
            </w:r>
          </w:p>
        </w:tc>
      </w:tr>
    </w:tbl>
    <w:p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rsidR="00212EB6" w:rsidRPr="007377BC" w:rsidRDefault="00212EB6" w:rsidP="00212EB6">
      <w:pPr>
        <w:spacing w:after="0" w:line="240" w:lineRule="auto"/>
        <w:jc w:val="both"/>
        <w:rPr>
          <w:rFonts w:cs="Arial"/>
        </w:rPr>
      </w:pPr>
    </w:p>
    <w:p w:rsidR="00212EB6" w:rsidRPr="007377BC" w:rsidRDefault="00212EB6" w:rsidP="00212EB6">
      <w:pPr>
        <w:overflowPunct w:val="0"/>
        <w:spacing w:line="240" w:lineRule="auto"/>
        <w:jc w:val="both"/>
        <w:textAlignment w:val="baseline"/>
        <w:rPr>
          <w:rFonts w:cs="Arial"/>
        </w:rPr>
      </w:pPr>
      <w:r w:rsidRPr="007377BC">
        <w:rPr>
          <w:rFonts w:cs="Arial"/>
        </w:rPr>
        <w:t xml:space="preserve">En esta misma vía, se implementó el proyecto Modelo de Gestión por Competencias, cuyo objetivo es definir y fortalecer las competencias comportamentales propias de las y los colaboradores del ICBF que permitan alcanzar los objetivos organizacionales. Para ello, se identificaron y validaron las competencias comportamentales de los siguientes perfiles: </w:t>
      </w:r>
    </w:p>
    <w:p w:rsidR="00212EB6" w:rsidRPr="007377BC" w:rsidRDefault="00DA2ADC" w:rsidP="00212EB6">
      <w:pPr>
        <w:overflowPunct w:val="0"/>
        <w:spacing w:line="240" w:lineRule="auto"/>
        <w:jc w:val="center"/>
        <w:textAlignment w:val="baseline"/>
        <w:rPr>
          <w:rFonts w:cs="Arial"/>
          <w:b/>
        </w:rPr>
      </w:pPr>
      <w:r>
        <w:rPr>
          <w:rFonts w:cs="Arial"/>
          <w:b/>
        </w:rPr>
        <w:t>Competencias comportamentales por perfil</w:t>
      </w:r>
    </w:p>
    <w:tbl>
      <w:tblPr>
        <w:tblW w:w="1086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823"/>
        <w:gridCol w:w="7043"/>
      </w:tblGrid>
      <w:tr w:rsidR="00212EB6" w:rsidRPr="00DE1D2B" w:rsidTr="008278EC">
        <w:trPr>
          <w:trHeight w:val="60"/>
          <w:tblHeader/>
          <w:jc w:val="center"/>
        </w:trPr>
        <w:tc>
          <w:tcPr>
            <w:tcW w:w="3823" w:type="dxa"/>
            <w:shd w:val="clear" w:color="auto" w:fill="76923C" w:themeFill="accent3" w:themeFillShade="BF"/>
            <w:vAlign w:val="center"/>
            <w:hideMark/>
          </w:tcPr>
          <w:p w:rsidR="00212EB6" w:rsidRPr="00097886" w:rsidRDefault="00097886" w:rsidP="00A27DBD">
            <w:pPr>
              <w:spacing w:after="0" w:line="240" w:lineRule="auto"/>
              <w:jc w:val="center"/>
              <w:rPr>
                <w:rFonts w:eastAsia="Times New Roman" w:cs="Arial"/>
                <w:b/>
                <w:bCs/>
                <w:color w:val="FFFFFF" w:themeColor="background1"/>
                <w:sz w:val="18"/>
                <w:szCs w:val="20"/>
                <w:lang w:val="es-CO" w:eastAsia="es-CO"/>
              </w:rPr>
            </w:pPr>
            <w:r w:rsidRPr="00097886">
              <w:rPr>
                <w:rFonts w:eastAsia="Times New Roman" w:cs="Arial"/>
                <w:b/>
                <w:bCs/>
                <w:color w:val="FFFFFF" w:themeColor="background1"/>
                <w:sz w:val="18"/>
                <w:szCs w:val="20"/>
                <w:lang w:eastAsia="es-CO"/>
              </w:rPr>
              <w:t>Perfil</w:t>
            </w:r>
          </w:p>
        </w:tc>
        <w:tc>
          <w:tcPr>
            <w:tcW w:w="7043" w:type="dxa"/>
            <w:shd w:val="clear" w:color="auto" w:fill="76923C" w:themeFill="accent3" w:themeFillShade="BF"/>
            <w:vAlign w:val="center"/>
            <w:hideMark/>
          </w:tcPr>
          <w:p w:rsidR="00101548" w:rsidRPr="00101548" w:rsidRDefault="00212EB6" w:rsidP="00101548">
            <w:pPr>
              <w:spacing w:after="0" w:line="240" w:lineRule="auto"/>
              <w:jc w:val="center"/>
              <w:rPr>
                <w:rFonts w:eastAsia="Times New Roman" w:cs="Arial"/>
                <w:b/>
                <w:bCs/>
                <w:color w:val="FFFFFF" w:themeColor="background1"/>
                <w:sz w:val="18"/>
                <w:szCs w:val="20"/>
                <w:lang w:eastAsia="es-CO"/>
              </w:rPr>
            </w:pPr>
            <w:r w:rsidRPr="00101548">
              <w:rPr>
                <w:rFonts w:eastAsia="Times New Roman" w:cs="Arial"/>
                <w:b/>
                <w:bCs/>
                <w:color w:val="FFFFFF" w:themeColor="background1"/>
                <w:sz w:val="18"/>
                <w:szCs w:val="20"/>
                <w:lang w:eastAsia="es-CO"/>
              </w:rPr>
              <w:t>COMPETENCIAS</w:t>
            </w:r>
          </w:p>
        </w:tc>
      </w:tr>
      <w:tr w:rsidR="00212EB6" w:rsidRPr="00DE1D2B" w:rsidTr="008278EC">
        <w:trPr>
          <w:trHeight w:val="60"/>
          <w:jc w:val="center"/>
        </w:trPr>
        <w:tc>
          <w:tcPr>
            <w:tcW w:w="3823" w:type="dxa"/>
            <w:vMerge w:val="restart"/>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r w:rsidRPr="008278EC">
              <w:rPr>
                <w:rFonts w:eastAsia="Times New Roman" w:cs="Arial"/>
                <w:b/>
                <w:bCs/>
                <w:sz w:val="18"/>
                <w:szCs w:val="20"/>
                <w:lang w:eastAsia="es-CO"/>
              </w:rPr>
              <w:t>DEFENSOR DE FAMILIA</w:t>
            </w: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Reconocer a los niños, niñas y adolescentes como sujetos de derechos.</w:t>
            </w:r>
          </w:p>
        </w:tc>
      </w:tr>
      <w:tr w:rsidR="00212EB6" w:rsidRPr="00DE1D2B" w:rsidTr="008278EC">
        <w:trPr>
          <w:trHeight w:val="60"/>
          <w:jc w:val="center"/>
        </w:trPr>
        <w:tc>
          <w:tcPr>
            <w:tcW w:w="3823" w:type="dxa"/>
            <w:vMerge/>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Compromiso por la felicidad de los niños, niñas y adolescentes.</w:t>
            </w:r>
          </w:p>
        </w:tc>
      </w:tr>
      <w:tr w:rsidR="00212EB6" w:rsidRPr="00DE1D2B" w:rsidTr="008278EC">
        <w:trPr>
          <w:trHeight w:val="60"/>
          <w:jc w:val="center"/>
        </w:trPr>
        <w:tc>
          <w:tcPr>
            <w:tcW w:w="3823" w:type="dxa"/>
            <w:vMerge/>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Defender la familia.</w:t>
            </w:r>
          </w:p>
        </w:tc>
      </w:tr>
      <w:tr w:rsidR="00212EB6" w:rsidRPr="00DE1D2B" w:rsidTr="008278EC">
        <w:trPr>
          <w:trHeight w:val="60"/>
          <w:jc w:val="center"/>
        </w:trPr>
        <w:tc>
          <w:tcPr>
            <w:tcW w:w="3823" w:type="dxa"/>
            <w:vMerge/>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Gestionar el conocimiento inter disciplinario.</w:t>
            </w:r>
          </w:p>
        </w:tc>
      </w:tr>
      <w:tr w:rsidR="00212EB6" w:rsidRPr="00DE1D2B" w:rsidTr="008278EC">
        <w:trPr>
          <w:trHeight w:val="60"/>
          <w:jc w:val="center"/>
        </w:trPr>
        <w:tc>
          <w:tcPr>
            <w:tcW w:w="3823" w:type="dxa"/>
            <w:vMerge/>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Tomar de decisiones idóneas.</w:t>
            </w:r>
          </w:p>
        </w:tc>
      </w:tr>
      <w:tr w:rsidR="00212EB6" w:rsidRPr="00DE1D2B" w:rsidTr="008278EC">
        <w:trPr>
          <w:trHeight w:val="60"/>
          <w:jc w:val="center"/>
        </w:trPr>
        <w:tc>
          <w:tcPr>
            <w:tcW w:w="3823" w:type="dxa"/>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Liderazgo en la transformación de realidades.</w:t>
            </w:r>
          </w:p>
        </w:tc>
      </w:tr>
      <w:tr w:rsidR="00212EB6" w:rsidRPr="00DE1D2B" w:rsidTr="008278EC">
        <w:trPr>
          <w:trHeight w:val="60"/>
          <w:jc w:val="center"/>
        </w:trPr>
        <w:tc>
          <w:tcPr>
            <w:tcW w:w="3823" w:type="dxa"/>
            <w:vMerge w:val="restart"/>
            <w:shd w:val="clear" w:color="auto" w:fill="auto"/>
            <w:vAlign w:val="center"/>
            <w:hideMark/>
          </w:tcPr>
          <w:p w:rsidR="00212EB6" w:rsidRPr="00DE1D2B" w:rsidRDefault="00212EB6" w:rsidP="00A27DBD">
            <w:pPr>
              <w:spacing w:after="0" w:line="240" w:lineRule="auto"/>
              <w:rPr>
                <w:rFonts w:eastAsia="Times New Roman" w:cs="Arial"/>
                <w:b/>
                <w:bCs/>
                <w:sz w:val="18"/>
                <w:szCs w:val="20"/>
                <w:lang w:val="es-CO" w:eastAsia="es-CO"/>
              </w:rPr>
            </w:pPr>
            <w:r w:rsidRPr="00DE1D2B">
              <w:rPr>
                <w:rFonts w:eastAsia="Times New Roman" w:cs="Arial"/>
                <w:b/>
                <w:bCs/>
                <w:sz w:val="18"/>
                <w:szCs w:val="20"/>
                <w:lang w:eastAsia="es-CO"/>
              </w:rPr>
              <w:t>EQUIPO TÉCNICO INTERDISCIPLINARIO</w:t>
            </w: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Calidez en el trato.</w:t>
            </w:r>
          </w:p>
        </w:tc>
      </w:tr>
      <w:tr w:rsidR="00212EB6" w:rsidRPr="00DE1D2B" w:rsidTr="008278EC">
        <w:trPr>
          <w:trHeight w:val="60"/>
          <w:jc w:val="center"/>
        </w:trPr>
        <w:tc>
          <w:tcPr>
            <w:tcW w:w="3823" w:type="dxa"/>
            <w:vMerge/>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Integración del ser, el saber y el hacer en equipo.</w:t>
            </w:r>
          </w:p>
        </w:tc>
      </w:tr>
      <w:tr w:rsidR="00212EB6" w:rsidRPr="00DE1D2B" w:rsidTr="008278EC">
        <w:trPr>
          <w:trHeight w:val="60"/>
          <w:jc w:val="center"/>
        </w:trPr>
        <w:tc>
          <w:tcPr>
            <w:tcW w:w="3823" w:type="dxa"/>
            <w:vMerge/>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Pensamiento dinámico.</w:t>
            </w:r>
          </w:p>
        </w:tc>
      </w:tr>
      <w:tr w:rsidR="00212EB6" w:rsidRPr="00DE1D2B" w:rsidTr="008278EC">
        <w:trPr>
          <w:trHeight w:val="60"/>
          <w:jc w:val="center"/>
        </w:trPr>
        <w:tc>
          <w:tcPr>
            <w:tcW w:w="3823" w:type="dxa"/>
            <w:vMerge/>
            <w:vAlign w:val="center"/>
            <w:hideMark/>
          </w:tcPr>
          <w:p w:rsidR="00212EB6" w:rsidRPr="00DE1D2B"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DE1D2B" w:rsidRDefault="00212EB6" w:rsidP="00A27DBD">
            <w:pPr>
              <w:spacing w:after="0" w:line="240" w:lineRule="auto"/>
              <w:jc w:val="both"/>
              <w:rPr>
                <w:rFonts w:eastAsia="Times New Roman" w:cs="Arial"/>
                <w:sz w:val="18"/>
                <w:szCs w:val="20"/>
                <w:lang w:val="es-CO" w:eastAsia="es-CO"/>
              </w:rPr>
            </w:pPr>
            <w:r w:rsidRPr="00DE1D2B">
              <w:rPr>
                <w:rFonts w:eastAsia="Times New Roman" w:cs="Arial"/>
                <w:sz w:val="18"/>
                <w:szCs w:val="20"/>
                <w:lang w:eastAsia="es-CO"/>
              </w:rPr>
              <w:t>Vocación por el bienestar del niño, niña, adolescente y su familia.</w:t>
            </w:r>
          </w:p>
        </w:tc>
      </w:tr>
      <w:tr w:rsidR="00212EB6" w:rsidRPr="007E1A7A" w:rsidTr="008278EC">
        <w:trPr>
          <w:trHeight w:val="60"/>
          <w:jc w:val="center"/>
        </w:trPr>
        <w:tc>
          <w:tcPr>
            <w:tcW w:w="3823" w:type="dxa"/>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Liderazgo en la transformación de realidades.</w:t>
            </w:r>
          </w:p>
        </w:tc>
      </w:tr>
      <w:tr w:rsidR="00212EB6" w:rsidRPr="007E1A7A" w:rsidTr="008278EC">
        <w:trPr>
          <w:trHeight w:val="60"/>
          <w:jc w:val="center"/>
        </w:trPr>
        <w:tc>
          <w:tcPr>
            <w:tcW w:w="3823" w:type="dxa"/>
            <w:vMerge w:val="restart"/>
            <w:shd w:val="clear" w:color="auto" w:fill="auto"/>
            <w:vAlign w:val="center"/>
            <w:hideMark/>
          </w:tcPr>
          <w:p w:rsidR="00212EB6" w:rsidRPr="008278EC" w:rsidRDefault="00212EB6" w:rsidP="00A27DBD">
            <w:pPr>
              <w:spacing w:after="0" w:line="240" w:lineRule="auto"/>
              <w:jc w:val="both"/>
              <w:rPr>
                <w:rFonts w:eastAsia="Times New Roman" w:cs="Arial"/>
                <w:b/>
                <w:bCs/>
                <w:sz w:val="18"/>
                <w:szCs w:val="20"/>
                <w:lang w:val="es-CO" w:eastAsia="es-CO"/>
              </w:rPr>
            </w:pPr>
            <w:r w:rsidRPr="008278EC">
              <w:rPr>
                <w:rFonts w:eastAsia="Times New Roman" w:cs="Arial"/>
                <w:b/>
                <w:bCs/>
                <w:sz w:val="18"/>
                <w:szCs w:val="20"/>
                <w:lang w:eastAsia="es-CO"/>
              </w:rPr>
              <w:t>ORGANIZACIONALES</w:t>
            </w: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Identificación con la cultura ICBF.</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Creatividad e innovación.</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Organización del trabajo y adaptación al cambio.</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Actitud de servicio.</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Enfoque a resultados.</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Articulación en equipo.</w:t>
            </w:r>
          </w:p>
        </w:tc>
      </w:tr>
      <w:tr w:rsidR="00212EB6" w:rsidRPr="007E1A7A" w:rsidTr="008278EC">
        <w:trPr>
          <w:trHeight w:val="60"/>
          <w:jc w:val="center"/>
        </w:trPr>
        <w:tc>
          <w:tcPr>
            <w:tcW w:w="3823" w:type="dxa"/>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Equilibrio emocional.</w:t>
            </w:r>
          </w:p>
        </w:tc>
      </w:tr>
      <w:tr w:rsidR="00212EB6" w:rsidRPr="007E1A7A" w:rsidTr="008278EC">
        <w:trPr>
          <w:trHeight w:val="60"/>
          <w:jc w:val="center"/>
        </w:trPr>
        <w:tc>
          <w:tcPr>
            <w:tcW w:w="3823" w:type="dxa"/>
            <w:vMerge w:val="restart"/>
            <w:shd w:val="clear" w:color="auto" w:fill="auto"/>
            <w:vAlign w:val="center"/>
            <w:hideMark/>
          </w:tcPr>
          <w:p w:rsidR="00212EB6" w:rsidRPr="008278EC" w:rsidRDefault="00212EB6" w:rsidP="00A27DBD">
            <w:pPr>
              <w:spacing w:after="0" w:line="240" w:lineRule="auto"/>
              <w:rPr>
                <w:rFonts w:eastAsia="Times New Roman" w:cs="Arial"/>
                <w:b/>
                <w:bCs/>
                <w:sz w:val="18"/>
                <w:szCs w:val="20"/>
                <w:lang w:val="es-CO" w:eastAsia="es-CO"/>
              </w:rPr>
            </w:pPr>
            <w:r w:rsidRPr="008278EC">
              <w:rPr>
                <w:rFonts w:eastAsia="Times New Roman" w:cs="Arial"/>
                <w:b/>
                <w:bCs/>
                <w:sz w:val="18"/>
                <w:szCs w:val="20"/>
                <w:lang w:eastAsia="es-CO"/>
              </w:rPr>
              <w:t>COORDINADORES DE CENTRO ZONAL</w:t>
            </w: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Reconocer a los niños, niñas y adolescentes como sujetos de derechos.</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Actitud al resultado.</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Toma de decisiones idóneas.</w:t>
            </w:r>
          </w:p>
        </w:tc>
      </w:tr>
      <w:tr w:rsidR="00212EB6" w:rsidRPr="007E1A7A" w:rsidTr="008278EC">
        <w:trPr>
          <w:trHeight w:val="60"/>
          <w:jc w:val="center"/>
        </w:trPr>
        <w:tc>
          <w:tcPr>
            <w:tcW w:w="3823" w:type="dxa"/>
            <w:vMerge/>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Gestionar el talento humano.</w:t>
            </w:r>
          </w:p>
        </w:tc>
      </w:tr>
      <w:tr w:rsidR="00212EB6" w:rsidRPr="007E1A7A" w:rsidTr="008278EC">
        <w:trPr>
          <w:trHeight w:val="60"/>
          <w:jc w:val="center"/>
        </w:trPr>
        <w:tc>
          <w:tcPr>
            <w:tcW w:w="3823" w:type="dxa"/>
            <w:vAlign w:val="center"/>
            <w:hideMark/>
          </w:tcPr>
          <w:p w:rsidR="00212EB6" w:rsidRPr="008278EC"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Equilibrio emocional.</w:t>
            </w:r>
          </w:p>
        </w:tc>
      </w:tr>
      <w:tr w:rsidR="00212EB6" w:rsidRPr="007E1A7A" w:rsidTr="008278EC">
        <w:trPr>
          <w:trHeight w:val="60"/>
          <w:jc w:val="center"/>
        </w:trPr>
        <w:tc>
          <w:tcPr>
            <w:tcW w:w="3823" w:type="dxa"/>
            <w:vMerge w:val="restart"/>
            <w:shd w:val="clear" w:color="auto" w:fill="auto"/>
            <w:vAlign w:val="center"/>
            <w:hideMark/>
          </w:tcPr>
          <w:p w:rsidR="00212EB6" w:rsidRPr="007E1A7A" w:rsidRDefault="00212EB6" w:rsidP="00A27DBD">
            <w:pPr>
              <w:spacing w:after="0" w:line="240" w:lineRule="auto"/>
              <w:rPr>
                <w:rFonts w:eastAsia="Times New Roman" w:cs="Arial"/>
                <w:b/>
                <w:bCs/>
                <w:sz w:val="18"/>
                <w:szCs w:val="20"/>
                <w:lang w:val="es-CO" w:eastAsia="es-CO"/>
              </w:rPr>
            </w:pPr>
            <w:r w:rsidRPr="007E1A7A">
              <w:rPr>
                <w:rFonts w:eastAsia="Times New Roman" w:cs="Arial"/>
                <w:b/>
                <w:bCs/>
                <w:sz w:val="18"/>
                <w:szCs w:val="20"/>
                <w:lang w:eastAsia="es-CO"/>
              </w:rPr>
              <w:t>NIVEL DIRECTIVO</w:t>
            </w: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Calidez, empatía y buen trato.</w:t>
            </w:r>
          </w:p>
        </w:tc>
      </w:tr>
      <w:tr w:rsidR="00212EB6" w:rsidRPr="007E1A7A" w:rsidTr="008278EC">
        <w:trPr>
          <w:trHeight w:val="60"/>
          <w:jc w:val="center"/>
        </w:trPr>
        <w:tc>
          <w:tcPr>
            <w:tcW w:w="3823" w:type="dxa"/>
            <w:vMerge/>
            <w:vAlign w:val="center"/>
            <w:hideMark/>
          </w:tcPr>
          <w:p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Proyección al logro.</w:t>
            </w:r>
          </w:p>
        </w:tc>
      </w:tr>
      <w:tr w:rsidR="00212EB6" w:rsidRPr="007E1A7A" w:rsidTr="008278EC">
        <w:trPr>
          <w:trHeight w:val="60"/>
          <w:jc w:val="center"/>
        </w:trPr>
        <w:tc>
          <w:tcPr>
            <w:tcW w:w="3823" w:type="dxa"/>
            <w:vMerge/>
            <w:vAlign w:val="center"/>
            <w:hideMark/>
          </w:tcPr>
          <w:p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Toma de decisiones idóneas.</w:t>
            </w:r>
          </w:p>
        </w:tc>
      </w:tr>
      <w:tr w:rsidR="00212EB6" w:rsidRPr="007E1A7A" w:rsidTr="008278EC">
        <w:trPr>
          <w:trHeight w:val="60"/>
          <w:jc w:val="center"/>
        </w:trPr>
        <w:tc>
          <w:tcPr>
            <w:tcW w:w="3823" w:type="dxa"/>
            <w:vAlign w:val="center"/>
            <w:hideMark/>
          </w:tcPr>
          <w:p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Liderazgo organizacional.</w:t>
            </w:r>
          </w:p>
        </w:tc>
      </w:tr>
      <w:tr w:rsidR="00212EB6" w:rsidRPr="007E1A7A" w:rsidTr="008278EC">
        <w:trPr>
          <w:trHeight w:val="60"/>
          <w:jc w:val="center"/>
        </w:trPr>
        <w:tc>
          <w:tcPr>
            <w:tcW w:w="3823" w:type="dxa"/>
            <w:vMerge w:val="restart"/>
            <w:shd w:val="clear" w:color="auto" w:fill="auto"/>
            <w:vAlign w:val="center"/>
            <w:hideMark/>
          </w:tcPr>
          <w:p w:rsidR="00212EB6" w:rsidRPr="007E1A7A" w:rsidRDefault="00212EB6" w:rsidP="00A27DBD">
            <w:pPr>
              <w:spacing w:after="0" w:line="240" w:lineRule="auto"/>
              <w:rPr>
                <w:rFonts w:eastAsia="Times New Roman" w:cs="Arial"/>
                <w:b/>
                <w:bCs/>
                <w:sz w:val="18"/>
                <w:szCs w:val="20"/>
                <w:lang w:val="es-CO" w:eastAsia="es-CO"/>
              </w:rPr>
            </w:pPr>
            <w:r w:rsidRPr="007E1A7A">
              <w:rPr>
                <w:rFonts w:eastAsia="Times New Roman" w:cs="Arial"/>
                <w:b/>
                <w:bCs/>
                <w:sz w:val="18"/>
                <w:szCs w:val="20"/>
                <w:lang w:eastAsia="es-CO"/>
              </w:rPr>
              <w:t>ATENCIÓN AL CIUDADANO</w:t>
            </w: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Gestores del servicio desde la transformación de realidades.</w:t>
            </w:r>
          </w:p>
        </w:tc>
      </w:tr>
      <w:tr w:rsidR="00212EB6" w:rsidRPr="007E1A7A" w:rsidTr="008278EC">
        <w:trPr>
          <w:trHeight w:val="60"/>
          <w:jc w:val="center"/>
        </w:trPr>
        <w:tc>
          <w:tcPr>
            <w:tcW w:w="3823" w:type="dxa"/>
            <w:vMerge/>
            <w:vAlign w:val="center"/>
            <w:hideMark/>
          </w:tcPr>
          <w:p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Comunicación asertiva.</w:t>
            </w:r>
          </w:p>
        </w:tc>
      </w:tr>
      <w:tr w:rsidR="00212EB6" w:rsidRPr="007E1A7A" w:rsidTr="008278EC">
        <w:trPr>
          <w:trHeight w:val="600"/>
          <w:tblHeader/>
          <w:jc w:val="center"/>
        </w:trPr>
        <w:tc>
          <w:tcPr>
            <w:tcW w:w="3823" w:type="dxa"/>
            <w:vMerge/>
            <w:vAlign w:val="center"/>
            <w:hideMark/>
          </w:tcPr>
          <w:p w:rsidR="00212EB6" w:rsidRPr="007E1A7A" w:rsidRDefault="00212EB6" w:rsidP="00A27DBD">
            <w:pPr>
              <w:spacing w:after="0" w:line="240" w:lineRule="auto"/>
              <w:rPr>
                <w:rFonts w:eastAsia="Times New Roman" w:cs="Arial"/>
                <w:b/>
                <w:bCs/>
                <w:sz w:val="18"/>
                <w:szCs w:val="20"/>
                <w:lang w:val="es-CO" w:eastAsia="es-CO"/>
              </w:rPr>
            </w:pPr>
          </w:p>
        </w:tc>
        <w:tc>
          <w:tcPr>
            <w:tcW w:w="7043" w:type="dxa"/>
            <w:shd w:val="clear" w:color="auto" w:fill="auto"/>
            <w:vAlign w:val="center"/>
            <w:hideMark/>
          </w:tcPr>
          <w:p w:rsidR="00212EB6" w:rsidRPr="007E1A7A" w:rsidRDefault="00212EB6" w:rsidP="00A27DBD">
            <w:pPr>
              <w:spacing w:after="0" w:line="240" w:lineRule="auto"/>
              <w:jc w:val="both"/>
              <w:rPr>
                <w:rFonts w:eastAsia="Times New Roman" w:cs="Arial"/>
                <w:sz w:val="18"/>
                <w:szCs w:val="20"/>
                <w:lang w:val="es-CO" w:eastAsia="es-CO"/>
              </w:rPr>
            </w:pPr>
            <w:r w:rsidRPr="007E1A7A">
              <w:rPr>
                <w:rFonts w:eastAsia="Times New Roman" w:cs="Arial"/>
                <w:sz w:val="18"/>
                <w:szCs w:val="20"/>
                <w:lang w:eastAsia="es-CO"/>
              </w:rPr>
              <w:t>Atención innovadora.</w:t>
            </w:r>
          </w:p>
        </w:tc>
      </w:tr>
    </w:tbl>
    <w:p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Grupo de Desarrollo del Talento Humano</w:t>
      </w:r>
    </w:p>
    <w:p w:rsidR="00212EB6" w:rsidRPr="00E07128" w:rsidRDefault="00212EB6" w:rsidP="00212EB6">
      <w:pPr>
        <w:spacing w:after="0" w:line="240" w:lineRule="auto"/>
        <w:jc w:val="both"/>
        <w:rPr>
          <w:rFonts w:cs="Arial"/>
          <w:sz w:val="18"/>
        </w:rPr>
      </w:pPr>
    </w:p>
    <w:p w:rsidR="00212EB6" w:rsidRPr="007377BC" w:rsidRDefault="00212EB6" w:rsidP="00212EB6">
      <w:pPr>
        <w:spacing w:after="0" w:line="240" w:lineRule="auto"/>
        <w:jc w:val="both"/>
        <w:rPr>
          <w:rFonts w:cs="Arial"/>
        </w:rPr>
      </w:pPr>
      <w:r w:rsidRPr="007377BC">
        <w:rPr>
          <w:rFonts w:cs="Arial"/>
        </w:rPr>
        <w:t>Con esta identificación y validación, se formularon indicadores para las conductas de cada perfil, lo que permite la valoración de competencias mediante la observación, determinar si las competencias están presentes en cada colaborador y acordar planes de desarrollo que les ayude a elevar su grado de crecimiento. Presupuestando realizar una medición piloto en el 2017, para así determinar si se adopta este modelo.  Como preparativo para realizar el pilotaje se desarrolló el módulo de competencias dentro del aplicativo KACTUS, el cual se maneja en todas las Regionales.</w:t>
      </w:r>
    </w:p>
    <w:p w:rsidR="00212EB6" w:rsidRPr="007377BC" w:rsidRDefault="00212EB6" w:rsidP="00212EB6">
      <w:pPr>
        <w:spacing w:after="0" w:line="240" w:lineRule="auto"/>
        <w:jc w:val="both"/>
        <w:rPr>
          <w:rFonts w:cs="Arial"/>
        </w:rPr>
      </w:pPr>
    </w:p>
    <w:p w:rsidR="007D578F" w:rsidRPr="007377BC" w:rsidRDefault="007D578F" w:rsidP="007D578F">
      <w:pPr>
        <w:spacing w:after="0" w:line="240" w:lineRule="auto"/>
        <w:jc w:val="both"/>
        <w:rPr>
          <w:rFonts w:eastAsia="Times New Roman" w:cs="Arial"/>
          <w:lang w:val="es-CO" w:eastAsia="es-ES"/>
        </w:rPr>
      </w:pPr>
      <w:r w:rsidRPr="007D578F">
        <w:rPr>
          <w:rFonts w:eastAsia="Times New Roman" w:cs="Arial"/>
          <w:lang w:val="es-CO" w:eastAsia="es-ES"/>
        </w:rPr>
        <w:t>Por otro lado, en lo que respecta al tema de Inducción, en cumplimiento del Decreto 1083 de 2015, a 31 de diciembre de 2016 se inscribieron 5.883 nuevos colaboradores en la Escuela ICBF Modalidad Virtual para realizar los cursos de inducción: José Antonio Carballo y Ley 1098 de 2006. Con estos cursos se busca fortalecer el conocimiento sobre la función del Estado, del ICBF y del nuevo colaborador como su representante, así como contribuir a la creación de identidad y sentido de pertenencia a través de la comprensión de la importancia del quehacer de la Entidad, e integrarlo al sistema de valores institucionales que caracteriza a las y los colaboradores que trabajan en el Instituto.</w:t>
      </w:r>
    </w:p>
    <w:p w:rsidR="00212EB6" w:rsidRPr="007377BC" w:rsidRDefault="00212EB6" w:rsidP="00212EB6">
      <w:pPr>
        <w:spacing w:after="0" w:line="240" w:lineRule="auto"/>
        <w:jc w:val="both"/>
        <w:rPr>
          <w:rFonts w:eastAsia="Times New Roman" w:cs="Arial"/>
          <w:lang w:val="es-CO" w:eastAsia="es-ES"/>
        </w:rPr>
      </w:pPr>
    </w:p>
    <w:p w:rsidR="00212EB6" w:rsidRDefault="00212EB6" w:rsidP="00212EB6">
      <w:pPr>
        <w:spacing w:after="0" w:line="240" w:lineRule="auto"/>
        <w:jc w:val="both"/>
        <w:rPr>
          <w:rFonts w:eastAsia="Times New Roman" w:cs="Arial"/>
          <w:lang w:val="es-CO" w:eastAsia="es-ES"/>
        </w:rPr>
      </w:pPr>
      <w:r w:rsidRPr="007377BC">
        <w:rPr>
          <w:rFonts w:eastAsia="Times New Roman" w:cs="Arial"/>
          <w:lang w:val="es-CO" w:eastAsia="es-ES"/>
        </w:rPr>
        <w:t>La Reinducción institucional para el año 2016 se diseñó teniendo en cuanta el nuevo Plan Nacional de Desarrollo “Todos por un Nuevo País” y el Plan Indicativo Institucional 2015 – 2018 “Estamos Cambiando el Mundo”, durante la presente vigencia 5.142 colaboradores la realizaron de manera exitosa, para el 2017 se estima que restante número de colaboradores la realicen, de acuerdo a la capacidad de la plataforma electrónica del Instituto.</w:t>
      </w:r>
    </w:p>
    <w:p w:rsidR="00097886" w:rsidRPr="007377BC" w:rsidRDefault="00097886" w:rsidP="00212EB6">
      <w:pPr>
        <w:spacing w:after="0" w:line="240" w:lineRule="auto"/>
        <w:jc w:val="both"/>
        <w:rPr>
          <w:rFonts w:cs="Arial"/>
        </w:rPr>
      </w:pPr>
    </w:p>
    <w:p w:rsidR="00212EB6" w:rsidRPr="007377BC" w:rsidRDefault="00212EB6" w:rsidP="00212EB6">
      <w:pPr>
        <w:spacing w:after="0" w:line="240" w:lineRule="auto"/>
        <w:jc w:val="both"/>
        <w:rPr>
          <w:rFonts w:cs="Arial"/>
        </w:rPr>
      </w:pPr>
    </w:p>
    <w:p w:rsidR="00212EB6" w:rsidRPr="007377BC" w:rsidRDefault="00212EB6" w:rsidP="007342CF">
      <w:pPr>
        <w:pStyle w:val="Ttulo2"/>
        <w:numPr>
          <w:ilvl w:val="1"/>
          <w:numId w:val="243"/>
        </w:numPr>
        <w:spacing w:line="240" w:lineRule="auto"/>
        <w:rPr>
          <w:rFonts w:cs="Arial"/>
          <w:b/>
          <w:szCs w:val="22"/>
        </w:rPr>
      </w:pPr>
      <w:bookmarkStart w:id="249" w:name="_Toc470095203"/>
      <w:bookmarkStart w:id="250" w:name="_Toc473581458"/>
      <w:r w:rsidRPr="007377BC">
        <w:rPr>
          <w:rFonts w:cs="Arial"/>
          <w:b/>
          <w:szCs w:val="22"/>
        </w:rPr>
        <w:t>Plan de bienestar e incentivos</w:t>
      </w:r>
      <w:bookmarkEnd w:id="249"/>
      <w:bookmarkEnd w:id="250"/>
    </w:p>
    <w:p w:rsidR="00212EB6" w:rsidRPr="007377BC" w:rsidRDefault="00212EB6" w:rsidP="00212EB6">
      <w:pPr>
        <w:spacing w:after="0" w:line="240" w:lineRule="auto"/>
        <w:jc w:val="both"/>
        <w:rPr>
          <w:rFonts w:cs="Arial"/>
        </w:rPr>
      </w:pPr>
    </w:p>
    <w:p w:rsidR="00212EB6" w:rsidRPr="007377BC" w:rsidRDefault="00212EB6" w:rsidP="00212EB6">
      <w:pPr>
        <w:pStyle w:val="Textoindependiente"/>
        <w:rPr>
          <w:rFonts w:ascii="Arial" w:hAnsi="Arial" w:cs="Arial"/>
          <w:sz w:val="22"/>
          <w:szCs w:val="22"/>
        </w:rPr>
      </w:pPr>
      <w:r w:rsidRPr="007377BC">
        <w:rPr>
          <w:rFonts w:ascii="Arial" w:hAnsi="Arial" w:cs="Arial"/>
          <w:sz w:val="22"/>
          <w:szCs w:val="22"/>
        </w:rPr>
        <w:t>Las actividades de bienestar tienen como objetivo fomentar el desarrollo humano integral del servidor público, a través del mejoramiento de su nivel de vida individual, social y familiar, lo que contribuye a elevar sus niveles de satisfacción y efectividad en el campo laboral, tal y como lo establece la Ley 909 de 2004 y el Decreto Ley 1227 de 2005.</w:t>
      </w:r>
    </w:p>
    <w:p w:rsidR="00212EB6" w:rsidRPr="007377BC" w:rsidRDefault="00212EB6" w:rsidP="00212EB6">
      <w:pPr>
        <w:pStyle w:val="Textoindependiente"/>
        <w:rPr>
          <w:rFonts w:ascii="Arial" w:hAnsi="Arial" w:cs="Arial"/>
          <w:sz w:val="22"/>
          <w:szCs w:val="22"/>
        </w:rPr>
      </w:pPr>
    </w:p>
    <w:p w:rsidR="00212EB6" w:rsidRPr="007377BC" w:rsidRDefault="00212EB6" w:rsidP="00212EB6">
      <w:pPr>
        <w:pStyle w:val="Textoindependiente"/>
        <w:rPr>
          <w:rFonts w:ascii="Arial" w:hAnsi="Arial" w:cs="Arial"/>
          <w:sz w:val="22"/>
          <w:szCs w:val="22"/>
        </w:rPr>
      </w:pPr>
      <w:r w:rsidRPr="007377BC">
        <w:rPr>
          <w:rFonts w:ascii="Arial" w:hAnsi="Arial" w:cs="Arial"/>
          <w:sz w:val="22"/>
          <w:szCs w:val="22"/>
        </w:rPr>
        <w:t>Dentro del programa de bienestar de 2016 se establecieron tres componentes: i) calidad de vida laboral, ii) protección y servicios sociales y iii) acciones para cambiar el mundo, en donde se encuentran las siguientes actividades para las 33 regionales y la sede de la Dirección General:</w:t>
      </w:r>
    </w:p>
    <w:p w:rsidR="00212EB6" w:rsidRDefault="00DA2ADC" w:rsidP="00212EB6">
      <w:pPr>
        <w:pStyle w:val="Textoindependiente"/>
        <w:jc w:val="center"/>
        <w:rPr>
          <w:rFonts w:ascii="Arial" w:hAnsi="Arial" w:cs="Arial"/>
          <w:b/>
          <w:sz w:val="22"/>
          <w:szCs w:val="22"/>
        </w:rPr>
      </w:pPr>
      <w:r>
        <w:rPr>
          <w:rFonts w:ascii="Arial" w:hAnsi="Arial" w:cs="Arial"/>
          <w:b/>
          <w:sz w:val="22"/>
          <w:szCs w:val="22"/>
        </w:rPr>
        <w:t>Actividades de los componentes del programa de bienestar 2016</w:t>
      </w:r>
    </w:p>
    <w:p w:rsidR="00D70A2A" w:rsidRDefault="00D70A2A" w:rsidP="00212EB6">
      <w:pPr>
        <w:pStyle w:val="Textoindependiente"/>
        <w:jc w:val="center"/>
        <w:rPr>
          <w:rFonts w:ascii="Arial" w:hAnsi="Arial" w:cs="Arial"/>
          <w:b/>
          <w:sz w:val="22"/>
          <w:szCs w:val="22"/>
        </w:rPr>
      </w:pPr>
    </w:p>
    <w:tbl>
      <w:tblPr>
        <w:tblW w:w="9493"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838"/>
        <w:gridCol w:w="3969"/>
        <w:gridCol w:w="3686"/>
      </w:tblGrid>
      <w:tr w:rsidR="00212EB6" w:rsidRPr="007377BC" w:rsidTr="00101548">
        <w:trPr>
          <w:trHeight w:val="600"/>
          <w:tblHeader/>
          <w:jc w:val="center"/>
        </w:trPr>
        <w:tc>
          <w:tcPr>
            <w:tcW w:w="1838" w:type="dxa"/>
            <w:shd w:val="clear" w:color="auto" w:fill="76923C" w:themeFill="accent3" w:themeFillShade="BF"/>
            <w:vAlign w:val="center"/>
            <w:hideMark/>
          </w:tcPr>
          <w:p w:rsidR="00212EB6" w:rsidRPr="00101548" w:rsidRDefault="00101548" w:rsidP="00A27DBD">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Calidad d</w:t>
            </w:r>
            <w:r w:rsidRPr="00101548">
              <w:rPr>
                <w:rFonts w:eastAsia="Times New Roman" w:cs="Arial"/>
                <w:b/>
                <w:bCs/>
                <w:color w:val="FFFFFF" w:themeColor="background1"/>
                <w:sz w:val="18"/>
                <w:szCs w:val="20"/>
                <w:lang w:eastAsia="es-CO"/>
              </w:rPr>
              <w:t>e Vida Laboral</w:t>
            </w:r>
          </w:p>
        </w:tc>
        <w:tc>
          <w:tcPr>
            <w:tcW w:w="3969" w:type="dxa"/>
            <w:shd w:val="clear" w:color="auto" w:fill="76923C" w:themeFill="accent3" w:themeFillShade="BF"/>
            <w:vAlign w:val="center"/>
            <w:hideMark/>
          </w:tcPr>
          <w:p w:rsidR="00212EB6" w:rsidRPr="00101548" w:rsidRDefault="00101548" w:rsidP="00A27DBD">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Protección y</w:t>
            </w:r>
            <w:r w:rsidRPr="00101548">
              <w:rPr>
                <w:rFonts w:eastAsia="Times New Roman" w:cs="Arial"/>
                <w:b/>
                <w:bCs/>
                <w:color w:val="FFFFFF" w:themeColor="background1"/>
                <w:sz w:val="18"/>
                <w:szCs w:val="20"/>
                <w:lang w:eastAsia="es-CO"/>
              </w:rPr>
              <w:t xml:space="preserve"> Servicios Sociales</w:t>
            </w:r>
          </w:p>
        </w:tc>
        <w:tc>
          <w:tcPr>
            <w:tcW w:w="3686" w:type="dxa"/>
            <w:shd w:val="clear" w:color="auto" w:fill="76923C" w:themeFill="accent3" w:themeFillShade="BF"/>
            <w:vAlign w:val="center"/>
            <w:hideMark/>
          </w:tcPr>
          <w:p w:rsidR="00212EB6" w:rsidRPr="00101548" w:rsidRDefault="00101548" w:rsidP="00101548">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eastAsia="es-CO"/>
              </w:rPr>
              <w:t>Acciones p</w:t>
            </w:r>
            <w:r w:rsidRPr="00101548">
              <w:rPr>
                <w:rFonts w:eastAsia="Times New Roman" w:cs="Arial"/>
                <w:b/>
                <w:bCs/>
                <w:color w:val="FFFFFF" w:themeColor="background1"/>
                <w:sz w:val="18"/>
                <w:szCs w:val="20"/>
                <w:lang w:eastAsia="es-CO"/>
              </w:rPr>
              <w:t xml:space="preserve">ara Cambiar </w:t>
            </w:r>
            <w:r>
              <w:rPr>
                <w:rFonts w:eastAsia="Times New Roman" w:cs="Arial"/>
                <w:b/>
                <w:bCs/>
                <w:color w:val="FFFFFF" w:themeColor="background1"/>
                <w:sz w:val="18"/>
                <w:szCs w:val="20"/>
                <w:lang w:eastAsia="es-CO"/>
              </w:rPr>
              <w:t>e</w:t>
            </w:r>
            <w:r w:rsidRPr="00101548">
              <w:rPr>
                <w:rFonts w:eastAsia="Times New Roman" w:cs="Arial"/>
                <w:b/>
                <w:bCs/>
                <w:color w:val="FFFFFF" w:themeColor="background1"/>
                <w:sz w:val="18"/>
                <w:szCs w:val="20"/>
                <w:lang w:eastAsia="es-CO"/>
              </w:rPr>
              <w:t>l Mundo</w:t>
            </w:r>
          </w:p>
        </w:tc>
      </w:tr>
      <w:tr w:rsidR="00212EB6" w:rsidRPr="007377BC" w:rsidTr="00101548">
        <w:trPr>
          <w:trHeight w:val="60"/>
          <w:jc w:val="center"/>
        </w:trPr>
        <w:tc>
          <w:tcPr>
            <w:tcW w:w="1838" w:type="dxa"/>
            <w:vMerge w:val="restart"/>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Medición de clima laboral</w:t>
            </w:r>
          </w:p>
        </w:tc>
        <w:tc>
          <w:tcPr>
            <w:tcW w:w="3969"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deportivas</w:t>
            </w: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Quiero conocer tu mundo</w:t>
            </w:r>
          </w:p>
        </w:tc>
      </w:tr>
      <w:tr w:rsidR="00212EB6" w:rsidRPr="007377BC" w:rsidTr="00101548">
        <w:trPr>
          <w:trHeight w:val="60"/>
          <w:jc w:val="center"/>
        </w:trPr>
        <w:tc>
          <w:tcPr>
            <w:tcW w:w="1838" w:type="dxa"/>
            <w:vMerge/>
            <w:vAlign w:val="center"/>
            <w:hideMark/>
          </w:tcPr>
          <w:p w:rsidR="00212EB6" w:rsidRPr="00E07128" w:rsidRDefault="00212EB6" w:rsidP="00A27DBD">
            <w:pPr>
              <w:spacing w:after="0" w:line="240" w:lineRule="auto"/>
              <w:jc w:val="center"/>
              <w:rPr>
                <w:rFonts w:eastAsia="Times New Roman" w:cs="Arial"/>
                <w:sz w:val="18"/>
                <w:szCs w:val="20"/>
                <w:lang w:val="es-CO" w:eastAsia="es-CO"/>
              </w:rPr>
            </w:pPr>
          </w:p>
        </w:tc>
        <w:tc>
          <w:tcPr>
            <w:tcW w:w="3969"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recreativas y vacacionales</w:t>
            </w: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Buzón de sugerencias</w:t>
            </w:r>
          </w:p>
        </w:tc>
      </w:tr>
      <w:tr w:rsidR="00212EB6" w:rsidRPr="007377BC" w:rsidTr="00101548">
        <w:trPr>
          <w:trHeight w:val="60"/>
          <w:jc w:val="center"/>
        </w:trPr>
        <w:tc>
          <w:tcPr>
            <w:tcW w:w="1838" w:type="dxa"/>
            <w:vAlign w:val="center"/>
            <w:hideMark/>
          </w:tcPr>
          <w:p w:rsidR="00212EB6" w:rsidRPr="00E07128" w:rsidRDefault="00212EB6" w:rsidP="00A27DBD">
            <w:pPr>
              <w:spacing w:after="0" w:line="240" w:lineRule="auto"/>
              <w:jc w:val="center"/>
              <w:rPr>
                <w:rFonts w:eastAsia="Times New Roman" w:cs="Arial"/>
                <w:sz w:val="18"/>
                <w:szCs w:val="20"/>
                <w:lang w:val="es-CO" w:eastAsia="es-CO"/>
              </w:rPr>
            </w:pPr>
          </w:p>
        </w:tc>
        <w:tc>
          <w:tcPr>
            <w:tcW w:w="3969"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Actividades culturales y artísticas</w:t>
            </w: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Tardes de viernes</w:t>
            </w:r>
          </w:p>
        </w:tc>
      </w:tr>
      <w:tr w:rsidR="00212EB6" w:rsidRPr="007377BC" w:rsidTr="00101548">
        <w:trPr>
          <w:trHeight w:val="60"/>
          <w:jc w:val="center"/>
        </w:trPr>
        <w:tc>
          <w:tcPr>
            <w:tcW w:w="1838" w:type="dxa"/>
            <w:vMerge w:val="restart"/>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Día Nacional del Servidor Público</w:t>
            </w:r>
          </w:p>
        </w:tc>
        <w:tc>
          <w:tcPr>
            <w:tcW w:w="3969" w:type="dxa"/>
            <w:vMerge w:val="restart"/>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Capacitaciones informarles “talleres de manualidades”</w:t>
            </w: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Talleres para Servidores Públicos y Familias</w:t>
            </w:r>
          </w:p>
        </w:tc>
      </w:tr>
      <w:tr w:rsidR="00212EB6" w:rsidRPr="007377BC" w:rsidTr="00101548">
        <w:trPr>
          <w:trHeight w:val="60"/>
          <w:jc w:val="center"/>
        </w:trPr>
        <w:tc>
          <w:tcPr>
            <w:tcW w:w="1838" w:type="dxa"/>
            <w:vMerge/>
            <w:vAlign w:val="center"/>
            <w:hideMark/>
          </w:tcPr>
          <w:p w:rsidR="00212EB6" w:rsidRPr="00E07128" w:rsidRDefault="00212EB6" w:rsidP="00A27DBD">
            <w:pPr>
              <w:spacing w:after="0" w:line="240" w:lineRule="auto"/>
              <w:jc w:val="center"/>
              <w:rPr>
                <w:rFonts w:eastAsia="Times New Roman" w:cs="Arial"/>
                <w:sz w:val="18"/>
                <w:szCs w:val="20"/>
                <w:lang w:val="es-CO" w:eastAsia="es-CO"/>
              </w:rPr>
            </w:pPr>
          </w:p>
        </w:tc>
        <w:tc>
          <w:tcPr>
            <w:tcW w:w="3969" w:type="dxa"/>
            <w:vMerge/>
            <w:vAlign w:val="center"/>
            <w:hideMark/>
          </w:tcPr>
          <w:p w:rsidR="00212EB6" w:rsidRPr="00E07128" w:rsidRDefault="00212EB6" w:rsidP="00A27DBD">
            <w:pPr>
              <w:spacing w:after="0" w:line="240" w:lineRule="auto"/>
              <w:jc w:val="center"/>
              <w:rPr>
                <w:rFonts w:eastAsia="Times New Roman" w:cs="Arial"/>
                <w:sz w:val="18"/>
                <w:szCs w:val="20"/>
                <w:lang w:val="es-CO" w:eastAsia="es-CO"/>
              </w:rPr>
            </w:pP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Vivamos la misión ICBF</w:t>
            </w:r>
          </w:p>
        </w:tc>
      </w:tr>
      <w:tr w:rsidR="00212EB6" w:rsidRPr="007377BC" w:rsidTr="00101548">
        <w:trPr>
          <w:trHeight w:val="60"/>
          <w:jc w:val="center"/>
        </w:trPr>
        <w:tc>
          <w:tcPr>
            <w:tcW w:w="1838"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Pre pensionados</w:t>
            </w:r>
          </w:p>
        </w:tc>
        <w:tc>
          <w:tcPr>
            <w:tcW w:w="3969"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Promoción y prevención de la salud “semana de la salud”</w:t>
            </w:r>
          </w:p>
        </w:tc>
        <w:tc>
          <w:tcPr>
            <w:tcW w:w="3686" w:type="dxa"/>
            <w:shd w:val="clear" w:color="auto" w:fill="auto"/>
            <w:vAlign w:val="center"/>
            <w:hideMark/>
          </w:tcPr>
          <w:p w:rsidR="00212EB6" w:rsidRPr="00E07128" w:rsidRDefault="00212EB6" w:rsidP="00A27DBD">
            <w:pPr>
              <w:spacing w:after="0" w:line="240" w:lineRule="auto"/>
              <w:jc w:val="center"/>
              <w:rPr>
                <w:rFonts w:eastAsia="Times New Roman" w:cs="Arial"/>
                <w:sz w:val="18"/>
                <w:szCs w:val="20"/>
                <w:lang w:val="es-CO" w:eastAsia="es-CO"/>
              </w:rPr>
            </w:pPr>
            <w:r w:rsidRPr="00E07128">
              <w:rPr>
                <w:rFonts w:eastAsia="Times New Roman" w:cs="Arial"/>
                <w:sz w:val="18"/>
                <w:szCs w:val="20"/>
                <w:lang w:eastAsia="es-CO"/>
              </w:rPr>
              <w:t>Campaña del buen trato</w:t>
            </w:r>
          </w:p>
        </w:tc>
      </w:tr>
      <w:tr w:rsidR="00DE1D2B" w:rsidRPr="007E1A7A" w:rsidTr="00101548">
        <w:trPr>
          <w:trHeight w:val="60"/>
          <w:jc w:val="center"/>
        </w:trPr>
        <w:tc>
          <w:tcPr>
            <w:tcW w:w="1838" w:type="dxa"/>
            <w:shd w:val="clear" w:color="auto" w:fill="auto"/>
            <w:vAlign w:val="center"/>
          </w:tcPr>
          <w:p w:rsidR="00DE1D2B" w:rsidRPr="00E07128" w:rsidRDefault="00DE1D2B" w:rsidP="00A27DBD">
            <w:pPr>
              <w:spacing w:after="0" w:line="240" w:lineRule="auto"/>
              <w:jc w:val="center"/>
              <w:rPr>
                <w:rFonts w:eastAsia="Times New Roman" w:cs="Arial"/>
                <w:sz w:val="18"/>
                <w:szCs w:val="20"/>
                <w:lang w:eastAsia="es-CO"/>
              </w:rPr>
            </w:pPr>
          </w:p>
        </w:tc>
        <w:tc>
          <w:tcPr>
            <w:tcW w:w="3969" w:type="dxa"/>
            <w:shd w:val="clear" w:color="auto" w:fill="auto"/>
            <w:vAlign w:val="center"/>
          </w:tcPr>
          <w:p w:rsidR="00DE1D2B" w:rsidRPr="00E07128" w:rsidRDefault="00DE1D2B" w:rsidP="00A27DBD">
            <w:pPr>
              <w:spacing w:after="0" w:line="240" w:lineRule="auto"/>
              <w:jc w:val="center"/>
              <w:rPr>
                <w:rFonts w:eastAsia="Times New Roman" w:cs="Arial"/>
                <w:sz w:val="18"/>
                <w:szCs w:val="20"/>
                <w:lang w:eastAsia="es-CO"/>
              </w:rPr>
            </w:pPr>
          </w:p>
        </w:tc>
        <w:tc>
          <w:tcPr>
            <w:tcW w:w="3686" w:type="dxa"/>
            <w:shd w:val="clear" w:color="auto" w:fill="auto"/>
            <w:vAlign w:val="center"/>
          </w:tcPr>
          <w:p w:rsidR="00DE1D2B" w:rsidRPr="00E07128" w:rsidRDefault="00DE1D2B" w:rsidP="00A27DBD">
            <w:pPr>
              <w:spacing w:after="0" w:line="240" w:lineRule="auto"/>
              <w:jc w:val="center"/>
              <w:rPr>
                <w:rFonts w:eastAsia="Times New Roman" w:cs="Arial"/>
                <w:sz w:val="18"/>
                <w:szCs w:val="20"/>
                <w:lang w:eastAsia="es-CO"/>
              </w:rPr>
            </w:pPr>
            <w:r>
              <w:rPr>
                <w:rFonts w:eastAsia="Times New Roman" w:cs="Arial"/>
                <w:sz w:val="18"/>
                <w:szCs w:val="20"/>
                <w:lang w:eastAsia="es-CO"/>
              </w:rPr>
              <w:t>Olimpiadas del saber</w:t>
            </w:r>
          </w:p>
        </w:tc>
      </w:tr>
    </w:tbl>
    <w:p w:rsidR="00212EB6" w:rsidRPr="00E07128" w:rsidRDefault="00212EB6" w:rsidP="00E07128">
      <w:pPr>
        <w:spacing w:after="0" w:line="240" w:lineRule="auto"/>
        <w:rPr>
          <w:rFonts w:cs="Arial"/>
          <w:spacing w:val="-4"/>
          <w:sz w:val="16"/>
          <w:szCs w:val="20"/>
          <w:lang w:eastAsia="es-CO"/>
        </w:rPr>
      </w:pPr>
      <w:r w:rsidRPr="00101548">
        <w:rPr>
          <w:rFonts w:cs="Arial"/>
          <w:b/>
          <w:spacing w:val="-4"/>
          <w:sz w:val="16"/>
          <w:szCs w:val="20"/>
          <w:lang w:eastAsia="es-CO"/>
        </w:rPr>
        <w:t>Fuente:</w:t>
      </w:r>
      <w:r w:rsidRPr="00E07128">
        <w:rPr>
          <w:rFonts w:cs="Arial"/>
          <w:spacing w:val="-4"/>
          <w:sz w:val="16"/>
          <w:szCs w:val="20"/>
          <w:lang w:eastAsia="es-CO"/>
        </w:rPr>
        <w:t xml:space="preserve"> Grupo de Desarrollo del Talento Humano</w:t>
      </w:r>
    </w:p>
    <w:p w:rsidR="00212EB6" w:rsidRPr="007377BC" w:rsidRDefault="00212EB6" w:rsidP="00212EB6">
      <w:pPr>
        <w:pStyle w:val="Textoindependiente"/>
        <w:rPr>
          <w:rFonts w:ascii="Arial" w:hAnsi="Arial" w:cs="Arial"/>
          <w:sz w:val="22"/>
          <w:szCs w:val="22"/>
        </w:rPr>
      </w:pPr>
    </w:p>
    <w:p w:rsidR="00212EB6" w:rsidRPr="007377BC" w:rsidRDefault="00212EB6" w:rsidP="00212EB6">
      <w:pPr>
        <w:pStyle w:val="Prrafodelista"/>
        <w:spacing w:after="0" w:line="240" w:lineRule="auto"/>
        <w:ind w:left="0"/>
        <w:jc w:val="both"/>
        <w:rPr>
          <w:rFonts w:eastAsia="Times New Roman" w:cs="Arial"/>
          <w:lang w:val="es-CO" w:eastAsia="es-ES"/>
        </w:rPr>
      </w:pPr>
      <w:r w:rsidRPr="007377BC">
        <w:rPr>
          <w:rFonts w:cs="Arial"/>
        </w:rPr>
        <w:t>La ejecución del Plan de Bienestar implicó:</w:t>
      </w:r>
      <w:r w:rsidRPr="007377BC">
        <w:rPr>
          <w:rFonts w:eastAsia="Times New Roman" w:cs="Arial"/>
          <w:lang w:val="es-CO" w:eastAsia="es-ES"/>
        </w:rPr>
        <w:t xml:space="preserve"> i) elaboración de encuesta sociodemográfica para aplicar a los Servidores Públicos del ICBF, con el fin de conocer la población objetivo a las que se enfocarán las actividades del Plan; ii) elaboración del programa de bienestar del nivel nacional, el cual fue adoptado bajo la Resolución 1756 de 2016; iii) elaboración por parte de cada regional y la Sede de la Dirección General elaboró de su plan de bienestar, los cuales fueron aprobados en febrero de 2016 y se encuentran en el enlace: </w:t>
      </w:r>
      <w:hyperlink r:id="rId58" w:history="1">
        <w:r w:rsidRPr="007377BC">
          <w:rPr>
            <w:rStyle w:val="Hipervnculo"/>
            <w:rFonts w:eastAsia="Times New Roman" w:cs="Arial"/>
            <w:color w:val="auto"/>
            <w:lang w:eastAsia="es-ES"/>
          </w:rPr>
          <w:t>http://www.icbf.gov.co/portal/page/portal/IntranetICBF/organigrama/SecretariaGeneral/GestionHumana/Bienestar%20Social</w:t>
        </w:r>
      </w:hyperlink>
      <w:r w:rsidRPr="007377BC">
        <w:rPr>
          <w:rStyle w:val="Hipervnculo"/>
          <w:rFonts w:eastAsia="Times New Roman" w:cs="Arial"/>
          <w:color w:val="auto"/>
          <w:u w:val="none"/>
          <w:lang w:eastAsia="es-ES"/>
        </w:rPr>
        <w:t>;</w:t>
      </w:r>
      <w:r w:rsidRPr="007377BC">
        <w:rPr>
          <w:rFonts w:cs="Arial"/>
          <w:lang w:val="es-CO"/>
        </w:rPr>
        <w:t xml:space="preserve"> </w:t>
      </w:r>
      <w:r w:rsidRPr="007377BC">
        <w:rPr>
          <w:rFonts w:eastAsia="Times New Roman" w:cs="Arial"/>
          <w:lang w:val="es-CO" w:eastAsia="es-ES"/>
        </w:rPr>
        <w:t xml:space="preserve">iv) </w:t>
      </w:r>
      <w:r w:rsidRPr="007377BC">
        <w:rPr>
          <w:rFonts w:cs="Arial"/>
          <w:lang w:val="es-MX"/>
        </w:rPr>
        <w:t>adopción del Código de Ética y Buen Gobierno mediante Acuerdo 005 de 2016; v) adopción del Plan de Incentivos</w:t>
      </w:r>
      <w:r w:rsidRPr="007377BC">
        <w:rPr>
          <w:rStyle w:val="Refdenotaalpie"/>
          <w:rFonts w:cs="Arial"/>
          <w:lang w:val="es-MX"/>
        </w:rPr>
        <w:footnoteReference w:id="42"/>
      </w:r>
      <w:r w:rsidRPr="007377BC">
        <w:rPr>
          <w:rFonts w:cs="Arial"/>
          <w:lang w:val="es-MX"/>
        </w:rPr>
        <w:t xml:space="preserve"> mediante la Resolución 2545 de 2016; vi) aplicación de la encuesta </w:t>
      </w:r>
      <w:r w:rsidRPr="007377BC">
        <w:rPr>
          <w:rFonts w:eastAsia="Times New Roman" w:cs="Arial"/>
          <w:lang w:val="es-CO" w:eastAsia="es-ES"/>
        </w:rPr>
        <w:t>de diagnóstico de necesidades para establecer las actividades a ejecutarse dentro del programa de Bienestar para la vigencia 2017 y vii) Implementación de la Guía de manejo de conflicto de intereses.</w:t>
      </w:r>
    </w:p>
    <w:p w:rsidR="00212EB6" w:rsidRPr="007377BC" w:rsidRDefault="00212EB6" w:rsidP="00212EB6">
      <w:pPr>
        <w:pStyle w:val="Textoindependiente"/>
        <w:rPr>
          <w:rFonts w:ascii="Arial" w:hAnsi="Arial" w:cs="Arial"/>
          <w:sz w:val="22"/>
          <w:szCs w:val="22"/>
        </w:rPr>
      </w:pPr>
    </w:p>
    <w:p w:rsidR="00212EB6" w:rsidRPr="007377BC" w:rsidRDefault="00212EB6" w:rsidP="00212EB6">
      <w:pPr>
        <w:spacing w:line="240" w:lineRule="auto"/>
        <w:jc w:val="both"/>
        <w:rPr>
          <w:rFonts w:cs="Arial"/>
        </w:rPr>
      </w:pPr>
      <w:r w:rsidRPr="007377BC">
        <w:rPr>
          <w:rFonts w:cs="Arial"/>
        </w:rPr>
        <w:t xml:space="preserve">Las actividades ejecutadas que se destacaron de los planes de bienestar se describen a continuación: </w:t>
      </w:r>
    </w:p>
    <w:p w:rsidR="00212EB6" w:rsidRPr="007377BC" w:rsidRDefault="00212EB6" w:rsidP="00D712DC">
      <w:pPr>
        <w:pStyle w:val="Prrafodelista"/>
        <w:numPr>
          <w:ilvl w:val="0"/>
          <w:numId w:val="47"/>
        </w:numPr>
        <w:spacing w:line="240" w:lineRule="auto"/>
        <w:ind w:left="284" w:hanging="284"/>
        <w:jc w:val="both"/>
        <w:rPr>
          <w:rFonts w:cs="Arial"/>
        </w:rPr>
      </w:pPr>
      <w:r w:rsidRPr="007377BC">
        <w:rPr>
          <w:rFonts w:cs="Arial"/>
          <w:u w:val="single"/>
        </w:rPr>
        <w:t>Apoyo escolar a nivel nacional</w:t>
      </w:r>
      <w:r w:rsidRPr="007377BC">
        <w:rPr>
          <w:rFonts w:cs="Arial"/>
        </w:rPr>
        <w:t>: Con el fin de contribuir al mejoramiento del nivel educativo de los hijos y las hijas de las y los servidores públicos</w:t>
      </w:r>
      <w:r w:rsidRPr="007377BC">
        <w:rPr>
          <w:rStyle w:val="Refdenotaalpie"/>
          <w:rFonts w:cs="Arial"/>
        </w:rPr>
        <w:footnoteReference w:id="43"/>
      </w:r>
      <w:r w:rsidRPr="007377BC">
        <w:rPr>
          <w:rFonts w:cs="Arial"/>
        </w:rPr>
        <w:t xml:space="preserve"> del ICBF, para el 2016 se incrementó el valor del Apoyo Escolar en un </w:t>
      </w:r>
      <w:r w:rsidRPr="007377BC">
        <w:rPr>
          <w:rFonts w:cs="Arial"/>
          <w:b/>
        </w:rPr>
        <w:t>6,77%</w:t>
      </w:r>
      <w:r w:rsidRPr="007377BC">
        <w:rPr>
          <w:rFonts w:cs="Arial"/>
        </w:rPr>
        <w:t xml:space="preserve">, lo que representa un valor de </w:t>
      </w:r>
      <w:r w:rsidRPr="007377BC">
        <w:rPr>
          <w:rFonts w:cs="Arial"/>
          <w:b/>
        </w:rPr>
        <w:t>$115.462</w:t>
      </w:r>
      <w:r w:rsidRPr="007377BC">
        <w:rPr>
          <w:rFonts w:cs="Arial"/>
        </w:rPr>
        <w:t xml:space="preserve"> por hijo (máximo dos). Este beneficio fue entregado a 2.642 hijas e hijos de servidores públicos del Instituto por medio de dos convocatorias realizadas en los órdenes regional y nacional: la primera se realizó en abril y su pago se efectuó en la nómina de mayo por un valor de </w:t>
      </w:r>
      <w:r w:rsidRPr="007377BC">
        <w:rPr>
          <w:rFonts w:cs="Arial"/>
          <w:b/>
        </w:rPr>
        <w:t>$247.319.604</w:t>
      </w:r>
      <w:r w:rsidRPr="007377BC">
        <w:rPr>
          <w:rFonts w:cs="Arial"/>
        </w:rPr>
        <w:t xml:space="preserve">; la segunda se realizó en agosto y su pago se efectuó en la nómina de septiembre por un valor de </w:t>
      </w:r>
      <w:r w:rsidRPr="007377BC">
        <w:rPr>
          <w:rFonts w:cs="Arial"/>
          <w:b/>
        </w:rPr>
        <w:t>$57.731.000</w:t>
      </w:r>
      <w:r w:rsidRPr="007377BC">
        <w:rPr>
          <w:rFonts w:cs="Arial"/>
        </w:rPr>
        <w:t xml:space="preserve">, todo lo cual representó </w:t>
      </w:r>
      <w:r w:rsidRPr="007377BC">
        <w:rPr>
          <w:rFonts w:cs="Arial"/>
          <w:b/>
        </w:rPr>
        <w:t>$305.050.604</w:t>
      </w:r>
      <w:r w:rsidRPr="007377BC">
        <w:rPr>
          <w:rFonts w:cs="Arial"/>
        </w:rPr>
        <w:t>.</w:t>
      </w:r>
    </w:p>
    <w:p w:rsidR="00212EB6" w:rsidRPr="007377BC" w:rsidRDefault="00212EB6" w:rsidP="00D712DC">
      <w:pPr>
        <w:pStyle w:val="Textoindependiente"/>
        <w:numPr>
          <w:ilvl w:val="0"/>
          <w:numId w:val="48"/>
        </w:numPr>
        <w:rPr>
          <w:rFonts w:ascii="Arial" w:hAnsi="Arial" w:cs="Arial"/>
          <w:sz w:val="22"/>
          <w:szCs w:val="22"/>
          <w:u w:val="single"/>
        </w:rPr>
      </w:pPr>
      <w:r w:rsidRPr="007377BC">
        <w:rPr>
          <w:rFonts w:ascii="Arial" w:hAnsi="Arial" w:cs="Arial"/>
          <w:sz w:val="22"/>
          <w:szCs w:val="22"/>
          <w:u w:val="single"/>
        </w:rPr>
        <w:t>Entrega de bonos de integración</w:t>
      </w:r>
      <w:r w:rsidRPr="007377BC">
        <w:rPr>
          <w:rFonts w:ascii="Arial" w:hAnsi="Arial" w:cs="Arial"/>
          <w:sz w:val="22"/>
          <w:szCs w:val="22"/>
        </w:rPr>
        <w:t xml:space="preserve">: en el marco de los compromisos adquiridos con el acuerdo colectivo realizado entre el ICBF y SINTRABIENESTAR, entre el 5 de mayo de 2015 y el 4 de mayo de 2017 se hace entrega de un bono intercambiable a las y los servidores públicos. Para 2016, este beneficio ascendió a $851.927.397 y se distribuyó de la siguiente manera: i) servidores con hijos e hijas entre los cero y 18 años reciben un bono de $138.441 pesos por cada hijo. ii) servidores públicos que no tienen hijos en este rango de edad, se les entrega bono de $110.720 por cada uno. </w:t>
      </w:r>
    </w:p>
    <w:p w:rsidR="00212EB6" w:rsidRPr="007377BC" w:rsidRDefault="00212EB6" w:rsidP="00212EB6">
      <w:pPr>
        <w:pStyle w:val="Textoindependiente"/>
        <w:rPr>
          <w:rFonts w:ascii="Arial" w:hAnsi="Arial" w:cs="Arial"/>
          <w:sz w:val="22"/>
          <w:szCs w:val="22"/>
        </w:rPr>
      </w:pPr>
    </w:p>
    <w:p w:rsidR="00212EB6" w:rsidRPr="007377BC" w:rsidRDefault="00212EB6" w:rsidP="00D712DC">
      <w:pPr>
        <w:pStyle w:val="Textoindependiente"/>
        <w:numPr>
          <w:ilvl w:val="0"/>
          <w:numId w:val="48"/>
        </w:numPr>
        <w:rPr>
          <w:rFonts w:ascii="Arial" w:hAnsi="Arial" w:cs="Arial"/>
          <w:sz w:val="22"/>
          <w:szCs w:val="22"/>
        </w:rPr>
      </w:pPr>
      <w:r w:rsidRPr="007377BC">
        <w:rPr>
          <w:rFonts w:ascii="Arial" w:hAnsi="Arial" w:cs="Arial"/>
          <w:sz w:val="22"/>
          <w:szCs w:val="22"/>
          <w:u w:val="single"/>
        </w:rPr>
        <w:t xml:space="preserve">Programa de bienestar – Salarios Emocionales: </w:t>
      </w:r>
      <w:r w:rsidRPr="007377BC">
        <w:rPr>
          <w:rFonts w:ascii="Arial" w:hAnsi="Arial" w:cs="Arial"/>
          <w:sz w:val="22"/>
          <w:szCs w:val="22"/>
        </w:rPr>
        <w:t>Esta línea de acción inició su implementación mediante la Resolución 7599 de 2016, la cual modifica la Resolución 1756 de 2016, por la cual se adopta el programa de bienestar social del ICBF, esto  consiste en proporcionar a los colaboradores beneficios con los cuales puedan cubrir necesidades personales, familiares y profesionales que conlleven a elevar los niveles de satisfacción, efectividad, identificación con el instituto y al mejoramiento del clima laboral, para lo cual se otorga un día de permiso remunerado el día del cumpleaños del servidor.</w:t>
      </w:r>
    </w:p>
    <w:p w:rsidR="00212EB6" w:rsidRPr="007377BC" w:rsidRDefault="00212EB6" w:rsidP="00212EB6">
      <w:pPr>
        <w:pStyle w:val="Textoindependiente"/>
        <w:rPr>
          <w:rFonts w:ascii="Arial" w:hAnsi="Arial" w:cs="Arial"/>
          <w:sz w:val="22"/>
          <w:szCs w:val="22"/>
        </w:rPr>
      </w:pPr>
    </w:p>
    <w:p w:rsidR="00212EB6" w:rsidRPr="007377BC" w:rsidRDefault="00212EB6" w:rsidP="00D712DC">
      <w:pPr>
        <w:pStyle w:val="Prrafodelista"/>
        <w:numPr>
          <w:ilvl w:val="0"/>
          <w:numId w:val="47"/>
        </w:numPr>
        <w:shd w:val="clear" w:color="auto" w:fill="FFFFFF"/>
        <w:spacing w:line="240" w:lineRule="auto"/>
        <w:ind w:left="284" w:hanging="284"/>
        <w:jc w:val="both"/>
        <w:rPr>
          <w:rFonts w:cs="Arial"/>
          <w:lang w:val="es-MX"/>
        </w:rPr>
      </w:pPr>
      <w:r w:rsidRPr="007377BC">
        <w:rPr>
          <w:rFonts w:cs="Arial"/>
          <w:u w:val="single"/>
          <w:lang w:val="es-MX"/>
        </w:rPr>
        <w:t>Alianzas Sede de la Dirección General:</w:t>
      </w:r>
      <w:r w:rsidRPr="007377BC">
        <w:rPr>
          <w:rFonts w:cs="Arial"/>
          <w:lang w:val="es-MX"/>
        </w:rPr>
        <w:t xml:space="preserve"> Durante 2016 se realizó contacto con distintas empresas para emprender alianzas que generen descuentos o valor agregado a los servicios suministrados para las y los colaboradores del ICBF en la Sede General. De estas gestiones se logró lo siguiente:</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15% de descuento en productos Ana María.</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20% de descuento en Delyvery Center.</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5% de descuento en One Vacation.</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50% de descuento en Mundo Aventura.</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Surtimax: Productos de la canasta familiar bajo la temática todo a $1.000.</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Price Smart: Adjudicación de membresía y entrega de obsequio por la afiliación.</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Agua y Verde: 10% de descuento en caminatas ecológicas.</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Andrés López: Descuento en la boletería (promoción 2 X 1).</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Continautos: Descuentos en los valores de los vehículos.</w:t>
      </w:r>
    </w:p>
    <w:p w:rsidR="00212EB6" w:rsidRPr="007377BC" w:rsidRDefault="00212EB6" w:rsidP="00D712DC">
      <w:pPr>
        <w:numPr>
          <w:ilvl w:val="0"/>
          <w:numId w:val="49"/>
        </w:numPr>
        <w:spacing w:line="240" w:lineRule="auto"/>
        <w:contextualSpacing/>
        <w:rPr>
          <w:rFonts w:cs="Arial"/>
          <w:lang w:val="es-MX"/>
        </w:rPr>
      </w:pPr>
      <w:r w:rsidRPr="007377BC">
        <w:rPr>
          <w:rFonts w:cs="Arial"/>
          <w:lang w:val="es-MX"/>
        </w:rPr>
        <w:t>20% y 30% de descuento en obras de teatro en el Teatro Nacional.</w:t>
      </w:r>
    </w:p>
    <w:p w:rsidR="00212EB6" w:rsidRPr="007377BC" w:rsidRDefault="00212EB6" w:rsidP="00212EB6">
      <w:pPr>
        <w:spacing w:line="240" w:lineRule="auto"/>
        <w:ind w:left="284"/>
        <w:contextualSpacing/>
        <w:rPr>
          <w:rFonts w:cs="Arial"/>
          <w:lang w:val="es-MX"/>
        </w:rPr>
      </w:pPr>
    </w:p>
    <w:p w:rsidR="007D578F" w:rsidRPr="007D578F" w:rsidRDefault="007D578F" w:rsidP="007D578F">
      <w:pPr>
        <w:spacing w:line="240" w:lineRule="auto"/>
        <w:jc w:val="both"/>
        <w:rPr>
          <w:rFonts w:cs="Arial"/>
          <w:b/>
        </w:rPr>
      </w:pPr>
      <w:r w:rsidRPr="007D578F">
        <w:rPr>
          <w:rFonts w:cs="Arial"/>
          <w:lang w:val="es-MX"/>
        </w:rPr>
        <w:t>El presupuesto del Plan de Bienestar de las 33 Regionales y la Sede de la Dirección General de 2016 fue de $</w:t>
      </w:r>
      <w:r w:rsidRPr="007D578F">
        <w:rPr>
          <w:rFonts w:cs="Arial"/>
          <w:b/>
          <w:lang w:val="es-MX"/>
        </w:rPr>
        <w:t>4.775.805.206</w:t>
      </w:r>
      <w:r w:rsidRPr="007D578F">
        <w:rPr>
          <w:rFonts w:cs="Arial"/>
        </w:rPr>
        <w:t xml:space="preserve">, el </w:t>
      </w:r>
      <w:r w:rsidRPr="007D578F">
        <w:rPr>
          <w:rFonts w:cs="Arial"/>
          <w:lang w:val="es-MX"/>
        </w:rPr>
        <w:t>cual ha permitido tener una cobertura del 98,55% de servidores que han participado en actividades de bienestar, lo que se traduce en 6.523 personas en todo el país a diciembre de 2016, quienes han asignado un 95% de satisfacción frente a las actividades realizadas.</w:t>
      </w:r>
    </w:p>
    <w:p w:rsidR="00212EB6" w:rsidRPr="007377BC" w:rsidRDefault="00212EB6" w:rsidP="00D712DC">
      <w:pPr>
        <w:pStyle w:val="Prrafodelista"/>
        <w:numPr>
          <w:ilvl w:val="0"/>
          <w:numId w:val="108"/>
        </w:numPr>
        <w:spacing w:line="240" w:lineRule="auto"/>
        <w:jc w:val="both"/>
        <w:rPr>
          <w:rFonts w:cs="Arial"/>
          <w:lang w:val="es-MX"/>
        </w:rPr>
      </w:pPr>
      <w:r w:rsidRPr="007377BC">
        <w:rPr>
          <w:rFonts w:cs="Arial"/>
          <w:u w:val="single"/>
        </w:rPr>
        <w:t>Exámenes médicos ejecutivos:</w:t>
      </w:r>
      <w:r w:rsidRPr="007377BC">
        <w:rPr>
          <w:rFonts w:cs="Arial"/>
          <w:b/>
        </w:rPr>
        <w:t xml:space="preserve"> </w:t>
      </w:r>
      <w:r w:rsidRPr="007377BC">
        <w:rPr>
          <w:rFonts w:cs="Arial"/>
          <w:lang w:val="es-MX"/>
        </w:rPr>
        <w:t>Como parte del componente de Protección y Servicios Sociales, en el Subprograma de Promoción y Prevención de la Salud, se gestionó con la ARL Positiva la realización de exámenes médicos ejecutivos a los 41 Directores de la Sede de la Dirección General, con el fin de monitorear de forma temprana los factores de riesgo ocupacional a los cuales se encuentran expuestos, quienes por la naturaleza y nivel de responsabilidad propios de su cargo, se encuentran en un grupo de mayor riesgo por los altos niveles de estrés y presión, lo que conlleva a una mayor probabilidad de sufrir patologías mentales, cardiovasculares y otros trastornos asociados al estrés descritos en la tabla de enfermedades laborales expedida por el Ministerio del Trabajo (Decreto 1477 de 2014).</w:t>
      </w:r>
    </w:p>
    <w:p w:rsidR="00212EB6" w:rsidRPr="007377BC" w:rsidRDefault="00212EB6" w:rsidP="00212EB6">
      <w:pPr>
        <w:spacing w:line="240" w:lineRule="auto"/>
        <w:ind w:left="284"/>
        <w:jc w:val="both"/>
        <w:rPr>
          <w:rFonts w:cs="Arial"/>
          <w:lang w:val="es-MX"/>
        </w:rPr>
      </w:pPr>
      <w:r w:rsidRPr="007377BC">
        <w:rPr>
          <w:rFonts w:cs="Arial"/>
          <w:lang w:val="es-MX"/>
        </w:rPr>
        <w:t xml:space="preserve">Durante esta vigencia se realizaron los siguientes exámenes: Historia clínica y examen físico, exámenes de laboratorio, electrocardiograma, prueba de esfuerzo, radiografía de tórax, ecografía de abdomen total, oftalmología, optometría, audiometría, citología, mamografía, nutrición, psicología. </w:t>
      </w:r>
    </w:p>
    <w:p w:rsidR="00212EB6" w:rsidRPr="007377BC" w:rsidRDefault="00212EB6" w:rsidP="00D712DC">
      <w:pPr>
        <w:pStyle w:val="Prrafodelista"/>
        <w:numPr>
          <w:ilvl w:val="0"/>
          <w:numId w:val="15"/>
        </w:numPr>
        <w:spacing w:line="240" w:lineRule="auto"/>
        <w:ind w:left="284" w:hanging="284"/>
        <w:jc w:val="both"/>
        <w:rPr>
          <w:rFonts w:cs="Arial"/>
          <w:u w:val="single"/>
        </w:rPr>
      </w:pPr>
      <w:r w:rsidRPr="007377BC">
        <w:rPr>
          <w:rFonts w:cs="Arial"/>
          <w:u w:val="single"/>
        </w:rPr>
        <w:t>Gestión del Sistema de Seguridad y Salud en el Trabajo:</w:t>
      </w:r>
      <w:r w:rsidRPr="007377BC">
        <w:rPr>
          <w:rFonts w:cs="Arial"/>
        </w:rPr>
        <w:t xml:space="preserve"> Dentro del componente de Calidad de Vida Laboral, se incluyen las actividades del Sistema de Gestión de Seguridad y Salud en el Trabajo, que buscan prevenir la ocurrencia de enfermedades laborales y accidentes laborales para así alcanzar el más alto grado de bienestar físico, social y mental de las y los colaboradores del Instituto.</w:t>
      </w:r>
    </w:p>
    <w:p w:rsidR="00212EB6" w:rsidRPr="007377BC" w:rsidRDefault="00212EB6" w:rsidP="00212EB6">
      <w:pPr>
        <w:spacing w:line="240" w:lineRule="auto"/>
        <w:ind w:left="284"/>
        <w:jc w:val="both"/>
        <w:rPr>
          <w:rFonts w:cs="Arial"/>
        </w:rPr>
      </w:pPr>
      <w:r w:rsidRPr="007377BC">
        <w:rPr>
          <w:rFonts w:cs="Arial"/>
        </w:rPr>
        <w:t>En esta vía se desarrollaron actividades en las regionales y centros zonales con el acompañamiento de la Administradora de Riesgos Laborales para inspeccionar condiciones de seguridad de botiquines, extintores y estaciones de emergencia, y realizar seguimiento a las recomendaciones medico laborales emitidas por las EPS y por la médica laboral del ICBF.</w:t>
      </w:r>
    </w:p>
    <w:p w:rsidR="00212EB6" w:rsidRPr="007377BC" w:rsidRDefault="00212EB6" w:rsidP="00212EB6">
      <w:pPr>
        <w:spacing w:line="240" w:lineRule="auto"/>
        <w:ind w:left="284"/>
        <w:jc w:val="both"/>
        <w:rPr>
          <w:rFonts w:cs="Arial"/>
        </w:rPr>
      </w:pPr>
      <w:r w:rsidRPr="007377BC">
        <w:rPr>
          <w:rFonts w:cs="Arial"/>
        </w:rPr>
        <w:t xml:space="preserve">Por otro lado, se realizaron labores de seguimiento a la totalidad de las regionales mediante la revisión del reporte de las actividades de Prevención y Promoción para disminuir el ausentismo. A partir de este ejercicio se llegó a la conclusión de que la mayoría de las causas que genera esta situación se sustenta en el desarrollo de infecciones respiratorias o digestivas. Así mismo, se revisaron y actualizaron los documentos de los Programas de Vigilancia Epidemiológica de Riesgo Psicosocial y Desórdenes Músculo-Esqueléticos </w:t>
      </w:r>
    </w:p>
    <w:p w:rsidR="00212EB6" w:rsidRPr="007377BC" w:rsidRDefault="00212EB6" w:rsidP="00212EB6">
      <w:pPr>
        <w:spacing w:line="240" w:lineRule="auto"/>
        <w:ind w:left="284"/>
        <w:jc w:val="both"/>
        <w:rPr>
          <w:rFonts w:cs="Arial"/>
        </w:rPr>
      </w:pPr>
      <w:r w:rsidRPr="007377BC">
        <w:rPr>
          <w:rFonts w:cs="Arial"/>
        </w:rPr>
        <w:t>En cuanto a la accidentalidad que se presentó durante el 2016, se reportaron 446 accidentes laborales, a los cuales se les realizó la respectiva investigación. La mayor causa de los mismos fueron las caídas del mismo nivel y golpes.</w:t>
      </w:r>
    </w:p>
    <w:p w:rsidR="00212EB6" w:rsidRDefault="00212EB6" w:rsidP="00212EB6">
      <w:pPr>
        <w:spacing w:line="240" w:lineRule="auto"/>
        <w:ind w:left="284"/>
        <w:jc w:val="both"/>
        <w:rPr>
          <w:rFonts w:cs="Arial"/>
        </w:rPr>
      </w:pPr>
      <w:r w:rsidRPr="007377BC">
        <w:rPr>
          <w:rFonts w:cs="Arial"/>
        </w:rPr>
        <w:t>Para el control integral del Sistema, se continua con el reporte de 2 indicadores: Porcentaje de Ocurrencia AT (en crítico), enfermedad laboral (en óptimo, para medir el desempeño del Eje SST (en adecuado), con el fin de tomar las medidas necesarias para alcanzar el objetivo de la Política de Seguridad y Salud en el Trabajo.</w:t>
      </w:r>
    </w:p>
    <w:p w:rsidR="00097886" w:rsidRPr="007377BC" w:rsidRDefault="00097886" w:rsidP="00212EB6">
      <w:pPr>
        <w:spacing w:line="240" w:lineRule="auto"/>
        <w:ind w:left="284"/>
        <w:jc w:val="both"/>
        <w:rPr>
          <w:rFonts w:cs="Arial"/>
        </w:rPr>
      </w:pPr>
    </w:p>
    <w:p w:rsidR="00212EB6" w:rsidRPr="007377BC" w:rsidRDefault="00212EB6" w:rsidP="007342CF">
      <w:pPr>
        <w:pStyle w:val="Ttulo2"/>
        <w:numPr>
          <w:ilvl w:val="1"/>
          <w:numId w:val="243"/>
        </w:numPr>
        <w:spacing w:line="240" w:lineRule="auto"/>
        <w:rPr>
          <w:rFonts w:cs="Arial"/>
          <w:b/>
          <w:szCs w:val="22"/>
        </w:rPr>
      </w:pPr>
      <w:bookmarkStart w:id="251" w:name="_Toc470095204"/>
      <w:bookmarkStart w:id="252" w:name="_Toc473581459"/>
      <w:r w:rsidRPr="007377BC">
        <w:rPr>
          <w:rFonts w:cs="Arial"/>
          <w:b/>
          <w:szCs w:val="22"/>
        </w:rPr>
        <w:t>Plan anual de vacantes</w:t>
      </w:r>
      <w:bookmarkEnd w:id="251"/>
      <w:bookmarkEnd w:id="252"/>
      <w:r w:rsidRPr="007377BC">
        <w:rPr>
          <w:rFonts w:cs="Arial"/>
          <w:b/>
          <w:szCs w:val="22"/>
        </w:rPr>
        <w:t xml:space="preserve"> </w:t>
      </w:r>
    </w:p>
    <w:p w:rsidR="00212EB6" w:rsidRPr="007377BC" w:rsidRDefault="00212EB6" w:rsidP="00212EB6">
      <w:pPr>
        <w:spacing w:after="0" w:line="240" w:lineRule="auto"/>
        <w:jc w:val="both"/>
        <w:rPr>
          <w:rFonts w:cs="Arial"/>
        </w:rPr>
      </w:pPr>
      <w:r w:rsidRPr="007377BC">
        <w:rPr>
          <w:rFonts w:cs="Arial"/>
        </w:rPr>
        <w:br/>
        <w:t xml:space="preserve">El plan anual de vacantes tiene por objeto </w:t>
      </w:r>
      <w:r w:rsidRPr="007377BC">
        <w:t xml:space="preserve">tiene por objetivo, diseñar estrategias de planeación anual de la provisión del talento humano, con el fin que ICBF pueda identificar las necesidades de la planta de personal, disponiendo de la gestión del talento humano como una estrategia organizacional </w:t>
      </w:r>
      <w:r w:rsidRPr="007377BC">
        <w:rPr>
          <w:rFonts w:cs="Arial"/>
        </w:rPr>
        <w:t>y realizar la provisión de las vacantes existentes, para la vigencia se previó proveer el 100% de las vacantes durante 2016, de acuerdo con lo establecido en la Ley 909 del 2005 y el Decreto reglamentario 1083 de 2015.</w:t>
      </w:r>
    </w:p>
    <w:p w:rsidR="00212EB6" w:rsidRPr="007377BC" w:rsidRDefault="00212EB6" w:rsidP="00212EB6">
      <w:pPr>
        <w:spacing w:after="0" w:line="240" w:lineRule="auto"/>
        <w:jc w:val="both"/>
        <w:rPr>
          <w:rFonts w:cs="Arial"/>
        </w:rPr>
      </w:pPr>
    </w:p>
    <w:p w:rsidR="00212EB6" w:rsidRPr="007377BC" w:rsidRDefault="00212EB6" w:rsidP="00212EB6">
      <w:pPr>
        <w:spacing w:line="240" w:lineRule="auto"/>
        <w:jc w:val="both"/>
        <w:rPr>
          <w:rFonts w:cs="Arial"/>
        </w:rPr>
      </w:pPr>
      <w:r w:rsidRPr="007377BC">
        <w:rPr>
          <w:rFonts w:cs="Arial"/>
        </w:rPr>
        <w:t>En junio de 2016 se definió un nuevo lineamiento para la provisión transitoria de empleos de carrera administrativa mediante Encargo, con el cual se espera generar una mayor dinámica en la provisión de las vacantes, para así garantizar la cobertura de las necesidades de talento humano de acuerdo con la planta global del ICBF. Con éste se han obtenido mejores resultados en la provisión de los empleos, lo cual ha permitido realizar a la fecha 214 encargos, por cuanto la vacante se movía a la sede de trabajo en la que se encontraba el servidor con mejor derecho.</w:t>
      </w:r>
    </w:p>
    <w:p w:rsidR="00212EB6" w:rsidRPr="007377BC" w:rsidRDefault="00212EB6" w:rsidP="00212EB6">
      <w:pPr>
        <w:spacing w:line="240" w:lineRule="auto"/>
        <w:jc w:val="both"/>
        <w:rPr>
          <w:rFonts w:cs="Arial"/>
        </w:rPr>
      </w:pPr>
      <w:r w:rsidRPr="007377BC">
        <w:rPr>
          <w:rFonts w:cs="Arial"/>
        </w:rPr>
        <w:t xml:space="preserve">Con la apertura de la convocatoria pública, la Comisión Nacional del Servicio Civil (CNSC) indicó que el Instituto debe garantizar que la vacante esté disponible en la ciudad en la que se ofertó en la Oferta Pública de Empleos de Carrera (OPEC), razón por la cual se siguieron realizando encargos que no implicaban cambio de ciudad (como es el caso de las y los defensores de familia) y se está trabajando en la modificación al procedimiento de encargos vigente para que se ajuste al compromiso adquirido en la convocatoria 433 de 2016 con la CNSC. </w:t>
      </w:r>
    </w:p>
    <w:p w:rsidR="00212EB6" w:rsidRDefault="00212EB6" w:rsidP="00212EB6">
      <w:pPr>
        <w:spacing w:line="240" w:lineRule="auto"/>
        <w:jc w:val="both"/>
        <w:rPr>
          <w:rFonts w:eastAsia="Times New Roman" w:cs="Arial"/>
          <w:lang w:eastAsia="es-CO"/>
        </w:rPr>
      </w:pPr>
      <w:r w:rsidRPr="007377BC">
        <w:rPr>
          <w:rFonts w:cs="Arial"/>
        </w:rPr>
        <w:t xml:space="preserve">La Dirección de Gestión Humana trabajó en la solución de fondo a las vacantes de la planta global con la Convocatoria Pública 433 de 2016, para la cual </w:t>
      </w:r>
      <w:r w:rsidRPr="007377BC">
        <w:rPr>
          <w:rFonts w:eastAsia="Times New Roman" w:cs="Arial"/>
          <w:lang w:eastAsia="es-CO"/>
        </w:rPr>
        <w:t>se desembolsó la suma aproximada de 6.200 millones de pesos y se firmó el Acuerdo No. CNSC – 201610000013</w:t>
      </w:r>
      <w:r w:rsidR="00097886">
        <w:rPr>
          <w:rFonts w:eastAsia="Times New Roman" w:cs="Arial"/>
          <w:lang w:eastAsia="es-CO"/>
        </w:rPr>
        <w:t>76 del 5 de septiembre de 2016.</w:t>
      </w:r>
    </w:p>
    <w:p w:rsidR="00097886" w:rsidRPr="007377BC" w:rsidRDefault="00097886" w:rsidP="00212EB6">
      <w:pPr>
        <w:spacing w:line="240" w:lineRule="auto"/>
        <w:jc w:val="both"/>
        <w:rPr>
          <w:rFonts w:cs="Arial"/>
        </w:rPr>
      </w:pPr>
    </w:p>
    <w:p w:rsidR="00DD1BEF" w:rsidRDefault="00212EB6" w:rsidP="007342CF">
      <w:pPr>
        <w:pStyle w:val="Ttulo2"/>
        <w:numPr>
          <w:ilvl w:val="1"/>
          <w:numId w:val="243"/>
        </w:numPr>
        <w:spacing w:line="240" w:lineRule="auto"/>
        <w:rPr>
          <w:rFonts w:cs="Arial"/>
          <w:b/>
          <w:szCs w:val="22"/>
        </w:rPr>
      </w:pPr>
      <w:bookmarkStart w:id="253" w:name="_Toc470095205"/>
      <w:bookmarkStart w:id="254" w:name="_Toc473581460"/>
      <w:r w:rsidRPr="007377BC">
        <w:rPr>
          <w:rFonts w:cs="Arial"/>
          <w:b/>
          <w:szCs w:val="22"/>
        </w:rPr>
        <w:t>Logros</w:t>
      </w:r>
      <w:r w:rsidR="00B8532B">
        <w:rPr>
          <w:rFonts w:cs="Arial"/>
          <w:b/>
          <w:szCs w:val="22"/>
        </w:rPr>
        <w:t xml:space="preserve"> 2016</w:t>
      </w:r>
      <w:r w:rsidRPr="007377BC">
        <w:rPr>
          <w:rFonts w:cs="Arial"/>
          <w:b/>
          <w:szCs w:val="22"/>
        </w:rPr>
        <w:t>:</w:t>
      </w:r>
      <w:bookmarkEnd w:id="253"/>
      <w:bookmarkEnd w:id="254"/>
    </w:p>
    <w:p w:rsidR="0004047E" w:rsidRPr="0004047E" w:rsidRDefault="0004047E" w:rsidP="0004047E">
      <w:pPr>
        <w:pStyle w:val="Prrafodelista"/>
        <w:spacing w:after="0" w:line="240" w:lineRule="auto"/>
        <w:ind w:left="360"/>
        <w:jc w:val="both"/>
        <w:rPr>
          <w:rFonts w:cs="Arial"/>
          <w:lang w:val="es-CO"/>
        </w:rPr>
      </w:pPr>
    </w:p>
    <w:p w:rsidR="00212EB6" w:rsidRDefault="00212EB6" w:rsidP="00D712DC">
      <w:pPr>
        <w:pStyle w:val="Prrafodelista"/>
        <w:numPr>
          <w:ilvl w:val="0"/>
          <w:numId w:val="13"/>
        </w:numPr>
        <w:spacing w:after="0" w:line="240" w:lineRule="auto"/>
        <w:jc w:val="both"/>
        <w:rPr>
          <w:rFonts w:cs="Arial"/>
          <w:lang w:val="es-CO"/>
        </w:rPr>
      </w:pPr>
      <w:r w:rsidRPr="007377BC">
        <w:rPr>
          <w:rFonts w:cs="Arial"/>
        </w:rPr>
        <w:t xml:space="preserve">Depuración de la deuda presunta con Colpensiones por un valor de $ </w:t>
      </w:r>
      <w:r w:rsidRPr="007377BC">
        <w:rPr>
          <w:rFonts w:cs="Arial"/>
          <w:lang w:val="es-CO"/>
        </w:rPr>
        <w:t>7.541.507.705.</w:t>
      </w:r>
    </w:p>
    <w:p w:rsidR="00101548" w:rsidRPr="007377BC" w:rsidRDefault="00101548" w:rsidP="00101548">
      <w:pPr>
        <w:pStyle w:val="Prrafodelista"/>
        <w:spacing w:after="0" w:line="240" w:lineRule="auto"/>
        <w:ind w:left="360"/>
        <w:jc w:val="both"/>
        <w:rPr>
          <w:rFonts w:cs="Arial"/>
          <w:lang w:val="es-CO"/>
        </w:rPr>
      </w:pPr>
    </w:p>
    <w:p w:rsidR="00212EB6" w:rsidRDefault="00212EB6" w:rsidP="00D712DC">
      <w:pPr>
        <w:pStyle w:val="Prrafodelista"/>
        <w:numPr>
          <w:ilvl w:val="0"/>
          <w:numId w:val="13"/>
        </w:numPr>
        <w:spacing w:after="0" w:line="240" w:lineRule="auto"/>
        <w:jc w:val="both"/>
        <w:rPr>
          <w:rFonts w:cs="Arial"/>
          <w:lang w:val="es-CO"/>
        </w:rPr>
      </w:pPr>
      <w:r w:rsidRPr="007377BC">
        <w:rPr>
          <w:rFonts w:cs="Arial"/>
          <w:lang w:val="es-CO"/>
        </w:rPr>
        <w:t>Ejecución de las 33 actividades programadas, dentro de las cuales se destacan: Establecer la metodología e implementación de la identificación de peligros, valoración de riesgos y determinación de controles de las Regionales y Centros Zonales, Elaboración de los Planes de Emergencias y Contingencias Regionales, Actualización y publicación del Programa de gestión del sistema de Seguridad y Salud en el Trabajo, Seguridad Industrial, Programas de Inspección de Seguridad, Procedimiento de reporte e investigación de incidentes y accidentes de trabajo, Medicina Preventiva y del Trabajo, formulación de los programas de vigilancia epidemiológica (aplicación bacteria psicosocial y encuesta musculo esquelética) y realización de actividades de promoción y prevención (semana de la Salud, Jueves de auto cuidado, Tips, Campañas y estrategias - Pausas activas y hábitos de vida saludable), entre otras, las cuales son insumo básico para el inicio de la implementación del Decreto 1072 de 2015.</w:t>
      </w:r>
    </w:p>
    <w:p w:rsidR="00101548" w:rsidRPr="00101548" w:rsidRDefault="00101548" w:rsidP="00101548">
      <w:pPr>
        <w:spacing w:after="0" w:line="240" w:lineRule="auto"/>
        <w:jc w:val="both"/>
        <w:rPr>
          <w:rFonts w:cs="Arial"/>
          <w:lang w:val="es-CO"/>
        </w:rPr>
      </w:pPr>
    </w:p>
    <w:p w:rsidR="00212EB6" w:rsidRDefault="00212EB6" w:rsidP="00D712DC">
      <w:pPr>
        <w:pStyle w:val="Prrafodelista"/>
        <w:numPr>
          <w:ilvl w:val="0"/>
          <w:numId w:val="13"/>
        </w:numPr>
        <w:spacing w:after="0" w:line="240" w:lineRule="auto"/>
        <w:jc w:val="both"/>
        <w:rPr>
          <w:rFonts w:cs="Arial"/>
        </w:rPr>
      </w:pPr>
      <w:r w:rsidRPr="007377BC">
        <w:rPr>
          <w:rFonts w:cs="Arial"/>
        </w:rPr>
        <w:t>Provisión de la</w:t>
      </w:r>
      <w:r w:rsidRPr="007377BC">
        <w:rPr>
          <w:rFonts w:cs="Arial"/>
          <w:b/>
        </w:rPr>
        <w:t xml:space="preserve"> Planta Temporal</w:t>
      </w:r>
      <w:r w:rsidRPr="007377BC">
        <w:rPr>
          <w:rFonts w:cs="Arial"/>
        </w:rPr>
        <w:t xml:space="preserve"> (Decreto 2717 de 2014 y Decreto 2539 de 2015) de los niveles profesional, técnico y asistencial, donde se incluyó 110 cargos para defensor de familia y 1.460 cargos de profesionales para equipos psicosociales. Con esta planta se cubrieron 745 cargos de supernumerarios y se formalizaron 1.255 necesidades que se atendían mediante la modalidad de contratos de prestació</w:t>
      </w:r>
      <w:r w:rsidR="00101548">
        <w:rPr>
          <w:rFonts w:cs="Arial"/>
        </w:rPr>
        <w:t>n de servicios.</w:t>
      </w:r>
    </w:p>
    <w:p w:rsidR="00101548" w:rsidRPr="00101548" w:rsidRDefault="00101548" w:rsidP="00101548">
      <w:pPr>
        <w:spacing w:after="0" w:line="240" w:lineRule="auto"/>
        <w:jc w:val="both"/>
        <w:rPr>
          <w:rFonts w:cs="Arial"/>
        </w:rPr>
      </w:pPr>
    </w:p>
    <w:p w:rsidR="00212EB6" w:rsidRDefault="00212EB6" w:rsidP="00D712DC">
      <w:pPr>
        <w:pStyle w:val="Prrafodelista"/>
        <w:numPr>
          <w:ilvl w:val="0"/>
          <w:numId w:val="13"/>
        </w:numPr>
        <w:spacing w:after="0" w:line="240" w:lineRule="auto"/>
        <w:jc w:val="both"/>
        <w:rPr>
          <w:rFonts w:cs="Arial"/>
        </w:rPr>
      </w:pPr>
      <w:r w:rsidRPr="007377BC">
        <w:rPr>
          <w:rFonts w:cs="Arial"/>
        </w:rPr>
        <w:t>Apertura de la Convocatoria 433 de 2016 por intermedio de la CNSC para la provisión defini</w:t>
      </w:r>
      <w:r w:rsidR="00101548">
        <w:rPr>
          <w:rFonts w:cs="Arial"/>
        </w:rPr>
        <w:t>tiva de 2.470 empleos vacantes.</w:t>
      </w:r>
    </w:p>
    <w:p w:rsidR="00101548" w:rsidRPr="00101548" w:rsidRDefault="00101548" w:rsidP="00101548">
      <w:pPr>
        <w:spacing w:after="0" w:line="240" w:lineRule="auto"/>
        <w:jc w:val="both"/>
        <w:rPr>
          <w:rFonts w:cs="Arial"/>
        </w:rPr>
      </w:pPr>
    </w:p>
    <w:p w:rsidR="00212EB6" w:rsidRDefault="00212EB6" w:rsidP="00D712DC">
      <w:pPr>
        <w:pStyle w:val="Prrafodelista"/>
        <w:numPr>
          <w:ilvl w:val="0"/>
          <w:numId w:val="13"/>
        </w:numPr>
        <w:spacing w:after="0" w:line="240" w:lineRule="auto"/>
        <w:jc w:val="both"/>
        <w:rPr>
          <w:rFonts w:cs="Arial"/>
        </w:rPr>
      </w:pPr>
      <w:r w:rsidRPr="007377BC">
        <w:rPr>
          <w:rFonts w:cs="Arial"/>
        </w:rPr>
        <w:t>Expedición del Decreto 2138 del 22 de diciembre de 2016</w:t>
      </w:r>
      <w:r w:rsidRPr="007377BC">
        <w:t xml:space="preserve"> mediante el cual </w:t>
      </w:r>
      <w:r w:rsidRPr="007377BC">
        <w:rPr>
          <w:rFonts w:cs="Arial"/>
        </w:rPr>
        <w:t xml:space="preserve">se aprobó la creación de una planta de personal de carácter temporal en el Instituto Colombiano de Bienestar Familiar “Cecilia de la Fuente de Lleras”, con efectos fiscales a partir del 02 de enero de 2017, tras la presentación del estudio técnico con control de legalidad por parte del DPS, DNP, DAFP para la creación de una planta temporal de 3.737 cargos por 4 años financiada con recursos de inversión, que amplió la planta temporal anterior en 1.737 cargos adicionales, con el fin de contribuir a: i) la formalización de profesionales para el fortalecimiento de los equipos interdisciplinarios de las Defensorías de Familia; ii) la formalización y profesionalización de las personas responsables de Servicios y Atención en todas las Regionales y Centros Zonales del país; iii) la creación de 218 cargos para defensor de familia; y la reclasificación de grado 3 a grado 7 de 1.255 profesionales de la planta temporal actual, promoviendo el mejoramiento salarial de los equipos interdisciplinarios de las Defensorías de Familia y de los equipos de apoyo a la supervisión de los </w:t>
      </w:r>
      <w:r w:rsidR="00101548">
        <w:rPr>
          <w:rFonts w:cs="Arial"/>
        </w:rPr>
        <w:t>programas de Primera Infancia.</w:t>
      </w:r>
    </w:p>
    <w:p w:rsidR="00101548" w:rsidRPr="007377BC" w:rsidRDefault="00101548" w:rsidP="00101548">
      <w:pPr>
        <w:pStyle w:val="Prrafodelista"/>
        <w:spacing w:after="0" w:line="240" w:lineRule="auto"/>
        <w:ind w:left="360"/>
        <w:jc w:val="both"/>
        <w:rPr>
          <w:rFonts w:cs="Arial"/>
        </w:rPr>
      </w:pPr>
    </w:p>
    <w:p w:rsidR="00212EB6" w:rsidRDefault="00212EB6" w:rsidP="00D712DC">
      <w:pPr>
        <w:pStyle w:val="Prrafodelista"/>
        <w:numPr>
          <w:ilvl w:val="0"/>
          <w:numId w:val="13"/>
        </w:numPr>
        <w:spacing w:after="0" w:line="240" w:lineRule="auto"/>
        <w:jc w:val="both"/>
        <w:rPr>
          <w:rFonts w:cs="Arial"/>
        </w:rPr>
      </w:pPr>
      <w:r w:rsidRPr="007377BC">
        <w:rPr>
          <w:rFonts w:cs="Arial"/>
        </w:rPr>
        <w:t>Continuidad en la implementación de la metodología de Proyectos de Aprendizaje en Equipo (PAE).  Como resultado general se logró que en los grupos conformados se generara un autoaprendizaje y autoevaluación</w:t>
      </w:r>
      <w:r w:rsidR="001925F5">
        <w:rPr>
          <w:rFonts w:cs="Arial"/>
        </w:rPr>
        <w:t xml:space="preserve"> dado por las situaciones proble</w:t>
      </w:r>
      <w:r w:rsidRPr="007377BC">
        <w:rPr>
          <w:rFonts w:cs="Arial"/>
        </w:rPr>
        <w:t>m</w:t>
      </w:r>
      <w:r w:rsidR="001925F5">
        <w:rPr>
          <w:rFonts w:cs="Arial"/>
        </w:rPr>
        <w:t>á</w:t>
      </w:r>
      <w:r w:rsidR="002E5EB7">
        <w:rPr>
          <w:rFonts w:cs="Arial"/>
        </w:rPr>
        <w:t>t</w:t>
      </w:r>
      <w:r w:rsidRPr="007377BC">
        <w:rPr>
          <w:rFonts w:cs="Arial"/>
        </w:rPr>
        <w:t>icas encontradas al interior de sus grupos de trabajo, como por ejemplo con el proyecto de los Defensores de Familia en el cual lograron evaluar el rol de defensor de familia de ICBF, con el objetivo de conocer y aplicar dentro de proceso administrativo de restablecimiento de derechos de desde la perspectiva de la dignidad humana.</w:t>
      </w:r>
    </w:p>
    <w:p w:rsidR="00101548" w:rsidRPr="00101548" w:rsidRDefault="00101548" w:rsidP="00101548">
      <w:pPr>
        <w:spacing w:after="0" w:line="240" w:lineRule="auto"/>
        <w:jc w:val="both"/>
        <w:rPr>
          <w:rFonts w:cs="Arial"/>
        </w:rPr>
      </w:pPr>
    </w:p>
    <w:p w:rsidR="00101548" w:rsidRDefault="00212EB6" w:rsidP="00D712DC">
      <w:pPr>
        <w:pStyle w:val="Prrafodelista"/>
        <w:numPr>
          <w:ilvl w:val="0"/>
          <w:numId w:val="13"/>
        </w:numPr>
        <w:spacing w:after="0" w:line="240" w:lineRule="auto"/>
        <w:jc w:val="both"/>
        <w:rPr>
          <w:rFonts w:cs="Arial"/>
        </w:rPr>
      </w:pPr>
      <w:r w:rsidRPr="007377BC">
        <w:rPr>
          <w:rFonts w:cs="Arial"/>
        </w:rPr>
        <w:t>En la etapa final de los proyectos cada proyecto evaluó el aprendizaje adquirido de acuerdo con los objetivos planteados, en rel</w:t>
      </w:r>
      <w:r w:rsidR="002E5EB7">
        <w:rPr>
          <w:rFonts w:cs="Arial"/>
        </w:rPr>
        <w:t>ación con la situación problem</w:t>
      </w:r>
      <w:r w:rsidR="002E5EB7" w:rsidRPr="007377BC">
        <w:rPr>
          <w:rFonts w:cs="Arial"/>
        </w:rPr>
        <w:t>a</w:t>
      </w:r>
      <w:r w:rsidR="00101548">
        <w:rPr>
          <w:rFonts w:cs="Arial"/>
        </w:rPr>
        <w:t>.</w:t>
      </w:r>
    </w:p>
    <w:p w:rsidR="00212EB6" w:rsidRPr="00101548" w:rsidRDefault="00212EB6" w:rsidP="00101548">
      <w:pPr>
        <w:spacing w:after="0" w:line="240" w:lineRule="auto"/>
        <w:jc w:val="both"/>
        <w:rPr>
          <w:rFonts w:cs="Arial"/>
        </w:rPr>
      </w:pPr>
      <w:r w:rsidRPr="00101548">
        <w:rPr>
          <w:rFonts w:cs="Arial"/>
        </w:rPr>
        <w:t> </w:t>
      </w:r>
    </w:p>
    <w:p w:rsidR="00212EB6" w:rsidRDefault="00212EB6" w:rsidP="00D712DC">
      <w:pPr>
        <w:pStyle w:val="Prrafodelista"/>
        <w:numPr>
          <w:ilvl w:val="0"/>
          <w:numId w:val="14"/>
        </w:numPr>
        <w:spacing w:after="0" w:line="240" w:lineRule="auto"/>
        <w:contextualSpacing/>
        <w:jc w:val="both"/>
        <w:rPr>
          <w:rFonts w:cs="Arial"/>
          <w:lang w:val="es-MX"/>
        </w:rPr>
      </w:pPr>
      <w:r w:rsidRPr="007377BC">
        <w:rPr>
          <w:rFonts w:cs="Arial"/>
          <w:lang w:val="es-MX"/>
        </w:rPr>
        <w:t>Creación de los programas Bienestar Social y Salarios Emocionales</w:t>
      </w:r>
      <w:r w:rsidRPr="007377BC">
        <w:rPr>
          <w:rStyle w:val="Refdenotaalpie"/>
          <w:rFonts w:cs="Arial"/>
          <w:lang w:val="es-MX"/>
        </w:rPr>
        <w:footnoteReference w:id="44"/>
      </w:r>
      <w:r w:rsidRPr="007377BC">
        <w:rPr>
          <w:rFonts w:cs="Arial"/>
          <w:lang w:val="es-MX"/>
        </w:rPr>
        <w:t>, mediante las Resoluciones 1756 y 7599 de 2016.</w:t>
      </w:r>
    </w:p>
    <w:p w:rsidR="00101548" w:rsidRPr="007377BC" w:rsidRDefault="00101548" w:rsidP="00101548">
      <w:pPr>
        <w:pStyle w:val="Prrafodelista"/>
        <w:spacing w:after="0" w:line="240" w:lineRule="auto"/>
        <w:ind w:left="360"/>
        <w:contextualSpacing/>
        <w:jc w:val="both"/>
        <w:rPr>
          <w:rFonts w:cs="Arial"/>
          <w:lang w:val="es-MX"/>
        </w:rPr>
      </w:pPr>
    </w:p>
    <w:p w:rsidR="00101548" w:rsidRDefault="00212EB6" w:rsidP="00D712DC">
      <w:pPr>
        <w:numPr>
          <w:ilvl w:val="0"/>
          <w:numId w:val="14"/>
        </w:numPr>
        <w:spacing w:after="0" w:line="240" w:lineRule="auto"/>
        <w:jc w:val="both"/>
        <w:rPr>
          <w:rFonts w:cs="Arial"/>
          <w:lang w:val="es-MX"/>
        </w:rPr>
      </w:pPr>
      <w:r w:rsidRPr="007377BC">
        <w:rPr>
          <w:rFonts w:cs="Arial"/>
          <w:lang w:val="es-MX"/>
        </w:rPr>
        <w:t>Se disminuyeron en un 24% los recursos de la Sede de la Dirección General, con el fin de distribuirlos a las regionales. Lo anterior dio como resultado un incremento del 20% en el presupuesto asignado a las mismas.</w:t>
      </w:r>
    </w:p>
    <w:p w:rsidR="00212EB6" w:rsidRPr="007377BC" w:rsidRDefault="00212EB6" w:rsidP="00101548">
      <w:pPr>
        <w:spacing w:after="0" w:line="240" w:lineRule="auto"/>
        <w:jc w:val="both"/>
        <w:rPr>
          <w:rFonts w:cs="Arial"/>
          <w:lang w:val="es-MX"/>
        </w:rPr>
      </w:pPr>
      <w:r w:rsidRPr="007377BC">
        <w:rPr>
          <w:rFonts w:cs="Arial"/>
          <w:lang w:val="es-MX"/>
        </w:rPr>
        <w:t xml:space="preserve"> </w:t>
      </w:r>
    </w:p>
    <w:p w:rsidR="00212EB6" w:rsidRDefault="00212EB6" w:rsidP="00D712DC">
      <w:pPr>
        <w:numPr>
          <w:ilvl w:val="0"/>
          <w:numId w:val="14"/>
        </w:numPr>
        <w:spacing w:after="0" w:line="240" w:lineRule="auto"/>
        <w:jc w:val="both"/>
        <w:rPr>
          <w:rFonts w:cs="Arial"/>
          <w:lang w:val="es-MX"/>
        </w:rPr>
      </w:pPr>
      <w:r w:rsidRPr="007377BC">
        <w:rPr>
          <w:rFonts w:cs="Arial"/>
          <w:lang w:val="es-MX"/>
        </w:rPr>
        <w:t>Elaboración del C</w:t>
      </w:r>
      <w:r w:rsidR="00097886">
        <w:rPr>
          <w:rFonts w:cs="Arial"/>
          <w:lang w:val="es-MX"/>
        </w:rPr>
        <w:t>ódigo de Ética y Buen Gobierno.</w:t>
      </w:r>
    </w:p>
    <w:p w:rsidR="00097886" w:rsidRDefault="00097886" w:rsidP="00097886">
      <w:pPr>
        <w:spacing w:after="0" w:line="240" w:lineRule="auto"/>
        <w:jc w:val="both"/>
        <w:rPr>
          <w:rFonts w:cs="Arial"/>
          <w:lang w:val="es-MX"/>
        </w:rPr>
      </w:pPr>
    </w:p>
    <w:p w:rsidR="001767CE" w:rsidRPr="007377BC" w:rsidRDefault="001767CE" w:rsidP="001767CE">
      <w:pPr>
        <w:spacing w:after="0" w:line="240" w:lineRule="auto"/>
        <w:ind w:left="360"/>
        <w:jc w:val="both"/>
        <w:rPr>
          <w:rFonts w:cs="Arial"/>
          <w:lang w:val="es-MX"/>
        </w:rPr>
      </w:pPr>
    </w:p>
    <w:p w:rsidR="00212EB6" w:rsidRDefault="00212EB6" w:rsidP="007342CF">
      <w:pPr>
        <w:pStyle w:val="Ttulo2"/>
        <w:numPr>
          <w:ilvl w:val="1"/>
          <w:numId w:val="241"/>
        </w:numPr>
        <w:spacing w:line="240" w:lineRule="auto"/>
        <w:rPr>
          <w:rFonts w:cs="Arial"/>
          <w:b/>
          <w:szCs w:val="22"/>
        </w:rPr>
      </w:pPr>
      <w:bookmarkStart w:id="255" w:name="_Toc470095206"/>
      <w:bookmarkStart w:id="256" w:name="_Toc473581461"/>
      <w:r w:rsidRPr="007377BC">
        <w:rPr>
          <w:rFonts w:cs="Arial"/>
          <w:b/>
          <w:szCs w:val="22"/>
        </w:rPr>
        <w:t>Retos</w:t>
      </w:r>
      <w:r w:rsidR="00B8532B">
        <w:rPr>
          <w:rFonts w:cs="Arial"/>
          <w:b/>
          <w:szCs w:val="22"/>
        </w:rPr>
        <w:t xml:space="preserve"> 2017</w:t>
      </w:r>
      <w:r w:rsidRPr="007377BC">
        <w:rPr>
          <w:rFonts w:cs="Arial"/>
          <w:b/>
          <w:szCs w:val="22"/>
        </w:rPr>
        <w:t>:</w:t>
      </w:r>
      <w:bookmarkEnd w:id="255"/>
      <w:bookmarkEnd w:id="256"/>
      <w:r w:rsidRPr="007377BC">
        <w:rPr>
          <w:rFonts w:cs="Arial"/>
          <w:b/>
          <w:szCs w:val="22"/>
        </w:rPr>
        <w:t xml:space="preserve"> </w:t>
      </w:r>
    </w:p>
    <w:p w:rsidR="00101548" w:rsidRPr="00101548" w:rsidRDefault="00101548" w:rsidP="00101548"/>
    <w:p w:rsidR="00212EB6" w:rsidRPr="00101548" w:rsidRDefault="00212EB6" w:rsidP="00D712DC">
      <w:pPr>
        <w:pStyle w:val="Prrafodelista"/>
        <w:numPr>
          <w:ilvl w:val="0"/>
          <w:numId w:val="13"/>
        </w:numPr>
        <w:spacing w:line="240" w:lineRule="auto"/>
        <w:contextualSpacing/>
        <w:jc w:val="both"/>
        <w:rPr>
          <w:rFonts w:cs="Arial"/>
          <w:lang w:val="es-CO"/>
        </w:rPr>
      </w:pPr>
      <w:r w:rsidRPr="007377BC">
        <w:rPr>
          <w:rFonts w:cs="Arial"/>
          <w:lang w:val="es-CO"/>
        </w:rPr>
        <w:t xml:space="preserve">Provisión de la nueva planta temporal de 3.737 cargos </w:t>
      </w:r>
      <w:r w:rsidRPr="007377BC">
        <w:rPr>
          <w:rFonts w:cs="Arial"/>
        </w:rPr>
        <w:t>(listas de elegibles, servidores de planta con derecho y miniconcurso).</w:t>
      </w:r>
    </w:p>
    <w:p w:rsidR="00101548" w:rsidRPr="007377BC" w:rsidRDefault="00101548" w:rsidP="00101548">
      <w:pPr>
        <w:pStyle w:val="Prrafodelista"/>
        <w:spacing w:line="240" w:lineRule="auto"/>
        <w:ind w:left="360"/>
        <w:contextualSpacing/>
        <w:jc w:val="both"/>
        <w:rPr>
          <w:rFonts w:cs="Arial"/>
          <w:lang w:val="es-CO"/>
        </w:rPr>
      </w:pPr>
    </w:p>
    <w:p w:rsidR="00101548" w:rsidRPr="00101548" w:rsidRDefault="00212EB6" w:rsidP="00097886">
      <w:pPr>
        <w:pStyle w:val="Prrafodelista"/>
        <w:numPr>
          <w:ilvl w:val="0"/>
          <w:numId w:val="13"/>
        </w:numPr>
        <w:spacing w:after="0" w:line="240" w:lineRule="auto"/>
        <w:contextualSpacing/>
        <w:jc w:val="both"/>
        <w:rPr>
          <w:rFonts w:cs="Arial"/>
          <w:lang w:val="es-CO"/>
        </w:rPr>
      </w:pPr>
      <w:r w:rsidRPr="007377BC">
        <w:rPr>
          <w:rFonts w:cs="Arial"/>
          <w:lang w:val="es-CO"/>
        </w:rPr>
        <w:t>Implementación de los nuevos modelos de evaluación y seguimiento al desempeño del personal de carrera, provisional y temporal.</w:t>
      </w:r>
    </w:p>
    <w:p w:rsidR="00101548" w:rsidRPr="00101548" w:rsidRDefault="00101548" w:rsidP="00097886">
      <w:pPr>
        <w:pStyle w:val="Prrafodelista"/>
        <w:spacing w:after="0" w:line="240" w:lineRule="auto"/>
        <w:ind w:left="360"/>
        <w:contextualSpacing/>
        <w:jc w:val="both"/>
        <w:rPr>
          <w:rFonts w:cs="Arial"/>
          <w:lang w:val="es-CO"/>
        </w:rPr>
      </w:pPr>
    </w:p>
    <w:p w:rsidR="00097886" w:rsidRDefault="00212EB6" w:rsidP="00097886">
      <w:pPr>
        <w:pStyle w:val="Prrafodelista"/>
        <w:numPr>
          <w:ilvl w:val="0"/>
          <w:numId w:val="13"/>
        </w:numPr>
        <w:spacing w:after="0" w:line="240" w:lineRule="auto"/>
        <w:contextualSpacing/>
        <w:jc w:val="both"/>
        <w:rPr>
          <w:rFonts w:cs="Arial"/>
          <w:lang w:val="es-CO"/>
        </w:rPr>
      </w:pPr>
      <w:r w:rsidRPr="007377BC">
        <w:rPr>
          <w:rFonts w:cs="Arial"/>
          <w:lang w:val="es-CO"/>
        </w:rPr>
        <w:t>Depuración del 70% de la deuda presunta de Colpensiones en la sede de la Dirección General.</w:t>
      </w:r>
    </w:p>
    <w:p w:rsidR="00097886" w:rsidRPr="00097886" w:rsidRDefault="00097886" w:rsidP="00097886">
      <w:pPr>
        <w:spacing w:after="0" w:line="240" w:lineRule="auto"/>
        <w:contextualSpacing/>
        <w:jc w:val="both"/>
        <w:rPr>
          <w:rFonts w:cs="Arial"/>
          <w:lang w:val="es-CO"/>
        </w:rPr>
      </w:pPr>
    </w:p>
    <w:p w:rsidR="00101548" w:rsidRPr="00101548" w:rsidRDefault="00212EB6" w:rsidP="00097886">
      <w:pPr>
        <w:pStyle w:val="Prrafodelista"/>
        <w:numPr>
          <w:ilvl w:val="0"/>
          <w:numId w:val="13"/>
        </w:numPr>
        <w:spacing w:after="0" w:line="240" w:lineRule="auto"/>
        <w:contextualSpacing/>
        <w:jc w:val="both"/>
        <w:rPr>
          <w:rFonts w:cs="Arial"/>
          <w:lang w:val="es-CO"/>
        </w:rPr>
      </w:pPr>
      <w:r w:rsidRPr="00101548">
        <w:rPr>
          <w:rFonts w:cs="Arial"/>
          <w:lang w:val="es-CO"/>
        </w:rPr>
        <w:t>Depurar la cuenta de incapacidades correspondientes a vigencias anteriores, con el fin de cumplir los parámetros iniciales de las normas internacionale</w:t>
      </w:r>
      <w:r w:rsidR="00101548" w:rsidRPr="00101548">
        <w:rPr>
          <w:rFonts w:cs="Arial"/>
          <w:lang w:val="es-CO"/>
        </w:rPr>
        <w:t>s contables del Sector Público.</w:t>
      </w:r>
    </w:p>
    <w:p w:rsidR="00101548" w:rsidRPr="00101548" w:rsidRDefault="00101548" w:rsidP="00097886">
      <w:pPr>
        <w:pStyle w:val="Prrafodelista"/>
        <w:spacing w:after="0" w:line="240" w:lineRule="auto"/>
        <w:ind w:left="360"/>
        <w:contextualSpacing/>
        <w:jc w:val="both"/>
        <w:rPr>
          <w:rFonts w:cs="Arial"/>
          <w:lang w:val="es-CO"/>
        </w:rPr>
      </w:pPr>
    </w:p>
    <w:p w:rsidR="00101548" w:rsidRDefault="00212EB6" w:rsidP="00097886">
      <w:pPr>
        <w:pStyle w:val="Prrafodelista"/>
        <w:numPr>
          <w:ilvl w:val="0"/>
          <w:numId w:val="13"/>
        </w:numPr>
        <w:spacing w:after="0" w:line="240" w:lineRule="auto"/>
        <w:contextualSpacing/>
        <w:jc w:val="both"/>
        <w:rPr>
          <w:rFonts w:cs="Arial"/>
          <w:lang w:val="es-CO"/>
        </w:rPr>
      </w:pPr>
      <w:r w:rsidRPr="007377BC">
        <w:rPr>
          <w:rFonts w:cs="Arial"/>
          <w:lang w:val="es-CO"/>
        </w:rPr>
        <w:t>Finalización de la implementación del Sistema de Gestión de Seguridad y Salud en el Trabajo del ICBF.</w:t>
      </w:r>
    </w:p>
    <w:p w:rsidR="00101548" w:rsidRPr="00101548" w:rsidRDefault="00101548" w:rsidP="00101548">
      <w:pPr>
        <w:pStyle w:val="Prrafodelista"/>
        <w:spacing w:line="240" w:lineRule="auto"/>
        <w:ind w:left="360"/>
        <w:contextualSpacing/>
        <w:jc w:val="both"/>
        <w:rPr>
          <w:rFonts w:cs="Arial"/>
          <w:lang w:val="es-CO"/>
        </w:rPr>
      </w:pPr>
    </w:p>
    <w:p w:rsidR="00101548" w:rsidRDefault="00212EB6" w:rsidP="00D712DC">
      <w:pPr>
        <w:pStyle w:val="Prrafodelista"/>
        <w:numPr>
          <w:ilvl w:val="0"/>
          <w:numId w:val="13"/>
        </w:numPr>
        <w:spacing w:line="240" w:lineRule="auto"/>
        <w:contextualSpacing/>
        <w:jc w:val="both"/>
        <w:rPr>
          <w:rFonts w:cs="Arial"/>
          <w:lang w:val="es-CO"/>
        </w:rPr>
      </w:pPr>
      <w:r w:rsidRPr="00BC27AF">
        <w:rPr>
          <w:rFonts w:cs="Arial"/>
          <w:lang w:val="es-CO"/>
        </w:rPr>
        <w:t>Definición del proyecto de gestión documental: procedimiento, organización física y electrónica de las historias laborales (intervención del 25% de historias laborales)</w:t>
      </w:r>
      <w:r w:rsidR="00101548">
        <w:rPr>
          <w:rFonts w:cs="Arial"/>
          <w:lang w:val="es-CO"/>
        </w:rPr>
        <w:t>.</w:t>
      </w:r>
    </w:p>
    <w:p w:rsidR="00101548" w:rsidRPr="00101548" w:rsidRDefault="00101548" w:rsidP="00101548">
      <w:pPr>
        <w:pStyle w:val="Prrafodelista"/>
        <w:spacing w:line="240" w:lineRule="auto"/>
        <w:ind w:left="360"/>
        <w:contextualSpacing/>
        <w:jc w:val="both"/>
        <w:rPr>
          <w:rFonts w:cs="Arial"/>
          <w:lang w:val="es-CO"/>
        </w:rPr>
      </w:pPr>
    </w:p>
    <w:p w:rsidR="00212EB6" w:rsidRDefault="00212EB6" w:rsidP="00D712DC">
      <w:pPr>
        <w:pStyle w:val="Prrafodelista"/>
        <w:numPr>
          <w:ilvl w:val="0"/>
          <w:numId w:val="13"/>
        </w:numPr>
        <w:spacing w:line="240" w:lineRule="auto"/>
        <w:contextualSpacing/>
        <w:jc w:val="both"/>
        <w:rPr>
          <w:rFonts w:cs="Arial"/>
          <w:lang w:val="es-CO"/>
        </w:rPr>
      </w:pPr>
      <w:r w:rsidRPr="00BC27AF">
        <w:rPr>
          <w:rFonts w:cs="Arial"/>
          <w:lang w:val="es-CO"/>
        </w:rPr>
        <w:t>Actualización del 100% de los registros de carrera administrativa.</w:t>
      </w:r>
    </w:p>
    <w:p w:rsidR="00101548" w:rsidRPr="00BC27AF" w:rsidRDefault="00101548" w:rsidP="00101548">
      <w:pPr>
        <w:pStyle w:val="Prrafodelista"/>
        <w:spacing w:line="240" w:lineRule="auto"/>
        <w:ind w:left="360"/>
        <w:contextualSpacing/>
        <w:jc w:val="both"/>
        <w:rPr>
          <w:rFonts w:cs="Arial"/>
          <w:lang w:val="es-CO"/>
        </w:rPr>
      </w:pPr>
    </w:p>
    <w:p w:rsidR="00101548" w:rsidRDefault="00212EB6" w:rsidP="00D712DC">
      <w:pPr>
        <w:pStyle w:val="Prrafodelista"/>
        <w:numPr>
          <w:ilvl w:val="0"/>
          <w:numId w:val="13"/>
        </w:numPr>
        <w:spacing w:line="240" w:lineRule="auto"/>
        <w:contextualSpacing/>
        <w:jc w:val="both"/>
        <w:rPr>
          <w:rFonts w:cs="Arial"/>
          <w:lang w:val="es-CO"/>
        </w:rPr>
      </w:pPr>
      <w:r w:rsidRPr="00BC27AF">
        <w:rPr>
          <w:rFonts w:cs="Arial"/>
          <w:lang w:val="es-CO"/>
        </w:rPr>
        <w:t>Gestión para el desarrollo de los procesos de meritocracia para las Regionales del ICBF con Director Encargado.</w:t>
      </w:r>
    </w:p>
    <w:p w:rsidR="00101548" w:rsidRPr="00101548" w:rsidRDefault="00101548" w:rsidP="00101548">
      <w:pPr>
        <w:pStyle w:val="Prrafodelista"/>
        <w:spacing w:line="240" w:lineRule="auto"/>
        <w:ind w:left="360"/>
        <w:contextualSpacing/>
        <w:jc w:val="both"/>
        <w:rPr>
          <w:rFonts w:cs="Arial"/>
          <w:lang w:val="es-CO"/>
        </w:rPr>
      </w:pPr>
    </w:p>
    <w:p w:rsidR="00101548" w:rsidRDefault="00212EB6" w:rsidP="00D712DC">
      <w:pPr>
        <w:pStyle w:val="Prrafodelista"/>
        <w:numPr>
          <w:ilvl w:val="0"/>
          <w:numId w:val="13"/>
        </w:numPr>
        <w:spacing w:line="240" w:lineRule="auto"/>
        <w:contextualSpacing/>
        <w:jc w:val="both"/>
        <w:rPr>
          <w:rFonts w:cs="Arial"/>
          <w:lang w:val="es-CO"/>
        </w:rPr>
      </w:pPr>
      <w:r w:rsidRPr="00BC27AF">
        <w:rPr>
          <w:rFonts w:cs="Arial"/>
          <w:lang w:val="es-CO"/>
        </w:rPr>
        <w:t>Distribución equitativa de cargos al 100% de las dependencias de la Entidad, acorde con el resultado del estudio de cargas de trabajo.</w:t>
      </w:r>
    </w:p>
    <w:p w:rsidR="00212EB6" w:rsidRPr="00101548" w:rsidRDefault="00212EB6" w:rsidP="00101548">
      <w:pPr>
        <w:pStyle w:val="Prrafodelista"/>
        <w:spacing w:line="240" w:lineRule="auto"/>
        <w:ind w:left="360"/>
        <w:contextualSpacing/>
        <w:jc w:val="both"/>
        <w:rPr>
          <w:rFonts w:cs="Arial"/>
          <w:lang w:val="es-CO"/>
        </w:rPr>
      </w:pPr>
    </w:p>
    <w:p w:rsidR="00212EB6" w:rsidRDefault="00212EB6" w:rsidP="00D712DC">
      <w:pPr>
        <w:pStyle w:val="Prrafodelista"/>
        <w:numPr>
          <w:ilvl w:val="0"/>
          <w:numId w:val="13"/>
        </w:numPr>
        <w:spacing w:line="240" w:lineRule="auto"/>
        <w:contextualSpacing/>
        <w:jc w:val="both"/>
        <w:rPr>
          <w:rFonts w:cs="Arial"/>
          <w:lang w:val="es-CO"/>
        </w:rPr>
      </w:pPr>
      <w:r w:rsidRPr="00101548">
        <w:rPr>
          <w:rFonts w:cs="Arial"/>
          <w:lang w:val="es-CO"/>
        </w:rPr>
        <w:t>Acompañamiento al desarrollo del 100% de las etapas programadas de la Convocatoria 433 para la provisión de 2.470 empleos.</w:t>
      </w:r>
    </w:p>
    <w:p w:rsidR="00101548" w:rsidRPr="00101548" w:rsidRDefault="00101548" w:rsidP="00101548">
      <w:pPr>
        <w:pStyle w:val="Prrafodelista"/>
        <w:spacing w:line="240" w:lineRule="auto"/>
        <w:ind w:left="360"/>
        <w:contextualSpacing/>
        <w:jc w:val="both"/>
        <w:rPr>
          <w:rFonts w:cs="Arial"/>
          <w:lang w:val="es-CO"/>
        </w:rPr>
      </w:pPr>
    </w:p>
    <w:p w:rsidR="00212EB6" w:rsidRPr="00101548" w:rsidRDefault="00212EB6" w:rsidP="00D712DC">
      <w:pPr>
        <w:pStyle w:val="Prrafodelista"/>
        <w:numPr>
          <w:ilvl w:val="0"/>
          <w:numId w:val="13"/>
        </w:numPr>
        <w:spacing w:line="240" w:lineRule="auto"/>
        <w:contextualSpacing/>
        <w:jc w:val="both"/>
        <w:rPr>
          <w:rFonts w:cs="Arial"/>
          <w:lang w:val="es-CO"/>
        </w:rPr>
      </w:pPr>
      <w:r w:rsidRPr="00101548">
        <w:rPr>
          <w:rFonts w:cs="Arial"/>
          <w:lang w:val="es-CO"/>
        </w:rPr>
        <w:t>Mantenimiento de la cobertura de capacitación para el fortalecimiento de la gestión del conocimiento.</w:t>
      </w:r>
    </w:p>
    <w:p w:rsidR="00015C71" w:rsidRDefault="00D222ED" w:rsidP="007342CF">
      <w:pPr>
        <w:pStyle w:val="Ttulo1"/>
        <w:pageBreakBefore/>
        <w:numPr>
          <w:ilvl w:val="0"/>
          <w:numId w:val="243"/>
        </w:numPr>
        <w:rPr>
          <w:rFonts w:cs="Arial"/>
          <w:szCs w:val="22"/>
        </w:rPr>
      </w:pPr>
      <w:bookmarkStart w:id="257" w:name="_Toc441847086"/>
      <w:bookmarkStart w:id="258" w:name="_Toc473581462"/>
      <w:r>
        <w:rPr>
          <w:rFonts w:cs="Arial"/>
          <w:szCs w:val="22"/>
        </w:rPr>
        <w:t>GESTIÓN</w:t>
      </w:r>
      <w:r w:rsidR="00A1269F">
        <w:rPr>
          <w:rFonts w:cs="Arial"/>
          <w:szCs w:val="22"/>
        </w:rPr>
        <w:t xml:space="preserve"> </w:t>
      </w:r>
      <w:r w:rsidR="00015C71" w:rsidRPr="00981456">
        <w:rPr>
          <w:rFonts w:cs="Arial"/>
          <w:szCs w:val="22"/>
        </w:rPr>
        <w:t>ADMINISTRATIVA</w:t>
      </w:r>
      <w:bookmarkEnd w:id="257"/>
      <w:bookmarkEnd w:id="258"/>
    </w:p>
    <w:p w:rsidR="00E50049" w:rsidRPr="00E50049" w:rsidRDefault="00E50049" w:rsidP="00E50049"/>
    <w:p w:rsidR="00015C71" w:rsidRDefault="00015C71" w:rsidP="007342CF">
      <w:pPr>
        <w:pStyle w:val="Ttulo2"/>
        <w:numPr>
          <w:ilvl w:val="1"/>
          <w:numId w:val="244"/>
        </w:numPr>
        <w:spacing w:before="120"/>
        <w:rPr>
          <w:rFonts w:cs="Arial"/>
          <w:b/>
          <w:szCs w:val="22"/>
        </w:rPr>
      </w:pPr>
      <w:bookmarkStart w:id="259" w:name="_Toc469499806"/>
      <w:bookmarkStart w:id="260" w:name="_Toc473581463"/>
      <w:r w:rsidRPr="00981456">
        <w:rPr>
          <w:rFonts w:cs="Arial"/>
          <w:b/>
          <w:szCs w:val="22"/>
        </w:rPr>
        <w:t xml:space="preserve">Infraestructura para </w:t>
      </w:r>
      <w:r w:rsidR="00BA38E9">
        <w:rPr>
          <w:rFonts w:cs="Arial"/>
          <w:b/>
          <w:szCs w:val="22"/>
        </w:rPr>
        <w:t xml:space="preserve">la atención de </w:t>
      </w:r>
      <w:r w:rsidRPr="00981456">
        <w:rPr>
          <w:rFonts w:cs="Arial"/>
          <w:b/>
          <w:szCs w:val="22"/>
        </w:rPr>
        <w:t>la primera infancia</w:t>
      </w:r>
      <w:bookmarkEnd w:id="259"/>
      <w:bookmarkEnd w:id="260"/>
    </w:p>
    <w:p w:rsidR="003B5B68" w:rsidRDefault="003B5B68" w:rsidP="00B969F3">
      <w:pPr>
        <w:jc w:val="both"/>
        <w:rPr>
          <w:rFonts w:cs="Arial"/>
        </w:rPr>
      </w:pPr>
    </w:p>
    <w:p w:rsidR="00B969F3" w:rsidRPr="006F0AF4" w:rsidRDefault="00B969F3" w:rsidP="00B969F3">
      <w:pPr>
        <w:jc w:val="both"/>
        <w:rPr>
          <w:rFonts w:cs="Arial"/>
        </w:rPr>
      </w:pPr>
      <w:r w:rsidRPr="006F0AF4">
        <w:rPr>
          <w:rFonts w:cs="Arial"/>
        </w:rPr>
        <w:t>La atención a la primera infancia se desarrolla en diferentes tipos de edificaciones, ya sean propiedad del ICBF o no, de acuerdo con el tipo de programa de atención que se presta en ellas. Por lo tanto, los procesos que desarrolla el Grupo Infraestructura Inmobiliaria - GII en este sentido se orientan a la supervisión y acompañamiento técnico de los contratos que para tal fin se realicen.</w:t>
      </w:r>
    </w:p>
    <w:p w:rsidR="00B969F3" w:rsidRPr="006F0AF4" w:rsidRDefault="00B969F3" w:rsidP="00B969F3">
      <w:pPr>
        <w:jc w:val="both"/>
        <w:rPr>
          <w:rFonts w:cs="Arial"/>
        </w:rPr>
      </w:pPr>
      <w:r w:rsidRPr="006F0AF4">
        <w:rPr>
          <w:rFonts w:cs="Arial"/>
        </w:rPr>
        <w:t xml:space="preserve">Hasta 2013 las necesidades identificadas por el GII se desarrollaban a través de contratos interadministrativos de gerencia integral de proyectos con ejecutores como FONADE y FONDECUN o, a través de convenios interadministrativos y/o de asociación para aunar esfuerzos entre diferentes entidades públicas y/o privadas, como por ejemplo Fundación Carulla, Fundación Argos, Fundación Carvajal. Posteriormente, en atención al plan de mejoramiento suscrito con la Contraloría General de la República, los procesos de selección por parte del ICBF se realizan de manera directa. </w:t>
      </w:r>
    </w:p>
    <w:p w:rsidR="00B969F3" w:rsidRPr="006F0AF4" w:rsidRDefault="00B969F3" w:rsidP="00B969F3">
      <w:pPr>
        <w:jc w:val="both"/>
        <w:rPr>
          <w:rFonts w:cs="Arial"/>
        </w:rPr>
      </w:pPr>
      <w:r w:rsidRPr="006F0AF4">
        <w:rPr>
          <w:rFonts w:cs="Arial"/>
        </w:rPr>
        <w:t>Para 2016, el Grupo de Infraestructura Inmobiliaria adelantó el seguimiento y supervisión de los siguientes convenios/contratos y proyectos, los cuales son intervenidos con recursos propios del ICBF:</w:t>
      </w:r>
    </w:p>
    <w:p w:rsidR="00B969F3" w:rsidRPr="006F0AF4" w:rsidRDefault="00B969F3" w:rsidP="00F55E17">
      <w:pPr>
        <w:spacing w:after="0"/>
        <w:jc w:val="center"/>
        <w:rPr>
          <w:rFonts w:cs="Arial"/>
          <w:b/>
        </w:rPr>
      </w:pPr>
      <w:r w:rsidRPr="006F0AF4">
        <w:rPr>
          <w:rFonts w:cs="Arial"/>
          <w:b/>
        </w:rPr>
        <w:t>Proyectos en ejecución a cargo del GII – Primera Infancia</w:t>
      </w:r>
    </w:p>
    <w:tbl>
      <w:tblPr>
        <w:tblStyle w:val="Tablaconcuadrcula1"/>
        <w:tblW w:w="9078"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836"/>
        <w:gridCol w:w="1990"/>
        <w:gridCol w:w="1559"/>
        <w:gridCol w:w="1271"/>
        <w:gridCol w:w="1422"/>
      </w:tblGrid>
      <w:tr w:rsidR="00427253" w:rsidRPr="006F0AF4" w:rsidTr="00FC6E71">
        <w:trPr>
          <w:trHeight w:val="285"/>
          <w:tblHeader/>
          <w:jc w:val="center"/>
        </w:trPr>
        <w:tc>
          <w:tcPr>
            <w:tcW w:w="2836"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Convenio - Fuente de recursos</w:t>
            </w:r>
          </w:p>
        </w:tc>
        <w:tc>
          <w:tcPr>
            <w:tcW w:w="1990"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Departamento</w:t>
            </w:r>
          </w:p>
        </w:tc>
        <w:tc>
          <w:tcPr>
            <w:tcW w:w="1559"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Municipio</w:t>
            </w:r>
          </w:p>
        </w:tc>
        <w:tc>
          <w:tcPr>
            <w:tcW w:w="1271"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Capacidad</w:t>
            </w:r>
          </w:p>
        </w:tc>
        <w:tc>
          <w:tcPr>
            <w:tcW w:w="1422"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Tipo de intervención</w:t>
            </w:r>
          </w:p>
        </w:tc>
      </w:tr>
      <w:tr w:rsidR="00427253" w:rsidRPr="006F0AF4" w:rsidTr="00FC6E71">
        <w:trPr>
          <w:trHeight w:val="285"/>
          <w:jc w:val="center"/>
        </w:trPr>
        <w:tc>
          <w:tcPr>
            <w:tcW w:w="2836" w:type="dxa"/>
          </w:tcPr>
          <w:p w:rsidR="00427253" w:rsidRPr="00E07128" w:rsidRDefault="00427253" w:rsidP="00B524DF">
            <w:pPr>
              <w:spacing w:after="0" w:line="240" w:lineRule="auto"/>
              <w:jc w:val="both"/>
              <w:rPr>
                <w:rFonts w:cs="Arial"/>
                <w:iCs/>
                <w:sz w:val="18"/>
                <w:szCs w:val="20"/>
              </w:rPr>
            </w:pPr>
            <w:r w:rsidRPr="00E07128">
              <w:rPr>
                <w:rFonts w:cs="Arial"/>
                <w:iCs/>
                <w:sz w:val="18"/>
                <w:szCs w:val="20"/>
              </w:rPr>
              <w:t>Contrato interadministrativo</w:t>
            </w:r>
          </w:p>
          <w:p w:rsidR="00427253" w:rsidRPr="00E07128" w:rsidRDefault="00427253" w:rsidP="00B524DF">
            <w:pPr>
              <w:spacing w:after="0" w:line="240" w:lineRule="auto"/>
              <w:jc w:val="both"/>
              <w:rPr>
                <w:rFonts w:cs="Arial"/>
                <w:iCs/>
                <w:sz w:val="18"/>
                <w:szCs w:val="20"/>
              </w:rPr>
            </w:pPr>
            <w:r w:rsidRPr="00E07128">
              <w:rPr>
                <w:rFonts w:cs="Arial"/>
                <w:iCs/>
                <w:sz w:val="18"/>
                <w:szCs w:val="20"/>
              </w:rPr>
              <w:t>1564-2016 ICBF- FINDETER</w:t>
            </w:r>
          </w:p>
        </w:tc>
        <w:tc>
          <w:tcPr>
            <w:tcW w:w="1990"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Bolívar</w:t>
            </w:r>
          </w:p>
        </w:tc>
        <w:tc>
          <w:tcPr>
            <w:tcW w:w="1559"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Cartagena</w:t>
            </w:r>
          </w:p>
        </w:tc>
        <w:tc>
          <w:tcPr>
            <w:tcW w:w="1271"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140</w:t>
            </w:r>
          </w:p>
        </w:tc>
        <w:tc>
          <w:tcPr>
            <w:tcW w:w="1422"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r w:rsidR="00427253" w:rsidRPr="006F0AF4" w:rsidTr="00FC6E71">
        <w:trPr>
          <w:trHeight w:val="285"/>
          <w:jc w:val="center"/>
        </w:trPr>
        <w:tc>
          <w:tcPr>
            <w:tcW w:w="2836" w:type="dxa"/>
          </w:tcPr>
          <w:p w:rsidR="00427253" w:rsidRPr="00E07128" w:rsidRDefault="00427253" w:rsidP="00B524DF">
            <w:pPr>
              <w:spacing w:after="0" w:line="240" w:lineRule="auto"/>
              <w:jc w:val="both"/>
              <w:rPr>
                <w:rFonts w:cs="Arial"/>
                <w:iCs/>
                <w:sz w:val="18"/>
                <w:szCs w:val="20"/>
              </w:rPr>
            </w:pPr>
            <w:r w:rsidRPr="00E07128">
              <w:rPr>
                <w:rFonts w:cs="Arial"/>
                <w:iCs/>
                <w:sz w:val="18"/>
                <w:szCs w:val="20"/>
              </w:rPr>
              <w:t xml:space="preserve">Contrato interadministrativo </w:t>
            </w:r>
          </w:p>
          <w:p w:rsidR="00427253" w:rsidRPr="00E07128" w:rsidRDefault="00427253" w:rsidP="00B524DF">
            <w:pPr>
              <w:spacing w:after="0" w:line="240" w:lineRule="auto"/>
              <w:jc w:val="both"/>
              <w:rPr>
                <w:rFonts w:cs="Arial"/>
                <w:iCs/>
                <w:sz w:val="18"/>
                <w:szCs w:val="20"/>
              </w:rPr>
            </w:pPr>
            <w:r w:rsidRPr="00E07128">
              <w:rPr>
                <w:rFonts w:cs="Arial"/>
                <w:iCs/>
                <w:sz w:val="18"/>
                <w:szCs w:val="20"/>
              </w:rPr>
              <w:t>1564-2016 ICBF- FINDETER</w:t>
            </w:r>
          </w:p>
        </w:tc>
        <w:tc>
          <w:tcPr>
            <w:tcW w:w="1990"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Cundinamarca</w:t>
            </w:r>
          </w:p>
        </w:tc>
        <w:tc>
          <w:tcPr>
            <w:tcW w:w="1559"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Pacho</w:t>
            </w:r>
          </w:p>
        </w:tc>
        <w:tc>
          <w:tcPr>
            <w:tcW w:w="1271"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135</w:t>
            </w:r>
          </w:p>
        </w:tc>
        <w:tc>
          <w:tcPr>
            <w:tcW w:w="1422"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r w:rsidR="00427253" w:rsidRPr="006F0AF4" w:rsidTr="00FC6E71">
        <w:trPr>
          <w:trHeight w:val="285"/>
          <w:jc w:val="center"/>
        </w:trPr>
        <w:tc>
          <w:tcPr>
            <w:tcW w:w="2836" w:type="dxa"/>
          </w:tcPr>
          <w:p w:rsidR="00427253" w:rsidRPr="00E07128" w:rsidRDefault="00427253" w:rsidP="00B524DF">
            <w:pPr>
              <w:spacing w:after="0" w:line="240" w:lineRule="auto"/>
              <w:jc w:val="both"/>
              <w:rPr>
                <w:rFonts w:cs="Arial"/>
                <w:iCs/>
                <w:sz w:val="18"/>
                <w:szCs w:val="20"/>
              </w:rPr>
            </w:pPr>
            <w:r w:rsidRPr="00E07128">
              <w:rPr>
                <w:rFonts w:cs="Arial"/>
                <w:iCs/>
                <w:sz w:val="18"/>
                <w:szCs w:val="20"/>
              </w:rPr>
              <w:t>Convenio 007-2016</w:t>
            </w:r>
          </w:p>
          <w:p w:rsidR="00427253" w:rsidRPr="00E07128" w:rsidRDefault="00427253" w:rsidP="00B524DF">
            <w:pPr>
              <w:spacing w:after="0" w:line="240" w:lineRule="auto"/>
              <w:jc w:val="both"/>
              <w:rPr>
                <w:rFonts w:cs="Arial"/>
                <w:iCs/>
                <w:sz w:val="18"/>
                <w:szCs w:val="20"/>
              </w:rPr>
            </w:pPr>
            <w:r w:rsidRPr="00E07128">
              <w:rPr>
                <w:rFonts w:cs="Arial"/>
                <w:iCs/>
                <w:sz w:val="18"/>
                <w:szCs w:val="20"/>
              </w:rPr>
              <w:t>DAPRE-ICBF</w:t>
            </w:r>
          </w:p>
        </w:tc>
        <w:tc>
          <w:tcPr>
            <w:tcW w:w="1990"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Santander</w:t>
            </w:r>
          </w:p>
        </w:tc>
        <w:tc>
          <w:tcPr>
            <w:tcW w:w="1559"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Vélez</w:t>
            </w:r>
          </w:p>
        </w:tc>
        <w:tc>
          <w:tcPr>
            <w:tcW w:w="1271"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95</w:t>
            </w:r>
          </w:p>
        </w:tc>
        <w:tc>
          <w:tcPr>
            <w:tcW w:w="1422" w:type="dxa"/>
            <w:vAlign w:val="center"/>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Demolición –obra Nueva</w:t>
            </w:r>
          </w:p>
        </w:tc>
      </w:tr>
    </w:tbl>
    <w:p w:rsidR="00B969F3" w:rsidRDefault="00B969F3" w:rsidP="00B969F3">
      <w:pPr>
        <w:spacing w:after="0"/>
        <w:jc w:val="both"/>
        <w:rPr>
          <w:rFonts w:cs="Arial"/>
          <w:sz w:val="16"/>
          <w:szCs w:val="20"/>
        </w:rPr>
      </w:pPr>
      <w:r w:rsidRPr="00E07128">
        <w:rPr>
          <w:rFonts w:cs="Arial"/>
          <w:b/>
          <w:bCs/>
          <w:iCs/>
          <w:color w:val="0070C0"/>
          <w:sz w:val="20"/>
          <w:szCs w:val="24"/>
        </w:rPr>
        <w:t xml:space="preserve">  </w:t>
      </w: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rsidR="00D8710A" w:rsidRPr="00D21160" w:rsidRDefault="00D8710A" w:rsidP="00D8710A">
      <w:pPr>
        <w:spacing w:after="0" w:line="240" w:lineRule="auto"/>
        <w:jc w:val="both"/>
        <w:rPr>
          <w:rFonts w:cs="Arial"/>
          <w:sz w:val="16"/>
          <w:lang w:val="es-CO" w:eastAsia="es-ES"/>
        </w:rPr>
      </w:pPr>
    </w:p>
    <w:p w:rsidR="00B969F3" w:rsidRPr="006F0AF4" w:rsidRDefault="00B969F3" w:rsidP="00B969F3">
      <w:pPr>
        <w:spacing w:after="0"/>
        <w:jc w:val="both"/>
        <w:rPr>
          <w:rFonts w:cs="Arial"/>
          <w:color w:val="0070C0"/>
        </w:rPr>
      </w:pPr>
      <w:r w:rsidRPr="006F0AF4">
        <w:rPr>
          <w:rFonts w:cs="Arial"/>
        </w:rPr>
        <w:t>En materia de adecuaciones, el Grupo de Infraestructura Inmobiliaria adelantó la contratación y supervisión de las adecuaciones de los siguientes Hogares Infantiles, los cuales fueron intervenidos con recursos del ICBF</w:t>
      </w:r>
      <w:r w:rsidRPr="006F0AF4">
        <w:rPr>
          <w:rFonts w:cs="Arial"/>
          <w:color w:val="0070C0"/>
        </w:rPr>
        <w:t>:</w:t>
      </w:r>
    </w:p>
    <w:p w:rsidR="00D8710A" w:rsidRPr="006F0AF4" w:rsidRDefault="00D8710A" w:rsidP="00B969F3">
      <w:pPr>
        <w:spacing w:after="0"/>
        <w:jc w:val="both"/>
        <w:rPr>
          <w:rFonts w:cs="Arial"/>
          <w:color w:val="0070C0"/>
        </w:rPr>
      </w:pPr>
    </w:p>
    <w:p w:rsidR="00FC6E71" w:rsidRPr="006F0AF4" w:rsidRDefault="00B969F3" w:rsidP="00B84E79">
      <w:pPr>
        <w:spacing w:after="0"/>
        <w:jc w:val="center"/>
        <w:rPr>
          <w:rFonts w:cs="Arial"/>
          <w:b/>
          <w:bCs/>
          <w:iCs/>
        </w:rPr>
      </w:pPr>
      <w:r w:rsidRPr="006F0AF4">
        <w:rPr>
          <w:rFonts w:cs="Arial"/>
          <w:b/>
          <w:bCs/>
          <w:iCs/>
        </w:rPr>
        <w:t xml:space="preserve">Adecuaciones hogares infantiles </w:t>
      </w:r>
      <w:r w:rsidR="00FC6E71">
        <w:rPr>
          <w:rFonts w:cs="Arial"/>
          <w:b/>
          <w:bCs/>
          <w:iCs/>
        </w:rPr>
        <w:t>–</w:t>
      </w:r>
      <w:r w:rsidRPr="006F0AF4">
        <w:rPr>
          <w:rFonts w:cs="Arial"/>
          <w:b/>
          <w:bCs/>
          <w:iCs/>
        </w:rPr>
        <w:t xml:space="preserve"> GII</w:t>
      </w:r>
    </w:p>
    <w:tbl>
      <w:tblPr>
        <w:tblStyle w:val="Tablaconcuadrcula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661"/>
        <w:gridCol w:w="1427"/>
        <w:gridCol w:w="1197"/>
        <w:gridCol w:w="1557"/>
      </w:tblGrid>
      <w:tr w:rsidR="00427253" w:rsidRPr="006F0AF4" w:rsidTr="00F55E17">
        <w:trPr>
          <w:trHeight w:val="285"/>
          <w:tblHeader/>
          <w:jc w:val="center"/>
        </w:trPr>
        <w:tc>
          <w:tcPr>
            <w:tcW w:w="2661" w:type="dxa"/>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 xml:space="preserve">Convenio </w:t>
            </w:r>
          </w:p>
        </w:tc>
        <w:tc>
          <w:tcPr>
            <w:tcW w:w="0" w:type="auto"/>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Departamento</w:t>
            </w:r>
          </w:p>
        </w:tc>
        <w:tc>
          <w:tcPr>
            <w:tcW w:w="0" w:type="auto"/>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Municipio</w:t>
            </w:r>
          </w:p>
        </w:tc>
        <w:tc>
          <w:tcPr>
            <w:tcW w:w="0" w:type="auto"/>
            <w:shd w:val="clear" w:color="auto" w:fill="76923C" w:themeFill="accent3" w:themeFillShade="BF"/>
            <w:vAlign w:val="center"/>
          </w:tcPr>
          <w:p w:rsidR="00427253" w:rsidRPr="00FC6E71" w:rsidRDefault="00427253" w:rsidP="00B524DF">
            <w:pPr>
              <w:spacing w:after="0" w:line="240" w:lineRule="auto"/>
              <w:jc w:val="center"/>
              <w:rPr>
                <w:rFonts w:cs="Arial"/>
                <w:b/>
                <w:bCs/>
                <w:color w:val="FFFFFF" w:themeColor="background1"/>
                <w:sz w:val="18"/>
                <w:szCs w:val="20"/>
              </w:rPr>
            </w:pPr>
            <w:r w:rsidRPr="00FC6E71">
              <w:rPr>
                <w:rFonts w:cs="Arial"/>
                <w:b/>
                <w:bCs/>
                <w:color w:val="FFFFFF" w:themeColor="background1"/>
                <w:sz w:val="18"/>
                <w:szCs w:val="20"/>
              </w:rPr>
              <w:t>Nombre</w:t>
            </w:r>
          </w:p>
        </w:tc>
      </w:tr>
      <w:tr w:rsidR="00427253" w:rsidRPr="006F0AF4" w:rsidTr="00FC6E71">
        <w:trPr>
          <w:trHeight w:val="284"/>
          <w:jc w:val="center"/>
        </w:trPr>
        <w:tc>
          <w:tcPr>
            <w:tcW w:w="2661" w:type="dxa"/>
          </w:tcPr>
          <w:p w:rsidR="00427253" w:rsidRPr="00E07128" w:rsidRDefault="00427253" w:rsidP="00B524DF">
            <w:pPr>
              <w:spacing w:after="0" w:line="240" w:lineRule="auto"/>
              <w:jc w:val="both"/>
              <w:rPr>
                <w:rFonts w:cs="Arial"/>
                <w:i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Córdoba</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Tierra Alta</w:t>
            </w:r>
          </w:p>
        </w:tc>
        <w:tc>
          <w:tcPr>
            <w:tcW w:w="0" w:type="auto"/>
            <w:vAlign w:val="center"/>
            <w:hideMark/>
          </w:tcPr>
          <w:p w:rsidR="00427253" w:rsidRPr="00E07128" w:rsidRDefault="00FC6E71" w:rsidP="00B524DF">
            <w:pPr>
              <w:spacing w:after="0" w:line="240" w:lineRule="auto"/>
              <w:jc w:val="center"/>
              <w:rPr>
                <w:rFonts w:cs="Arial"/>
                <w:bCs/>
                <w:iCs/>
                <w:sz w:val="18"/>
                <w:szCs w:val="20"/>
              </w:rPr>
            </w:pPr>
            <w:r>
              <w:rPr>
                <w:rFonts w:cs="Arial"/>
                <w:bCs/>
                <w:iCs/>
                <w:sz w:val="18"/>
                <w:szCs w:val="20"/>
              </w:rPr>
              <w:t>Divino N</w:t>
            </w:r>
            <w:r w:rsidR="00427253" w:rsidRPr="00E07128">
              <w:rPr>
                <w:rFonts w:cs="Arial"/>
                <w:bCs/>
                <w:iCs/>
                <w:sz w:val="18"/>
                <w:szCs w:val="20"/>
              </w:rPr>
              <w:t>iño</w:t>
            </w:r>
          </w:p>
        </w:tc>
      </w:tr>
      <w:tr w:rsidR="00427253" w:rsidRPr="006F0AF4" w:rsidTr="00FC6E71">
        <w:trPr>
          <w:trHeight w:val="284"/>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Atlántico</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P</w:t>
            </w:r>
            <w:r w:rsidR="00FC6E71">
              <w:rPr>
                <w:rFonts w:cs="Arial"/>
                <w:sz w:val="18"/>
                <w:szCs w:val="20"/>
              </w:rPr>
              <w:t>.</w:t>
            </w:r>
            <w:r w:rsidRPr="00E07128">
              <w:rPr>
                <w:rFonts w:cs="Arial"/>
                <w:sz w:val="18"/>
                <w:szCs w:val="20"/>
              </w:rPr>
              <w:t xml:space="preserve"> Colombia</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Puerto Colombia</w:t>
            </w:r>
          </w:p>
        </w:tc>
      </w:tr>
      <w:tr w:rsidR="00427253" w:rsidRPr="006F0AF4" w:rsidTr="00FC6E71">
        <w:trPr>
          <w:trHeight w:val="284"/>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Santander</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Barbosa</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Chapulín</w:t>
            </w:r>
          </w:p>
        </w:tc>
      </w:tr>
      <w:tr w:rsidR="00427253" w:rsidRPr="006F0AF4" w:rsidTr="00FC6E71">
        <w:trPr>
          <w:trHeight w:val="284"/>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Atlántico</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Candelaria</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Candelaria</w:t>
            </w:r>
          </w:p>
        </w:tc>
      </w:tr>
      <w:tr w:rsidR="00427253" w:rsidRPr="006F0AF4" w:rsidTr="00FC6E71">
        <w:trPr>
          <w:trHeight w:val="284"/>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Cesar</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La Paz</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La Paz</w:t>
            </w:r>
          </w:p>
        </w:tc>
      </w:tr>
      <w:tr w:rsidR="00427253" w:rsidRPr="006F0AF4" w:rsidTr="00FC6E71">
        <w:trPr>
          <w:trHeight w:val="284"/>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Risaralda</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Otún 1</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Otún</w:t>
            </w:r>
          </w:p>
        </w:tc>
      </w:tr>
      <w:tr w:rsidR="00427253" w:rsidRPr="006F0AF4" w:rsidTr="00FC6E71">
        <w:trPr>
          <w:trHeight w:val="572"/>
          <w:jc w:val="center"/>
        </w:trPr>
        <w:tc>
          <w:tcPr>
            <w:tcW w:w="2661" w:type="dxa"/>
          </w:tcPr>
          <w:p w:rsidR="00427253" w:rsidRPr="00E07128" w:rsidRDefault="00427253" w:rsidP="00B524DF">
            <w:pPr>
              <w:spacing w:after="0" w:line="240" w:lineRule="auto"/>
              <w:rPr>
                <w:rFonts w:cs="Arial"/>
                <w:b/>
                <w:bCs/>
                <w:sz w:val="18"/>
                <w:szCs w:val="20"/>
              </w:rPr>
            </w:pPr>
            <w:r w:rsidRPr="00E07128">
              <w:rPr>
                <w:rFonts w:cs="Arial"/>
                <w:iCs/>
                <w:sz w:val="18"/>
                <w:szCs w:val="20"/>
              </w:rPr>
              <w:t xml:space="preserve">Contrato de adecuaciones 1541 de 2015 </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Risaralda</w:t>
            </w:r>
          </w:p>
        </w:tc>
        <w:tc>
          <w:tcPr>
            <w:tcW w:w="0" w:type="auto"/>
            <w:vAlign w:val="center"/>
            <w:hideMark/>
          </w:tcPr>
          <w:p w:rsidR="00427253" w:rsidRPr="00E07128" w:rsidRDefault="00427253" w:rsidP="00B524DF">
            <w:pPr>
              <w:spacing w:after="0" w:line="240" w:lineRule="auto"/>
              <w:jc w:val="center"/>
              <w:rPr>
                <w:rFonts w:cs="Arial"/>
                <w:sz w:val="18"/>
                <w:szCs w:val="20"/>
              </w:rPr>
            </w:pPr>
            <w:r w:rsidRPr="00E07128">
              <w:rPr>
                <w:rFonts w:cs="Arial"/>
                <w:sz w:val="18"/>
                <w:szCs w:val="20"/>
              </w:rPr>
              <w:t>Otún 2</w:t>
            </w:r>
          </w:p>
        </w:tc>
        <w:tc>
          <w:tcPr>
            <w:tcW w:w="0" w:type="auto"/>
            <w:vAlign w:val="center"/>
            <w:hideMark/>
          </w:tcPr>
          <w:p w:rsidR="00427253" w:rsidRPr="00E07128" w:rsidRDefault="00427253" w:rsidP="00B524DF">
            <w:pPr>
              <w:spacing w:after="0" w:line="240" w:lineRule="auto"/>
              <w:jc w:val="center"/>
              <w:rPr>
                <w:rFonts w:cs="Arial"/>
                <w:bCs/>
                <w:iCs/>
                <w:sz w:val="18"/>
                <w:szCs w:val="20"/>
              </w:rPr>
            </w:pPr>
            <w:r w:rsidRPr="00E07128">
              <w:rPr>
                <w:rFonts w:cs="Arial"/>
                <w:bCs/>
                <w:iCs/>
                <w:sz w:val="18"/>
                <w:szCs w:val="20"/>
              </w:rPr>
              <w:t>El Jardín</w:t>
            </w:r>
          </w:p>
        </w:tc>
      </w:tr>
    </w:tbl>
    <w:p w:rsidR="00B969F3" w:rsidRDefault="00B969F3" w:rsidP="00E07128">
      <w:pPr>
        <w:spacing w:after="0"/>
        <w:rPr>
          <w:rFonts w:cs="Arial"/>
          <w:sz w:val="16"/>
          <w:szCs w:val="20"/>
        </w:rPr>
      </w:pPr>
      <w:r w:rsidRPr="006F0AF4">
        <w:rPr>
          <w:rFonts w:cs="Arial"/>
          <w:b/>
          <w:bCs/>
          <w:iCs/>
          <w:sz w:val="24"/>
          <w:szCs w:val="24"/>
        </w:rPr>
        <w:t xml:space="preserve">  </w:t>
      </w:r>
      <w:r w:rsidRPr="006F0AF4">
        <w:rPr>
          <w:rFonts w:cs="Arial"/>
          <w:b/>
          <w:bCs/>
          <w:iCs/>
          <w:sz w:val="24"/>
          <w:szCs w:val="24"/>
        </w:rPr>
        <w:tab/>
      </w:r>
      <w:r w:rsidRPr="006F0AF4">
        <w:rPr>
          <w:rFonts w:cs="Arial"/>
          <w:b/>
          <w:bCs/>
          <w:iCs/>
          <w:sz w:val="24"/>
          <w:szCs w:val="24"/>
        </w:rPr>
        <w:tab/>
      </w: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rsidR="00D8710A" w:rsidRPr="00D21160" w:rsidRDefault="00D8710A" w:rsidP="009C25F2">
      <w:pPr>
        <w:rPr>
          <w:rFonts w:cs="Arial"/>
          <w:sz w:val="16"/>
          <w:lang w:val="es-CO" w:eastAsia="es-ES"/>
        </w:rPr>
      </w:pPr>
      <w:r>
        <w:rPr>
          <w:rFonts w:cs="Arial"/>
          <w:sz w:val="16"/>
          <w:szCs w:val="20"/>
        </w:rPr>
        <w:tab/>
      </w:r>
      <w:r>
        <w:rPr>
          <w:rFonts w:cs="Arial"/>
          <w:sz w:val="16"/>
          <w:szCs w:val="20"/>
        </w:rPr>
        <w:tab/>
      </w:r>
    </w:p>
    <w:p w:rsidR="00B969F3" w:rsidRPr="006F0AF4" w:rsidRDefault="00B969F3" w:rsidP="00B969F3">
      <w:pPr>
        <w:jc w:val="both"/>
        <w:rPr>
          <w:rFonts w:cs="Arial"/>
        </w:rPr>
      </w:pPr>
      <w:r w:rsidRPr="006F0AF4">
        <w:rPr>
          <w:rFonts w:cs="Arial"/>
        </w:rPr>
        <w:t>En el marco del plan de acción de la coordinación del Grupo de Infraestructura Inmobiliaria, se desarrollaron en 2016 actividades adicionales, tales como:</w:t>
      </w:r>
    </w:p>
    <w:p w:rsidR="00B969F3" w:rsidRDefault="00B969F3" w:rsidP="00D712DC">
      <w:pPr>
        <w:numPr>
          <w:ilvl w:val="0"/>
          <w:numId w:val="99"/>
        </w:numPr>
        <w:spacing w:after="0"/>
        <w:jc w:val="both"/>
        <w:rPr>
          <w:rFonts w:cs="Arial"/>
        </w:rPr>
      </w:pPr>
      <w:r w:rsidRPr="006F0AF4">
        <w:rPr>
          <w:rFonts w:cs="Arial"/>
          <w:b/>
        </w:rPr>
        <w:t>Construcción de la Guía de implementación de proyectos de infraestructura de atención a primera infancia:</w:t>
      </w:r>
      <w:r w:rsidRPr="006F0AF4">
        <w:rPr>
          <w:rFonts w:cs="Arial"/>
        </w:rPr>
        <w:t xml:space="preserve"> documento construido con base en los ejercicios de trabajo colectivo realizados bajo las mesas conformadas entre el comité técnico NTC Primera Infancia, convenio Icontec y Ministerio de Educación. La guía se encuentra disponible en la página oficial del ICBF desde el 12 de agosto de 2016.</w:t>
      </w:r>
    </w:p>
    <w:p w:rsidR="00FC6E71" w:rsidRDefault="00FC6E71" w:rsidP="00FC6E71">
      <w:pPr>
        <w:spacing w:after="0"/>
        <w:ind w:left="360"/>
        <w:jc w:val="both"/>
        <w:rPr>
          <w:rFonts w:cs="Arial"/>
        </w:rPr>
      </w:pPr>
    </w:p>
    <w:p w:rsidR="00B969F3" w:rsidRDefault="00B969F3" w:rsidP="00D712DC">
      <w:pPr>
        <w:numPr>
          <w:ilvl w:val="0"/>
          <w:numId w:val="99"/>
        </w:numPr>
        <w:spacing w:after="0"/>
        <w:jc w:val="both"/>
        <w:rPr>
          <w:rFonts w:cs="Arial"/>
        </w:rPr>
      </w:pPr>
      <w:r w:rsidRPr="001767CE">
        <w:rPr>
          <w:rFonts w:cs="Arial"/>
          <w:b/>
        </w:rPr>
        <w:t>Apoyo a la supervisión de proyectos de infraestructura de atención a la primera infancia:</w:t>
      </w:r>
      <w:r w:rsidRPr="001767CE">
        <w:rPr>
          <w:rFonts w:cs="Arial"/>
        </w:rPr>
        <w:t xml:space="preserve"> apoyo a la supervisión de los contratos de obra 1539 y 1541 de 2015, y acompañamiento técnico a unidades de servicio del ICBF, entidades territoriales y terceros de acuerdo con las solicitudes realizadas; entre éstas se encuentra el Proyecto CDI Soacha y los 21 Proyectos CDI en el marco del convenio 330 MINVIVIENDA – FINDETER.</w:t>
      </w:r>
    </w:p>
    <w:p w:rsidR="00FC6E71" w:rsidRDefault="00FC6E71" w:rsidP="00FC6E71">
      <w:pPr>
        <w:spacing w:after="0"/>
        <w:jc w:val="both"/>
        <w:rPr>
          <w:rFonts w:cs="Arial"/>
        </w:rPr>
      </w:pPr>
    </w:p>
    <w:p w:rsidR="00B969F3" w:rsidRPr="001767CE" w:rsidRDefault="00B969F3" w:rsidP="00D712DC">
      <w:pPr>
        <w:numPr>
          <w:ilvl w:val="0"/>
          <w:numId w:val="99"/>
        </w:numPr>
        <w:spacing w:after="0"/>
        <w:jc w:val="both"/>
        <w:rPr>
          <w:rFonts w:cs="Arial"/>
        </w:rPr>
      </w:pPr>
      <w:r w:rsidRPr="001767CE">
        <w:rPr>
          <w:rFonts w:cs="Arial"/>
          <w:b/>
        </w:rPr>
        <w:t>Apoyo a la supervisión de proyectos de infraestructura de atención de primera infancia en etapa de liquidación</w:t>
      </w:r>
      <w:r w:rsidRPr="001767CE">
        <w:rPr>
          <w:rFonts w:cs="Arial"/>
        </w:rPr>
        <w:t>: apoyo al proceso de liquidación de los convenios correspondientes a primera infancia de vigencias 2011, 2012 y 2013 a cargo del Grupo de Infraestructura, a saber: convenio 468 de 2011 (DAPRE-ICBF), convenio 506 de 2011 (ICBF, DAPRE, Fundación PLAN, municipio de VILLARICA), convenio 3184 de 2012 (ICBF – DAPRE – Fundación PLAN), convenio 155-13 (DAPRE) 1173-13 (ICBF), convenio 1637-13 (ICBF - Fundación PLAN), convenio 1638-13 (ICBF – distrito de Buenaventura - Fundación Carvajal) y convenio 1640-13 (ICBF - municipio de Ibagué – COMFENALCO TOLIMA).</w:t>
      </w:r>
    </w:p>
    <w:p w:rsidR="00B969F3" w:rsidRPr="006F0AF4" w:rsidRDefault="00B969F3" w:rsidP="00B969F3">
      <w:pPr>
        <w:spacing w:after="0"/>
        <w:jc w:val="both"/>
        <w:rPr>
          <w:rFonts w:cs="Arial"/>
        </w:rPr>
      </w:pPr>
    </w:p>
    <w:p w:rsidR="00B969F3" w:rsidRPr="006F0AF4" w:rsidRDefault="00B969F3" w:rsidP="00B969F3">
      <w:pPr>
        <w:spacing w:after="0"/>
        <w:ind w:left="360"/>
        <w:jc w:val="both"/>
        <w:rPr>
          <w:rFonts w:cs="Arial"/>
        </w:rPr>
      </w:pPr>
      <w:r w:rsidRPr="006F0AF4">
        <w:rPr>
          <w:rFonts w:cs="Arial"/>
        </w:rPr>
        <w:t>Igualmente, se consolidó una base de datos para facilitar el seguimiento de los proyectos en liquidación, la cual arrojó los siguientes resultados:</w:t>
      </w:r>
    </w:p>
    <w:p w:rsidR="003B5B68" w:rsidRDefault="003B5B68" w:rsidP="00B969F3">
      <w:pPr>
        <w:spacing w:after="0"/>
        <w:jc w:val="center"/>
        <w:rPr>
          <w:rFonts w:cs="Arial"/>
          <w:b/>
          <w:bCs/>
          <w:iCs/>
        </w:rPr>
      </w:pPr>
    </w:p>
    <w:p w:rsidR="009C25F2" w:rsidRDefault="009C25F2" w:rsidP="00B969F3">
      <w:pPr>
        <w:spacing w:after="0"/>
        <w:jc w:val="center"/>
        <w:rPr>
          <w:rFonts w:cs="Arial"/>
          <w:b/>
          <w:bCs/>
          <w:iCs/>
        </w:rPr>
      </w:pPr>
    </w:p>
    <w:p w:rsidR="009C25F2" w:rsidRDefault="009C25F2" w:rsidP="00B969F3">
      <w:pPr>
        <w:spacing w:after="0"/>
        <w:jc w:val="center"/>
        <w:rPr>
          <w:rFonts w:cs="Arial"/>
          <w:b/>
          <w:bCs/>
          <w:iCs/>
        </w:rPr>
      </w:pPr>
    </w:p>
    <w:p w:rsidR="009C25F2" w:rsidRDefault="009C25F2" w:rsidP="00B969F3">
      <w:pPr>
        <w:spacing w:after="0"/>
        <w:jc w:val="center"/>
        <w:rPr>
          <w:rFonts w:cs="Arial"/>
          <w:b/>
          <w:bCs/>
          <w:iCs/>
        </w:rPr>
      </w:pPr>
    </w:p>
    <w:p w:rsidR="00B969F3" w:rsidRDefault="00B969F3" w:rsidP="00B969F3">
      <w:pPr>
        <w:spacing w:after="0"/>
        <w:jc w:val="center"/>
        <w:rPr>
          <w:rFonts w:cs="Arial"/>
          <w:b/>
          <w:bCs/>
          <w:iCs/>
        </w:rPr>
      </w:pPr>
      <w:r w:rsidRPr="006F0AF4">
        <w:rPr>
          <w:rFonts w:cs="Arial"/>
          <w:b/>
          <w:bCs/>
          <w:iCs/>
        </w:rPr>
        <w:t xml:space="preserve">Liquidación de Contratos o convenios Primera Infancia </w:t>
      </w:r>
      <w:r w:rsidR="00FC6E71">
        <w:rPr>
          <w:rFonts w:cs="Arial"/>
          <w:b/>
          <w:bCs/>
          <w:iCs/>
        </w:rPr>
        <w:t>–</w:t>
      </w:r>
      <w:r w:rsidRPr="006F0AF4">
        <w:rPr>
          <w:rFonts w:cs="Arial"/>
          <w:b/>
          <w:bCs/>
          <w:iCs/>
        </w:rPr>
        <w:t xml:space="preserve"> GII</w:t>
      </w:r>
    </w:p>
    <w:p w:rsidR="00097886" w:rsidRDefault="00097886" w:rsidP="00B969F3">
      <w:pPr>
        <w:spacing w:after="0"/>
        <w:jc w:val="center"/>
        <w:rPr>
          <w:rFonts w:cs="Arial"/>
          <w:b/>
          <w:bCs/>
          <w:iCs/>
        </w:rPr>
      </w:pP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5057"/>
        <w:gridCol w:w="1464"/>
      </w:tblGrid>
      <w:tr w:rsidR="00427253" w:rsidRPr="00E07128" w:rsidTr="00F55E17">
        <w:trPr>
          <w:tblHeader/>
          <w:jc w:val="center"/>
        </w:trPr>
        <w:tc>
          <w:tcPr>
            <w:tcW w:w="6521" w:type="dxa"/>
            <w:gridSpan w:val="2"/>
            <w:shd w:val="clear" w:color="auto" w:fill="76923C" w:themeFill="accent3" w:themeFillShade="BF"/>
          </w:tcPr>
          <w:p w:rsidR="00427253" w:rsidRPr="00E07128" w:rsidRDefault="00427253" w:rsidP="00FC6E71">
            <w:pPr>
              <w:spacing w:after="0" w:line="240" w:lineRule="auto"/>
              <w:jc w:val="center"/>
              <w:rPr>
                <w:rFonts w:cs="Arial"/>
                <w:b/>
                <w:sz w:val="18"/>
              </w:rPr>
            </w:pPr>
            <w:r w:rsidRPr="00FC6E71">
              <w:rPr>
                <w:rFonts w:cs="Arial"/>
                <w:b/>
                <w:color w:val="FFFFFF" w:themeColor="background1"/>
                <w:sz w:val="18"/>
              </w:rPr>
              <w:t xml:space="preserve">Total proyectos de primera </w:t>
            </w:r>
            <w:r w:rsidRPr="00FC6E71">
              <w:rPr>
                <w:rFonts w:cs="Arial"/>
                <w:b/>
                <w:color w:val="FFFFFF" w:themeColor="background1"/>
                <w:sz w:val="18"/>
                <w:shd w:val="clear" w:color="auto" w:fill="76923C" w:themeFill="accent3" w:themeFillShade="BF"/>
              </w:rPr>
              <w:t>infancia en liquidaciones</w:t>
            </w:r>
            <w:r w:rsidRPr="00FC6E71">
              <w:rPr>
                <w:rFonts w:cs="Arial"/>
                <w:b/>
                <w:color w:val="FFFFFF" w:themeColor="background1"/>
                <w:sz w:val="18"/>
              </w:rPr>
              <w:t>: 45</w:t>
            </w:r>
          </w:p>
        </w:tc>
      </w:tr>
      <w:tr w:rsidR="00427253" w:rsidRPr="00E07128" w:rsidTr="00FC6E71">
        <w:trPr>
          <w:jc w:val="center"/>
        </w:trPr>
        <w:tc>
          <w:tcPr>
            <w:tcW w:w="5057" w:type="dxa"/>
          </w:tcPr>
          <w:p w:rsidR="00427253" w:rsidRPr="00E07128" w:rsidRDefault="00427253" w:rsidP="00B524DF">
            <w:pPr>
              <w:spacing w:after="0" w:line="240" w:lineRule="auto"/>
              <w:jc w:val="both"/>
              <w:rPr>
                <w:rFonts w:cs="Arial"/>
                <w:sz w:val="18"/>
              </w:rPr>
            </w:pPr>
            <w:r w:rsidRPr="00E07128">
              <w:rPr>
                <w:rFonts w:cs="Arial"/>
                <w:sz w:val="18"/>
              </w:rPr>
              <w:t>Proyectos en proceso de búsqueda de información</w:t>
            </w:r>
          </w:p>
        </w:tc>
        <w:tc>
          <w:tcPr>
            <w:tcW w:w="1464" w:type="dxa"/>
          </w:tcPr>
          <w:p w:rsidR="00427253" w:rsidRPr="00E07128" w:rsidRDefault="00427253" w:rsidP="00B524DF">
            <w:pPr>
              <w:spacing w:after="0" w:line="240" w:lineRule="auto"/>
              <w:jc w:val="center"/>
              <w:rPr>
                <w:rFonts w:cs="Arial"/>
                <w:sz w:val="18"/>
              </w:rPr>
            </w:pPr>
            <w:r w:rsidRPr="00E07128">
              <w:rPr>
                <w:rFonts w:cs="Arial"/>
                <w:sz w:val="18"/>
              </w:rPr>
              <w:t>24</w:t>
            </w:r>
          </w:p>
        </w:tc>
      </w:tr>
      <w:tr w:rsidR="00427253" w:rsidRPr="00E07128" w:rsidTr="00FC6E71">
        <w:trPr>
          <w:jc w:val="center"/>
        </w:trPr>
        <w:tc>
          <w:tcPr>
            <w:tcW w:w="5057" w:type="dxa"/>
          </w:tcPr>
          <w:p w:rsidR="00427253" w:rsidRPr="00E07128" w:rsidRDefault="00427253" w:rsidP="00B524DF">
            <w:pPr>
              <w:spacing w:after="0" w:line="240" w:lineRule="auto"/>
              <w:jc w:val="both"/>
              <w:rPr>
                <w:rFonts w:cs="Arial"/>
                <w:sz w:val="18"/>
              </w:rPr>
            </w:pPr>
            <w:r w:rsidRPr="00E07128">
              <w:rPr>
                <w:rFonts w:cs="Arial"/>
                <w:sz w:val="18"/>
              </w:rPr>
              <w:t>Proyectos en revisión de documentos</w:t>
            </w:r>
          </w:p>
        </w:tc>
        <w:tc>
          <w:tcPr>
            <w:tcW w:w="1464" w:type="dxa"/>
          </w:tcPr>
          <w:p w:rsidR="00427253" w:rsidRPr="00E07128" w:rsidRDefault="00427253" w:rsidP="00B524DF">
            <w:pPr>
              <w:spacing w:after="0" w:line="240" w:lineRule="auto"/>
              <w:jc w:val="center"/>
              <w:rPr>
                <w:rFonts w:cs="Arial"/>
                <w:sz w:val="18"/>
              </w:rPr>
            </w:pPr>
            <w:r w:rsidRPr="00E07128">
              <w:rPr>
                <w:rFonts w:cs="Arial"/>
                <w:sz w:val="18"/>
              </w:rPr>
              <w:t>14</w:t>
            </w:r>
          </w:p>
        </w:tc>
      </w:tr>
      <w:tr w:rsidR="00427253" w:rsidRPr="00E07128" w:rsidTr="00FC6E71">
        <w:trPr>
          <w:jc w:val="center"/>
        </w:trPr>
        <w:tc>
          <w:tcPr>
            <w:tcW w:w="5057" w:type="dxa"/>
          </w:tcPr>
          <w:p w:rsidR="00427253" w:rsidRPr="00E07128" w:rsidRDefault="00427253" w:rsidP="00B524DF">
            <w:pPr>
              <w:spacing w:after="0" w:line="240" w:lineRule="auto"/>
              <w:jc w:val="both"/>
              <w:rPr>
                <w:rFonts w:cs="Arial"/>
                <w:sz w:val="18"/>
              </w:rPr>
            </w:pPr>
            <w:r w:rsidRPr="00E07128">
              <w:rPr>
                <w:rFonts w:cs="Arial"/>
                <w:sz w:val="18"/>
              </w:rPr>
              <w:t>Proyectos entregados a liquidaciones</w:t>
            </w:r>
          </w:p>
        </w:tc>
        <w:tc>
          <w:tcPr>
            <w:tcW w:w="1464" w:type="dxa"/>
          </w:tcPr>
          <w:p w:rsidR="00427253" w:rsidRPr="00E07128" w:rsidRDefault="00427253" w:rsidP="00B524DF">
            <w:pPr>
              <w:spacing w:after="0" w:line="240" w:lineRule="auto"/>
              <w:jc w:val="center"/>
              <w:rPr>
                <w:rFonts w:cs="Arial"/>
                <w:sz w:val="18"/>
              </w:rPr>
            </w:pPr>
            <w:r w:rsidRPr="00E07128">
              <w:rPr>
                <w:rFonts w:cs="Arial"/>
                <w:sz w:val="18"/>
              </w:rPr>
              <w:t>3</w:t>
            </w:r>
          </w:p>
        </w:tc>
      </w:tr>
      <w:tr w:rsidR="00427253" w:rsidRPr="00E07128" w:rsidTr="00FC6E71">
        <w:trPr>
          <w:jc w:val="center"/>
        </w:trPr>
        <w:tc>
          <w:tcPr>
            <w:tcW w:w="5057" w:type="dxa"/>
          </w:tcPr>
          <w:p w:rsidR="00427253" w:rsidRPr="00E07128" w:rsidRDefault="00427253" w:rsidP="00B524DF">
            <w:pPr>
              <w:spacing w:after="0" w:line="240" w:lineRule="auto"/>
              <w:jc w:val="both"/>
              <w:rPr>
                <w:rFonts w:cs="Arial"/>
                <w:sz w:val="18"/>
              </w:rPr>
            </w:pPr>
            <w:r w:rsidRPr="00E07128">
              <w:rPr>
                <w:rFonts w:cs="Arial"/>
                <w:sz w:val="18"/>
              </w:rPr>
              <w:t>Proyectos en revisión de información con liquidaciones</w:t>
            </w:r>
          </w:p>
        </w:tc>
        <w:tc>
          <w:tcPr>
            <w:tcW w:w="1464" w:type="dxa"/>
          </w:tcPr>
          <w:p w:rsidR="00427253" w:rsidRPr="00E07128" w:rsidRDefault="00427253" w:rsidP="00B524DF">
            <w:pPr>
              <w:spacing w:after="0" w:line="240" w:lineRule="auto"/>
              <w:jc w:val="center"/>
              <w:rPr>
                <w:rFonts w:cs="Arial"/>
                <w:sz w:val="18"/>
              </w:rPr>
            </w:pPr>
            <w:r w:rsidRPr="00E07128">
              <w:rPr>
                <w:rFonts w:cs="Arial"/>
                <w:sz w:val="18"/>
              </w:rPr>
              <w:t>1</w:t>
            </w:r>
          </w:p>
        </w:tc>
      </w:tr>
      <w:tr w:rsidR="00427253" w:rsidRPr="00E07128" w:rsidTr="00FC6E71">
        <w:trPr>
          <w:jc w:val="center"/>
        </w:trPr>
        <w:tc>
          <w:tcPr>
            <w:tcW w:w="5057" w:type="dxa"/>
          </w:tcPr>
          <w:p w:rsidR="00427253" w:rsidRPr="00E07128" w:rsidRDefault="00427253" w:rsidP="00B524DF">
            <w:pPr>
              <w:spacing w:after="0" w:line="240" w:lineRule="auto"/>
              <w:jc w:val="both"/>
              <w:rPr>
                <w:rFonts w:cs="Arial"/>
                <w:sz w:val="18"/>
              </w:rPr>
            </w:pPr>
            <w:r w:rsidRPr="00E07128">
              <w:rPr>
                <w:rFonts w:cs="Arial"/>
                <w:sz w:val="18"/>
              </w:rPr>
              <w:t>Proyectos en consolidación de documentos</w:t>
            </w:r>
          </w:p>
        </w:tc>
        <w:tc>
          <w:tcPr>
            <w:tcW w:w="1464" w:type="dxa"/>
          </w:tcPr>
          <w:p w:rsidR="00427253" w:rsidRPr="00E07128" w:rsidRDefault="00427253" w:rsidP="00B524DF">
            <w:pPr>
              <w:spacing w:after="0" w:line="240" w:lineRule="auto"/>
              <w:jc w:val="center"/>
              <w:rPr>
                <w:rFonts w:cs="Arial"/>
                <w:sz w:val="18"/>
              </w:rPr>
            </w:pPr>
            <w:r w:rsidRPr="00E07128">
              <w:rPr>
                <w:rFonts w:cs="Arial"/>
                <w:sz w:val="18"/>
              </w:rPr>
              <w:t>3</w:t>
            </w:r>
          </w:p>
        </w:tc>
      </w:tr>
    </w:tbl>
    <w:p w:rsidR="00B969F3" w:rsidRDefault="00B969F3" w:rsidP="00F55E17">
      <w:pPr>
        <w:spacing w:after="0"/>
        <w:jc w:val="center"/>
        <w:rPr>
          <w:rFonts w:cs="Arial"/>
          <w:sz w:val="16"/>
          <w:szCs w:val="20"/>
        </w:rPr>
      </w:pPr>
      <w:r w:rsidRPr="00FC6E71">
        <w:rPr>
          <w:rFonts w:cs="Arial"/>
          <w:b/>
          <w:sz w:val="16"/>
          <w:szCs w:val="20"/>
        </w:rPr>
        <w:t>Fuente:</w:t>
      </w:r>
      <w:r w:rsidRPr="00E07128">
        <w:rPr>
          <w:rFonts w:cs="Arial"/>
          <w:sz w:val="16"/>
          <w:szCs w:val="20"/>
        </w:rPr>
        <w:t xml:space="preserve"> Grupo Infraestructura Inmobiliaria ICBF</w:t>
      </w:r>
      <w:r w:rsidR="005B32F2" w:rsidRPr="00E07128">
        <w:rPr>
          <w:rFonts w:cs="Arial"/>
          <w:sz w:val="16"/>
          <w:szCs w:val="20"/>
        </w:rPr>
        <w:t>. Corte a diciembre de 2016.</w:t>
      </w:r>
    </w:p>
    <w:p w:rsidR="009C25F2" w:rsidRDefault="009C25F2" w:rsidP="00F55E17">
      <w:pPr>
        <w:ind w:firstLine="708"/>
        <w:rPr>
          <w:rFonts w:eastAsiaTheme="minorHAnsi" w:cs="Arial"/>
          <w:b/>
        </w:rPr>
      </w:pPr>
    </w:p>
    <w:p w:rsidR="00E50049" w:rsidRPr="00E50049" w:rsidRDefault="00D8710A" w:rsidP="00F55E17">
      <w:pPr>
        <w:ind w:firstLine="708"/>
        <w:rPr>
          <w:rFonts w:eastAsiaTheme="minorHAnsi" w:cs="Arial"/>
          <w:b/>
        </w:rPr>
      </w:pPr>
      <w:r>
        <w:rPr>
          <w:rFonts w:eastAsiaTheme="minorHAnsi" w:cs="Arial"/>
          <w:b/>
        </w:rPr>
        <w:t>E</w:t>
      </w:r>
      <w:r w:rsidR="00E50049" w:rsidRPr="00E50049">
        <w:rPr>
          <w:rFonts w:eastAsiaTheme="minorHAnsi" w:cs="Arial"/>
          <w:b/>
        </w:rPr>
        <w:t xml:space="preserve">ficiencia administrativa </w:t>
      </w:r>
    </w:p>
    <w:p w:rsidR="00B969F3" w:rsidRPr="006F0AF4" w:rsidRDefault="00B969F3" w:rsidP="00B969F3">
      <w:pPr>
        <w:spacing w:after="0"/>
        <w:jc w:val="both"/>
        <w:rPr>
          <w:rFonts w:eastAsiaTheme="minorHAnsi" w:cs="Arial"/>
        </w:rPr>
      </w:pPr>
      <w:r w:rsidRPr="006F0AF4">
        <w:rPr>
          <w:rFonts w:eastAsiaTheme="minorHAnsi" w:cs="Arial"/>
        </w:rPr>
        <w:t xml:space="preserve">Dentro del desarrollo de la política de eficiencia administrativa y cero papel, durante el año 2016, se aprobó el Programa de Gestión Documental (PGD), el cual incluye los Programas Complementarios de Normalización de Formas y Formularios Electrónicos, enfocado a alinear la producción documental con el Sistema de Gestión de Calidad y enmarcar su usabilidad; el Programa de Gestión de Documentos Electrónicos y Electrónicos de Archivo (PGDE – DEA), que conjuga la implementación de nuevas tecnologías de información y comunicación con la producción y gestión documental en el ICBF, para la re-distribución, planeación y reducción paulatina y/o normalizada del uso de dispositivos de escaneo y fotocopiado; y el Programa de Conservación Documental y el Plan de Preservación a Largo Plazo de Documentos Digitales y Electrónicos, dirigidos a garantizar la conservación de la memoria institucional del ICBF. </w:t>
      </w:r>
    </w:p>
    <w:p w:rsidR="00B969F3" w:rsidRPr="006F0AF4" w:rsidRDefault="00B969F3" w:rsidP="00B969F3">
      <w:pPr>
        <w:spacing w:after="0"/>
        <w:jc w:val="both"/>
        <w:rPr>
          <w:rFonts w:eastAsiaTheme="minorHAnsi" w:cs="Arial"/>
        </w:rPr>
      </w:pPr>
    </w:p>
    <w:p w:rsidR="00015C71" w:rsidRPr="006F0AF4" w:rsidRDefault="00B969F3" w:rsidP="00015C71">
      <w:pPr>
        <w:spacing w:after="0"/>
        <w:jc w:val="both"/>
        <w:rPr>
          <w:rFonts w:eastAsiaTheme="minorHAnsi" w:cs="Arial"/>
        </w:rPr>
      </w:pPr>
      <w:r w:rsidRPr="006F0AF4">
        <w:rPr>
          <w:rFonts w:eastAsiaTheme="minorHAnsi" w:cs="Arial"/>
        </w:rPr>
        <w:t>Los programas y planes anteriormente mencionados, se implementan de manera interdependencias a través de un equipo disciplinario que garantiza la pertinencia de la herramienta, esto con el fin de implementar buenas prácticas de gestión documental, desde la planeación y producción documental, promoviendo el uso racional de recursos y la optimización de los mismos.</w:t>
      </w:r>
    </w:p>
    <w:p w:rsidR="00DD1BEF" w:rsidRDefault="00DD1BEF" w:rsidP="00DD1BEF">
      <w:pPr>
        <w:spacing w:after="0"/>
        <w:jc w:val="both"/>
        <w:rPr>
          <w:rFonts w:eastAsiaTheme="minorHAnsi" w:cs="Arial"/>
          <w:color w:val="0070C0"/>
        </w:rPr>
      </w:pPr>
    </w:p>
    <w:p w:rsidR="00015C71" w:rsidRPr="00E50049" w:rsidRDefault="00015C71" w:rsidP="00B8532B">
      <w:pPr>
        <w:spacing w:after="0"/>
        <w:jc w:val="both"/>
        <w:rPr>
          <w:rFonts w:eastAsiaTheme="minorHAnsi" w:cs="Arial"/>
          <w:b/>
        </w:rPr>
      </w:pPr>
      <w:bookmarkStart w:id="261" w:name="_Toc473509165"/>
      <w:bookmarkStart w:id="262" w:name="_Toc473525898"/>
      <w:r w:rsidRPr="00E50049">
        <w:rPr>
          <w:rFonts w:eastAsiaTheme="minorHAnsi" w:cs="Arial"/>
          <w:b/>
        </w:rPr>
        <w:t>Cero papel</w:t>
      </w:r>
      <w:bookmarkEnd w:id="261"/>
      <w:bookmarkEnd w:id="262"/>
    </w:p>
    <w:p w:rsidR="001925F5" w:rsidRPr="006F0AF4" w:rsidRDefault="001925F5" w:rsidP="001925F5">
      <w:pPr>
        <w:pStyle w:val="Prrafodelista"/>
        <w:spacing w:after="0"/>
        <w:ind w:left="720"/>
        <w:jc w:val="both"/>
        <w:rPr>
          <w:rFonts w:eastAsiaTheme="minorHAnsi" w:cs="Arial"/>
          <w:b/>
        </w:rPr>
      </w:pPr>
    </w:p>
    <w:p w:rsidR="00B969F3" w:rsidRPr="006F0AF4" w:rsidRDefault="00B969F3" w:rsidP="00B969F3">
      <w:pPr>
        <w:spacing w:after="0"/>
        <w:jc w:val="both"/>
        <w:rPr>
          <w:rFonts w:eastAsiaTheme="minorHAnsi" w:cs="Arial"/>
        </w:rPr>
      </w:pPr>
      <w:r w:rsidRPr="006F0AF4">
        <w:rPr>
          <w:rFonts w:eastAsiaTheme="minorHAnsi" w:cs="Arial"/>
        </w:rPr>
        <w:t>En el marco de la implementación de la Estrategia de Cero Papel, se realizaron en 2016 mesas técnicas con las dependencias de la sede nacional del ICBF que mayor consumo de papel generan. Esta labor se viene realizando de la mano de las direcciones de Información y Tecnología, y Planeación y Control de Gestión, así como de la Oficina Asesora de Comunicaciones, el grupo de Planeación Administrativa y el Grupo de Gestión Documental.</w:t>
      </w:r>
    </w:p>
    <w:p w:rsidR="00B969F3" w:rsidRPr="006F0AF4" w:rsidRDefault="00B969F3" w:rsidP="00B969F3">
      <w:pPr>
        <w:pStyle w:val="Prrafodelista"/>
        <w:spacing w:after="0"/>
        <w:ind w:left="360"/>
        <w:jc w:val="both"/>
        <w:rPr>
          <w:rFonts w:eastAsiaTheme="minorHAnsi" w:cs="Arial"/>
        </w:rPr>
      </w:pPr>
    </w:p>
    <w:p w:rsidR="00B969F3" w:rsidRPr="006F0AF4" w:rsidRDefault="00B969F3" w:rsidP="00B969F3">
      <w:pPr>
        <w:spacing w:after="0"/>
        <w:jc w:val="both"/>
        <w:rPr>
          <w:rFonts w:eastAsiaTheme="minorHAnsi" w:cs="Arial"/>
        </w:rPr>
      </w:pPr>
      <w:r w:rsidRPr="006F0AF4">
        <w:rPr>
          <w:rFonts w:eastAsiaTheme="minorHAnsi" w:cs="Arial"/>
        </w:rPr>
        <w:t>De lo anterior, se lograron concretar los siguientes compromisos: i) Inclusión de la Estrategia Cero Papel en la Política Ambiental del ICBF. ii) Realización de campaña institucional denominada “desempapélate”. iii) Revisión de impresoras por parte de la Oficina de Informática para obtener un reporte de las dependencias del Instituto que más realizan impresiones.</w:t>
      </w:r>
    </w:p>
    <w:p w:rsidR="00B969F3" w:rsidRDefault="00B969F3" w:rsidP="00B969F3">
      <w:pPr>
        <w:spacing w:after="0"/>
        <w:jc w:val="both"/>
        <w:rPr>
          <w:rFonts w:eastAsiaTheme="minorHAnsi" w:cs="Arial"/>
          <w:color w:val="0070C0"/>
        </w:rPr>
      </w:pPr>
    </w:p>
    <w:p w:rsidR="00C117C8" w:rsidRDefault="00E07128" w:rsidP="00E07128">
      <w:pPr>
        <w:spacing w:after="0"/>
        <w:jc w:val="center"/>
        <w:rPr>
          <w:rFonts w:eastAsiaTheme="minorHAnsi" w:cs="Arial"/>
          <w:color w:val="0070C0"/>
        </w:rPr>
      </w:pPr>
      <w:r w:rsidRPr="006F0AF4">
        <w:rPr>
          <w:noProof/>
          <w:lang w:val="es-CO" w:eastAsia="es-CO"/>
        </w:rPr>
        <w:drawing>
          <wp:inline distT="0" distB="0" distL="0" distR="0" wp14:anchorId="335DFC83" wp14:editId="37AD0209">
            <wp:extent cx="3267986" cy="1788160"/>
            <wp:effectExtent l="0" t="0" r="889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9295" t="33322" r="29963" b="9001"/>
                    <a:stretch/>
                  </pic:blipFill>
                  <pic:spPr bwMode="auto">
                    <a:xfrm>
                      <a:off x="0" y="0"/>
                      <a:ext cx="3271984" cy="1790348"/>
                    </a:xfrm>
                    <a:prstGeom prst="rect">
                      <a:avLst/>
                    </a:prstGeom>
                    <a:noFill/>
                    <a:ln>
                      <a:noFill/>
                    </a:ln>
                    <a:extLst>
                      <a:ext uri="{53640926-AAD7-44D8-BBD7-CCE9431645EC}">
                        <a14:shadowObscured xmlns:a14="http://schemas.microsoft.com/office/drawing/2010/main"/>
                      </a:ext>
                    </a:extLst>
                  </pic:spPr>
                </pic:pic>
              </a:graphicData>
            </a:graphic>
          </wp:inline>
        </w:drawing>
      </w:r>
    </w:p>
    <w:p w:rsidR="00B969F3" w:rsidRPr="00BE783F" w:rsidRDefault="00B969F3" w:rsidP="00E07128">
      <w:pPr>
        <w:spacing w:after="0"/>
        <w:jc w:val="center"/>
        <w:rPr>
          <w:rFonts w:eastAsiaTheme="minorHAnsi" w:cs="Arial"/>
          <w:b/>
        </w:rPr>
      </w:pPr>
      <w:r w:rsidRPr="00BE783F">
        <w:rPr>
          <w:rFonts w:eastAsiaTheme="minorHAnsi" w:cs="Arial"/>
          <w:b/>
        </w:rPr>
        <w:t>Imagen. Campaña “desempapélate”</w:t>
      </w:r>
    </w:p>
    <w:p w:rsidR="00B969F3" w:rsidRPr="00E07128" w:rsidRDefault="00B969F3" w:rsidP="00E07128">
      <w:pPr>
        <w:spacing w:after="0"/>
        <w:jc w:val="center"/>
        <w:rPr>
          <w:rFonts w:cs="Arial"/>
          <w:sz w:val="16"/>
          <w:szCs w:val="20"/>
        </w:rPr>
      </w:pPr>
      <w:r w:rsidRPr="00E07128">
        <w:rPr>
          <w:rFonts w:cs="Arial"/>
          <w:sz w:val="16"/>
          <w:szCs w:val="20"/>
        </w:rPr>
        <w:t>Fuente: Oficina Asesora de Comunicaciones</w:t>
      </w:r>
    </w:p>
    <w:p w:rsidR="00B969F3" w:rsidRPr="00E07128" w:rsidRDefault="00B969F3" w:rsidP="00B969F3">
      <w:pPr>
        <w:pStyle w:val="Prrafodelista"/>
        <w:spacing w:after="0"/>
        <w:ind w:left="360"/>
        <w:jc w:val="both"/>
        <w:rPr>
          <w:rFonts w:eastAsiaTheme="minorHAnsi" w:cs="Arial"/>
          <w:color w:val="0070C0"/>
          <w:sz w:val="18"/>
        </w:rPr>
      </w:pPr>
    </w:p>
    <w:p w:rsidR="00B969F3" w:rsidRPr="006F0AF4" w:rsidRDefault="00B969F3" w:rsidP="00B969F3">
      <w:pPr>
        <w:spacing w:after="0"/>
        <w:jc w:val="both"/>
        <w:rPr>
          <w:rFonts w:eastAsiaTheme="minorHAnsi" w:cs="Arial"/>
        </w:rPr>
      </w:pPr>
      <w:r w:rsidRPr="006F0AF4">
        <w:rPr>
          <w:rFonts w:eastAsiaTheme="minorHAnsi" w:cs="Arial"/>
        </w:rPr>
        <w:t xml:space="preserve">Como resultado de la campaña para reducir el consumo de papel al interior de las áreas de la Sede de la Dirección General, se tuvo a </w:t>
      </w:r>
      <w:r w:rsidR="005B32F2">
        <w:rPr>
          <w:rFonts w:eastAsiaTheme="minorHAnsi" w:cs="Arial"/>
        </w:rPr>
        <w:t>diciembre</w:t>
      </w:r>
      <w:r w:rsidRPr="006F0AF4">
        <w:rPr>
          <w:rFonts w:eastAsiaTheme="minorHAnsi" w:cs="Arial"/>
        </w:rPr>
        <w:t xml:space="preserve"> de 2016 el posicionamiento de este indicador en estado óptimo: </w:t>
      </w:r>
    </w:p>
    <w:p w:rsidR="00B969F3" w:rsidRPr="006F0AF4" w:rsidRDefault="00B969F3" w:rsidP="00B969F3">
      <w:pPr>
        <w:pStyle w:val="Prrafodelista"/>
        <w:spacing w:after="0"/>
        <w:ind w:left="360"/>
        <w:jc w:val="both"/>
        <w:rPr>
          <w:rFonts w:eastAsiaTheme="minorHAnsi" w:cs="Arial"/>
        </w:rPr>
      </w:pPr>
    </w:p>
    <w:p w:rsidR="00B969F3" w:rsidRPr="006F0AF4" w:rsidRDefault="00B969F3" w:rsidP="00BE783F">
      <w:pPr>
        <w:pStyle w:val="Prrafodelista"/>
        <w:spacing w:after="0"/>
        <w:ind w:left="360"/>
        <w:jc w:val="center"/>
        <w:rPr>
          <w:rFonts w:eastAsiaTheme="minorHAnsi" w:cs="Arial"/>
          <w:b/>
        </w:rPr>
      </w:pPr>
      <w:r w:rsidRPr="006F0AF4">
        <w:rPr>
          <w:rFonts w:eastAsiaTheme="minorHAnsi" w:cs="Arial"/>
          <w:b/>
        </w:rPr>
        <w:t>Imagen. Estado del indicador de la Estrategia Cero Papel a agosto de 2016</w:t>
      </w:r>
    </w:p>
    <w:p w:rsidR="00B969F3" w:rsidRPr="006F0AF4" w:rsidRDefault="00B969F3" w:rsidP="00B969F3">
      <w:pPr>
        <w:pStyle w:val="Prrafodelista"/>
        <w:spacing w:after="0"/>
        <w:ind w:left="360"/>
        <w:rPr>
          <w:rFonts w:eastAsiaTheme="minorHAnsi" w:cs="Arial"/>
          <w:b/>
          <w:color w:val="0070C0"/>
        </w:rPr>
      </w:pPr>
    </w:p>
    <w:p w:rsidR="00B969F3" w:rsidRPr="006F0AF4" w:rsidRDefault="00B969F3" w:rsidP="00B969F3">
      <w:pPr>
        <w:spacing w:after="0"/>
        <w:jc w:val="center"/>
        <w:rPr>
          <w:rFonts w:eastAsiaTheme="minorHAnsi" w:cs="Arial"/>
          <w:color w:val="0070C0"/>
          <w:sz w:val="24"/>
          <w:szCs w:val="24"/>
        </w:rPr>
      </w:pPr>
      <w:r w:rsidRPr="006F0AF4">
        <w:rPr>
          <w:noProof/>
          <w:lang w:val="es-CO" w:eastAsia="es-CO"/>
        </w:rPr>
        <w:drawing>
          <wp:inline distT="0" distB="0" distL="0" distR="0" wp14:anchorId="0333E1F3" wp14:editId="786FD01C">
            <wp:extent cx="6124575" cy="879467"/>
            <wp:effectExtent l="0" t="0" r="0" b="0"/>
            <wp:docPr id="12" name="Imagen 12" descr="cid:image003.png@01D22ECD.E517A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3.png@01D22ECD.E517A0B0"/>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6230168" cy="894630"/>
                    </a:xfrm>
                    <a:prstGeom prst="rect">
                      <a:avLst/>
                    </a:prstGeom>
                    <a:noFill/>
                    <a:ln>
                      <a:noFill/>
                    </a:ln>
                  </pic:spPr>
                </pic:pic>
              </a:graphicData>
            </a:graphic>
          </wp:inline>
        </w:drawing>
      </w:r>
    </w:p>
    <w:p w:rsidR="00B969F3" w:rsidRPr="00E07128" w:rsidRDefault="005B32F2" w:rsidP="00B969F3">
      <w:pPr>
        <w:pStyle w:val="Prrafodelista"/>
        <w:spacing w:after="0"/>
        <w:ind w:left="360"/>
        <w:jc w:val="both"/>
        <w:rPr>
          <w:rFonts w:eastAsiaTheme="minorHAnsi" w:cs="Arial"/>
          <w:sz w:val="16"/>
          <w:szCs w:val="24"/>
        </w:rPr>
      </w:pPr>
      <w:r w:rsidRPr="00E07128">
        <w:rPr>
          <w:rFonts w:eastAsiaTheme="minorHAnsi" w:cs="Arial"/>
          <w:sz w:val="16"/>
          <w:szCs w:val="24"/>
        </w:rPr>
        <w:t>Fuente: SIMEI, corte a diciembre de 2016.</w:t>
      </w:r>
    </w:p>
    <w:p w:rsidR="005B32F2" w:rsidRPr="00E07128" w:rsidRDefault="005B32F2" w:rsidP="00B969F3">
      <w:pPr>
        <w:pStyle w:val="Prrafodelista"/>
        <w:spacing w:after="0"/>
        <w:ind w:left="360"/>
        <w:jc w:val="both"/>
        <w:rPr>
          <w:rFonts w:eastAsiaTheme="minorHAnsi" w:cs="Arial"/>
          <w:color w:val="0070C0"/>
          <w:sz w:val="16"/>
          <w:szCs w:val="24"/>
        </w:rPr>
      </w:pPr>
    </w:p>
    <w:p w:rsidR="00F57E0F" w:rsidRDefault="00F57E0F" w:rsidP="00F57E0F">
      <w:pPr>
        <w:spacing w:after="0"/>
        <w:jc w:val="both"/>
        <w:rPr>
          <w:rFonts w:eastAsiaTheme="minorHAnsi" w:cs="Arial"/>
        </w:rPr>
      </w:pPr>
      <w:r w:rsidRPr="006F0AF4">
        <w:rPr>
          <w:rFonts w:eastAsiaTheme="minorHAnsi" w:cs="Arial"/>
        </w:rPr>
        <w:t>De igual forma, en concordancia con el Acuerdo 060 del 2011 expedido por el Archivo General de la Nación, el ICBF firmó un convenio con la Super</w:t>
      </w:r>
      <w:r>
        <w:rPr>
          <w:rFonts w:eastAsiaTheme="minorHAnsi" w:cs="Arial"/>
        </w:rPr>
        <w:t>intendencia de S</w:t>
      </w:r>
      <w:r w:rsidRPr="006F0AF4">
        <w:rPr>
          <w:rFonts w:eastAsiaTheme="minorHAnsi" w:cs="Arial"/>
        </w:rPr>
        <w:t>ervicios</w:t>
      </w:r>
      <w:r>
        <w:rPr>
          <w:rFonts w:eastAsiaTheme="minorHAnsi" w:cs="Arial"/>
        </w:rPr>
        <w:t xml:space="preserve"> Públicos Domiciliarios propietaria</w:t>
      </w:r>
      <w:r w:rsidRPr="006F0AF4">
        <w:rPr>
          <w:rFonts w:eastAsiaTheme="minorHAnsi" w:cs="Arial"/>
        </w:rPr>
        <w:t xml:space="preserve"> del Software </w:t>
      </w:r>
      <w:r>
        <w:rPr>
          <w:rFonts w:eastAsiaTheme="minorHAnsi" w:cs="Arial"/>
        </w:rPr>
        <w:t>“</w:t>
      </w:r>
      <w:r w:rsidRPr="006F0AF4">
        <w:rPr>
          <w:rFonts w:eastAsiaTheme="minorHAnsi" w:cs="Arial"/>
        </w:rPr>
        <w:t>Orfeo</w:t>
      </w:r>
      <w:r>
        <w:rPr>
          <w:rFonts w:eastAsiaTheme="minorHAnsi" w:cs="Arial"/>
        </w:rPr>
        <w:t>” que permitirá tener una herramienta tecnológica adecuada</w:t>
      </w:r>
      <w:r w:rsidRPr="006F0AF4">
        <w:rPr>
          <w:rFonts w:eastAsiaTheme="minorHAnsi" w:cs="Arial"/>
        </w:rPr>
        <w:t xml:space="preserve"> para la radicación institucional y trazabilidad de los documentos que ingresan y egresan del Instituto.</w:t>
      </w:r>
    </w:p>
    <w:p w:rsidR="00B969F3" w:rsidRPr="006F0AF4" w:rsidRDefault="00B969F3" w:rsidP="00F55E17">
      <w:r w:rsidRPr="006F0AF4">
        <w:t xml:space="preserve"> </w:t>
      </w:r>
    </w:p>
    <w:p w:rsidR="00015C71" w:rsidRDefault="00015C71" w:rsidP="00F55E17">
      <w:pPr>
        <w:ind w:firstLine="708"/>
        <w:rPr>
          <w:b/>
        </w:rPr>
      </w:pPr>
      <w:r w:rsidRPr="006F0AF4">
        <w:rPr>
          <w:b/>
        </w:rPr>
        <w:t xml:space="preserve">Gestión Documental </w:t>
      </w:r>
    </w:p>
    <w:p w:rsidR="006F0AF4" w:rsidRPr="006F0AF4" w:rsidRDefault="006F0AF4" w:rsidP="006F0AF4">
      <w:pPr>
        <w:spacing w:after="0"/>
        <w:jc w:val="both"/>
        <w:rPr>
          <w:rFonts w:eastAsiaTheme="minorHAnsi" w:cs="Arial"/>
        </w:rPr>
      </w:pPr>
      <w:r w:rsidRPr="006F0AF4">
        <w:rPr>
          <w:rFonts w:eastAsiaTheme="minorHAnsi" w:cs="Arial"/>
        </w:rPr>
        <w:t>En el marco de esta labor, durante 2016 se asignaron 3.000 metros lineales de archivo en soporte físico a nivel nacional para organizar, de los cuales se reportaron 1.568 metros en estado en riesgo por parte de 29 regionales y la sede de la Dirección</w:t>
      </w:r>
      <w:r w:rsidR="005B32F2">
        <w:rPr>
          <w:rFonts w:eastAsiaTheme="minorHAnsi" w:cs="Arial"/>
        </w:rPr>
        <w:t xml:space="preserve"> General del ICBF quedaron en (</w:t>
      </w:r>
      <w:r w:rsidRPr="006F0AF4">
        <w:rPr>
          <w:rFonts w:eastAsiaTheme="minorHAnsi" w:cs="Arial"/>
        </w:rPr>
        <w:t xml:space="preserve">18 Regionales en Critico, 6 en Adecuado, 6 en Riesgo, 4 En Optimo, lo que representa un 52,3% de cumplimiento para el trimestre. </w:t>
      </w:r>
    </w:p>
    <w:p w:rsidR="006F0AF4" w:rsidRPr="006F0AF4" w:rsidRDefault="006F0AF4" w:rsidP="006F0AF4">
      <w:pPr>
        <w:spacing w:after="0"/>
        <w:jc w:val="both"/>
        <w:rPr>
          <w:rFonts w:eastAsiaTheme="minorHAnsi" w:cs="Arial"/>
          <w:color w:val="0070C0"/>
        </w:rPr>
      </w:pPr>
    </w:p>
    <w:p w:rsidR="00015C71" w:rsidRPr="006F0AF4" w:rsidRDefault="006F0AF4" w:rsidP="006F0AF4">
      <w:pPr>
        <w:spacing w:after="0"/>
        <w:jc w:val="both"/>
        <w:rPr>
          <w:rFonts w:eastAsiaTheme="minorHAnsi" w:cs="Arial"/>
        </w:rPr>
      </w:pPr>
      <w:r w:rsidRPr="006F0AF4">
        <w:rPr>
          <w:rFonts w:eastAsiaTheme="minorHAnsi" w:cs="Arial"/>
        </w:rPr>
        <w:t>Los retos que se identifican en este ejercicio son la ampliación del personal destinado a la organización de archivos en las regionales; la adecuación de infraestructura, mobiliario e insumos de las regionales para papelería; la ampliación del acompañamiento realizado por el equipo de Gestión Documental para la mejora de los reportes realizados por las regionales en relación con los indicadores de gestión documental y el diligenciamiento del Formato Único de Inventario Documental (FUID).</w:t>
      </w:r>
    </w:p>
    <w:p w:rsidR="0010710F" w:rsidRDefault="0010710F" w:rsidP="00F02943"/>
    <w:p w:rsidR="00015C71" w:rsidRPr="00F02943" w:rsidRDefault="00015C71" w:rsidP="00F02943">
      <w:pPr>
        <w:ind w:firstLine="708"/>
        <w:rPr>
          <w:b/>
        </w:rPr>
      </w:pPr>
      <w:r w:rsidRPr="00F02943">
        <w:rPr>
          <w:b/>
        </w:rPr>
        <w:t>Transferencias documentales</w:t>
      </w:r>
    </w:p>
    <w:p w:rsidR="006F0AF4" w:rsidRPr="006F0AF4" w:rsidRDefault="006F0AF4" w:rsidP="006F0AF4">
      <w:pPr>
        <w:spacing w:after="0"/>
        <w:jc w:val="both"/>
        <w:rPr>
          <w:rFonts w:cs="Arial"/>
          <w:color w:val="222222"/>
          <w:shd w:val="clear" w:color="auto" w:fill="FFFFFF"/>
        </w:rPr>
      </w:pPr>
      <w:r w:rsidRPr="006F0AF4">
        <w:rPr>
          <w:rFonts w:cs="Arial"/>
          <w:color w:val="222222"/>
          <w:shd w:val="clear" w:color="auto" w:fill="FFFFFF"/>
        </w:rPr>
        <w:t>La</w:t>
      </w:r>
      <w:r w:rsidRPr="006F0AF4">
        <w:rPr>
          <w:rStyle w:val="apple-converted-space"/>
          <w:rFonts w:cs="Arial"/>
          <w:color w:val="222222"/>
          <w:shd w:val="clear" w:color="auto" w:fill="FFFFFF"/>
        </w:rPr>
        <w:t> </w:t>
      </w:r>
      <w:r w:rsidRPr="006F0AF4">
        <w:rPr>
          <w:rFonts w:cs="Arial"/>
          <w:bCs/>
          <w:color w:val="222222"/>
          <w:shd w:val="clear" w:color="auto" w:fill="FFFFFF"/>
        </w:rPr>
        <w:t>transferencia documental</w:t>
      </w:r>
      <w:r w:rsidRPr="006F0AF4">
        <w:rPr>
          <w:rStyle w:val="apple-converted-space"/>
          <w:rFonts w:cs="Arial"/>
          <w:color w:val="222222"/>
          <w:shd w:val="clear" w:color="auto" w:fill="FFFFFF"/>
        </w:rPr>
        <w:t> </w:t>
      </w:r>
      <w:r w:rsidRPr="006F0AF4">
        <w:rPr>
          <w:rFonts w:cs="Arial"/>
          <w:color w:val="222222"/>
          <w:shd w:val="clear" w:color="auto" w:fill="FFFFFF"/>
        </w:rPr>
        <w:t>es la etapa de análisis y preparación del conjunto de expedientes y series</w:t>
      </w:r>
      <w:r w:rsidRPr="006F0AF4">
        <w:rPr>
          <w:rStyle w:val="apple-converted-space"/>
          <w:rFonts w:cs="Arial"/>
          <w:color w:val="222222"/>
          <w:shd w:val="clear" w:color="auto" w:fill="FFFFFF"/>
        </w:rPr>
        <w:t> </w:t>
      </w:r>
      <w:r w:rsidRPr="006F0AF4">
        <w:rPr>
          <w:rFonts w:cs="Arial"/>
          <w:bCs/>
          <w:color w:val="222222"/>
          <w:shd w:val="clear" w:color="auto" w:fill="FFFFFF"/>
        </w:rPr>
        <w:t>documentales</w:t>
      </w:r>
      <w:r w:rsidRPr="006F0AF4">
        <w:rPr>
          <w:rFonts w:cs="Arial"/>
          <w:color w:val="222222"/>
          <w:shd w:val="clear" w:color="auto" w:fill="FFFFFF"/>
        </w:rPr>
        <w:t>, para su traslado sistemático, entre Archivo de Gestión, Central e Histórico una vez que éstas han cumplido el plazo de permanencia fijado en las Tablas de Retención Documental-TRD.</w:t>
      </w:r>
    </w:p>
    <w:p w:rsidR="006F0AF4" w:rsidRPr="006F0AF4" w:rsidRDefault="006F0AF4" w:rsidP="006F0AF4">
      <w:pPr>
        <w:spacing w:after="0"/>
        <w:jc w:val="both"/>
        <w:rPr>
          <w:rFonts w:eastAsiaTheme="minorHAnsi" w:cs="Arial"/>
          <w:color w:val="0070C0"/>
        </w:rPr>
      </w:pPr>
    </w:p>
    <w:p w:rsidR="00015C71" w:rsidRDefault="006F0AF4" w:rsidP="00015C71">
      <w:pPr>
        <w:spacing w:after="0"/>
        <w:jc w:val="both"/>
        <w:rPr>
          <w:rFonts w:eastAsiaTheme="minorHAnsi" w:cs="Arial"/>
        </w:rPr>
      </w:pPr>
      <w:r w:rsidRPr="006F0AF4">
        <w:rPr>
          <w:rFonts w:eastAsiaTheme="minorHAnsi" w:cs="Arial"/>
        </w:rPr>
        <w:t xml:space="preserve">Así las cosas, entre enero y </w:t>
      </w:r>
      <w:r w:rsidR="005B32F2">
        <w:rPr>
          <w:rFonts w:eastAsiaTheme="minorHAnsi" w:cs="Arial"/>
        </w:rPr>
        <w:t>diciembre</w:t>
      </w:r>
      <w:r w:rsidRPr="006F0AF4">
        <w:rPr>
          <w:rFonts w:eastAsiaTheme="minorHAnsi" w:cs="Arial"/>
        </w:rPr>
        <w:t xml:space="preserve"> de 2016 se transfirieron 972.1 Metros Lineales (ML) en soporte físico al Archivo Central Unificado del ICBF, lo que representó un porcentaje de cumplimiento del 32,4% de este indicador, posición que lo ubica en un estado óptimo</w:t>
      </w:r>
      <w:r>
        <w:rPr>
          <w:rFonts w:eastAsiaTheme="minorHAnsi" w:cs="Arial"/>
        </w:rPr>
        <w:t>.</w:t>
      </w:r>
      <w:r w:rsidR="00015C71" w:rsidRPr="004B69AB">
        <w:rPr>
          <w:rFonts w:eastAsiaTheme="minorHAnsi" w:cs="Arial"/>
        </w:rPr>
        <w:t xml:space="preserve"> </w:t>
      </w:r>
    </w:p>
    <w:p w:rsidR="00E50049" w:rsidRPr="003B6151" w:rsidRDefault="00E50049" w:rsidP="00015C71">
      <w:pPr>
        <w:spacing w:after="0"/>
        <w:jc w:val="both"/>
        <w:rPr>
          <w:rFonts w:eastAsiaTheme="minorHAnsi" w:cs="Arial"/>
        </w:rPr>
      </w:pPr>
    </w:p>
    <w:p w:rsidR="00DD1BEF" w:rsidRDefault="00DD1BEF" w:rsidP="007342CF">
      <w:pPr>
        <w:pStyle w:val="Ttulo2"/>
        <w:numPr>
          <w:ilvl w:val="1"/>
          <w:numId w:val="244"/>
        </w:numPr>
        <w:spacing w:before="120"/>
        <w:rPr>
          <w:rFonts w:eastAsia="Calibri" w:cs="Times New Roman"/>
          <w:b/>
          <w:szCs w:val="22"/>
        </w:rPr>
      </w:pPr>
      <w:bookmarkStart w:id="263" w:name="_Toc473581464"/>
      <w:r w:rsidRPr="003B6151">
        <w:rPr>
          <w:rFonts w:eastAsia="Calibri" w:cs="Times New Roman"/>
          <w:b/>
          <w:szCs w:val="22"/>
        </w:rPr>
        <w:t xml:space="preserve">Logros </w:t>
      </w:r>
      <w:r w:rsidR="003B6151">
        <w:rPr>
          <w:rFonts w:eastAsia="Calibri" w:cs="Times New Roman"/>
          <w:b/>
          <w:szCs w:val="22"/>
        </w:rPr>
        <w:t>2016</w:t>
      </w:r>
      <w:bookmarkEnd w:id="263"/>
    </w:p>
    <w:p w:rsidR="00FC6E71" w:rsidRPr="00FC6E71" w:rsidRDefault="00FC6E71" w:rsidP="00FC6E71"/>
    <w:p w:rsidR="00DD1BEF" w:rsidRDefault="00DD1BEF" w:rsidP="00470DCA">
      <w:pPr>
        <w:pStyle w:val="Prrafodelista"/>
        <w:numPr>
          <w:ilvl w:val="0"/>
          <w:numId w:val="208"/>
        </w:numPr>
        <w:tabs>
          <w:tab w:val="left" w:pos="6000"/>
        </w:tabs>
        <w:spacing w:after="0"/>
        <w:jc w:val="both"/>
        <w:rPr>
          <w:rFonts w:cs="Arial"/>
        </w:rPr>
      </w:pPr>
      <w:r w:rsidRPr="00552DFD">
        <w:rPr>
          <w:rFonts w:cs="Arial"/>
        </w:rPr>
        <w:t>Mejora en el análisis de la ejecución presupuestal de las regionales, en razón a la integración de la información de herramientas como SIIF, PAC y PACCO.</w:t>
      </w:r>
    </w:p>
    <w:p w:rsidR="00FC6E71" w:rsidRPr="00552DFD" w:rsidRDefault="00FC6E71" w:rsidP="00FC6E71">
      <w:pPr>
        <w:pStyle w:val="Prrafodelista"/>
        <w:tabs>
          <w:tab w:val="left" w:pos="6000"/>
        </w:tabs>
        <w:spacing w:after="0"/>
        <w:ind w:left="360"/>
        <w:jc w:val="both"/>
        <w:rPr>
          <w:rFonts w:cs="Arial"/>
        </w:rPr>
      </w:pPr>
    </w:p>
    <w:p w:rsidR="00DD1BEF" w:rsidRDefault="00DD1BEF" w:rsidP="00470DCA">
      <w:pPr>
        <w:pStyle w:val="Prrafodelista"/>
        <w:numPr>
          <w:ilvl w:val="0"/>
          <w:numId w:val="208"/>
        </w:numPr>
        <w:tabs>
          <w:tab w:val="left" w:pos="6000"/>
        </w:tabs>
        <w:spacing w:after="0"/>
        <w:jc w:val="both"/>
        <w:rPr>
          <w:rFonts w:cs="Arial"/>
        </w:rPr>
      </w:pPr>
      <w:r w:rsidRPr="00552DFD">
        <w:rPr>
          <w:rFonts w:cs="Arial"/>
        </w:rPr>
        <w:t>Adquisición de una herramienta de liberación de reservas presupuest</w:t>
      </w:r>
      <w:r w:rsidR="00FC6E71">
        <w:rPr>
          <w:rFonts w:cs="Arial"/>
        </w:rPr>
        <w:t>ales de contratos en ejecución.</w:t>
      </w:r>
    </w:p>
    <w:p w:rsidR="00FC6E71" w:rsidRPr="00FC6E71" w:rsidRDefault="00FC6E71" w:rsidP="00FC6E71">
      <w:pPr>
        <w:tabs>
          <w:tab w:val="left" w:pos="6000"/>
        </w:tabs>
        <w:spacing w:after="0"/>
        <w:jc w:val="both"/>
        <w:rPr>
          <w:rFonts w:cs="Arial"/>
        </w:rPr>
      </w:pPr>
    </w:p>
    <w:p w:rsidR="00DD1BEF" w:rsidRDefault="00DD1BEF" w:rsidP="00470DCA">
      <w:pPr>
        <w:pStyle w:val="Prrafodelista"/>
        <w:numPr>
          <w:ilvl w:val="0"/>
          <w:numId w:val="208"/>
        </w:numPr>
        <w:tabs>
          <w:tab w:val="left" w:pos="6000"/>
        </w:tabs>
        <w:spacing w:after="0"/>
        <w:jc w:val="both"/>
        <w:rPr>
          <w:rFonts w:cs="Arial"/>
        </w:rPr>
      </w:pPr>
      <w:r w:rsidRPr="00552DFD">
        <w:rPr>
          <w:rFonts w:cs="Arial"/>
        </w:rPr>
        <w:t>Fortalecimiento de la mejora continua del Sistema de Gestión Ambiental, a través de la reformulación y ajuste de herramientas técnicas del sistema, tales como: Procedimiento evaluación de impactos ambientales, Proyectos de Infraestructura, Residuos Peligrosos, entre otros.</w:t>
      </w:r>
    </w:p>
    <w:p w:rsidR="00FC6E71" w:rsidRPr="00FC6E71" w:rsidRDefault="00FC6E71" w:rsidP="00FC6E71">
      <w:pPr>
        <w:tabs>
          <w:tab w:val="left" w:pos="6000"/>
        </w:tabs>
        <w:spacing w:after="0"/>
        <w:jc w:val="both"/>
        <w:rPr>
          <w:rFonts w:cs="Arial"/>
        </w:rPr>
      </w:pPr>
    </w:p>
    <w:p w:rsidR="00DD1BEF" w:rsidRDefault="00DD1BEF" w:rsidP="00470DCA">
      <w:pPr>
        <w:pStyle w:val="Prrafodelista"/>
        <w:numPr>
          <w:ilvl w:val="0"/>
          <w:numId w:val="208"/>
        </w:numPr>
        <w:tabs>
          <w:tab w:val="left" w:pos="6000"/>
        </w:tabs>
        <w:spacing w:after="0"/>
        <w:jc w:val="both"/>
        <w:rPr>
          <w:rFonts w:cs="Arial"/>
        </w:rPr>
      </w:pPr>
      <w:r w:rsidRPr="00552DFD">
        <w:rPr>
          <w:rFonts w:cs="Arial"/>
        </w:rPr>
        <w:t>Actualización de la Guía de Gestión de Bienes, incluyendo los lineamientos sobre los activos intangibles.</w:t>
      </w:r>
    </w:p>
    <w:p w:rsidR="00FC6E71" w:rsidRPr="00FC6E71" w:rsidRDefault="00FC6E71" w:rsidP="00FC6E71">
      <w:pPr>
        <w:tabs>
          <w:tab w:val="left" w:pos="6000"/>
        </w:tabs>
        <w:spacing w:after="0"/>
        <w:jc w:val="both"/>
        <w:rPr>
          <w:rFonts w:cs="Arial"/>
        </w:rPr>
      </w:pPr>
    </w:p>
    <w:p w:rsidR="00DD1BEF" w:rsidRDefault="00DD1BEF" w:rsidP="00470DCA">
      <w:pPr>
        <w:pStyle w:val="Prrafodelista"/>
        <w:numPr>
          <w:ilvl w:val="0"/>
          <w:numId w:val="208"/>
        </w:numPr>
        <w:tabs>
          <w:tab w:val="left" w:pos="6000"/>
        </w:tabs>
        <w:spacing w:after="0"/>
        <w:jc w:val="both"/>
        <w:rPr>
          <w:rFonts w:cs="Arial"/>
        </w:rPr>
      </w:pPr>
      <w:r>
        <w:rPr>
          <w:rFonts w:cs="Arial"/>
        </w:rPr>
        <w:t>A</w:t>
      </w:r>
      <w:r w:rsidRPr="00552DFD">
        <w:rPr>
          <w:rFonts w:cs="Arial"/>
        </w:rPr>
        <w:t>ctualiz</w:t>
      </w:r>
      <w:r>
        <w:rPr>
          <w:rFonts w:cs="Arial"/>
        </w:rPr>
        <w:t>ación de</w:t>
      </w:r>
      <w:r w:rsidRPr="00552DFD">
        <w:rPr>
          <w:rFonts w:cs="Arial"/>
        </w:rPr>
        <w:t xml:space="preserve"> la Guía Gestión d</w:t>
      </w:r>
      <w:r>
        <w:rPr>
          <w:rFonts w:cs="Arial"/>
        </w:rPr>
        <w:t>e Bienes V8 No G2.MPA1.P5  y f</w:t>
      </w:r>
      <w:r w:rsidRPr="00552DFD">
        <w:rPr>
          <w:rFonts w:cs="Arial"/>
        </w:rPr>
        <w:t>ormatos de almacén  F1 G2 MPA1 P5 V1 , F2 G2 MPA1 P5 V1</w:t>
      </w:r>
      <w:r w:rsidRPr="00552DFD">
        <w:rPr>
          <w:rFonts w:cs="Arial"/>
          <w:lang w:val="es-CO"/>
        </w:rPr>
        <w:t xml:space="preserve">  y </w:t>
      </w:r>
      <w:r w:rsidRPr="00552DFD">
        <w:rPr>
          <w:rFonts w:cs="Arial"/>
        </w:rPr>
        <w:t>F3 G2 MPA1 P5 V1</w:t>
      </w:r>
      <w:r>
        <w:rPr>
          <w:rFonts w:cs="Arial"/>
        </w:rPr>
        <w:t>,</w:t>
      </w:r>
      <w:r w:rsidRPr="00552DFD">
        <w:rPr>
          <w:rFonts w:cs="Arial"/>
          <w:lang w:val="es-CO"/>
        </w:rPr>
        <w:t xml:space="preserve"> </w:t>
      </w:r>
      <w:r w:rsidRPr="00552DFD">
        <w:rPr>
          <w:rFonts w:cs="Arial"/>
        </w:rPr>
        <w:t xml:space="preserve"> mediante memorando  S-2016-3631001-0101 del 26 de julio de 2016.</w:t>
      </w:r>
    </w:p>
    <w:p w:rsidR="00FC6E71" w:rsidRPr="00FC6E71" w:rsidRDefault="00FC6E71" w:rsidP="00FC6E71">
      <w:pPr>
        <w:tabs>
          <w:tab w:val="left" w:pos="6000"/>
        </w:tabs>
        <w:spacing w:after="0"/>
        <w:jc w:val="both"/>
        <w:rPr>
          <w:rFonts w:cs="Arial"/>
        </w:rPr>
      </w:pPr>
    </w:p>
    <w:p w:rsidR="00DD1BEF" w:rsidRDefault="00DD1BEF" w:rsidP="00470DCA">
      <w:pPr>
        <w:pStyle w:val="Prrafodelista"/>
        <w:numPr>
          <w:ilvl w:val="0"/>
          <w:numId w:val="208"/>
        </w:numPr>
        <w:tabs>
          <w:tab w:val="left" w:pos="6000"/>
        </w:tabs>
        <w:spacing w:after="0"/>
        <w:jc w:val="both"/>
        <w:rPr>
          <w:rFonts w:cs="Arial"/>
        </w:rPr>
      </w:pPr>
      <w:r w:rsidRPr="00552DFD">
        <w:rPr>
          <w:rFonts w:cs="Arial"/>
        </w:rPr>
        <w:t>Fortaleci</w:t>
      </w:r>
      <w:r>
        <w:rPr>
          <w:rFonts w:cs="Arial"/>
        </w:rPr>
        <w:t>miento</w:t>
      </w:r>
      <w:r w:rsidRPr="00552DFD">
        <w:rPr>
          <w:rFonts w:cs="Arial"/>
        </w:rPr>
        <w:t xml:space="preserve"> </w:t>
      </w:r>
      <w:r>
        <w:rPr>
          <w:rFonts w:cs="Arial"/>
        </w:rPr>
        <w:t>d</w:t>
      </w:r>
      <w:r w:rsidRPr="00552DFD">
        <w:rPr>
          <w:rFonts w:cs="Arial"/>
        </w:rPr>
        <w:t>el proceso de conciliación de saldos entre almacén y contabilidad</w:t>
      </w:r>
      <w:r>
        <w:rPr>
          <w:rFonts w:cs="Arial"/>
        </w:rPr>
        <w:t>,</w:t>
      </w:r>
      <w:r w:rsidRPr="00552DFD">
        <w:rPr>
          <w:rFonts w:cs="Arial"/>
        </w:rPr>
        <w:t xml:space="preserve"> con el fin que los estados financieros presenten la realidad económica de los inventarios.</w:t>
      </w:r>
    </w:p>
    <w:p w:rsidR="00FC6E71" w:rsidRPr="00FC6E71" w:rsidRDefault="00FC6E71" w:rsidP="00FC6E71">
      <w:pPr>
        <w:pStyle w:val="Prrafodelista"/>
        <w:rPr>
          <w:rFonts w:cs="Arial"/>
        </w:rPr>
      </w:pPr>
    </w:p>
    <w:p w:rsidR="00DD1BEF" w:rsidRDefault="00DD1BEF" w:rsidP="00470DCA">
      <w:pPr>
        <w:pStyle w:val="Prrafodelista"/>
        <w:numPr>
          <w:ilvl w:val="0"/>
          <w:numId w:val="208"/>
        </w:numPr>
        <w:tabs>
          <w:tab w:val="left" w:pos="6000"/>
        </w:tabs>
        <w:spacing w:after="0"/>
        <w:jc w:val="both"/>
        <w:rPr>
          <w:rFonts w:cs="Arial"/>
        </w:rPr>
      </w:pPr>
      <w:r>
        <w:rPr>
          <w:rFonts w:cs="Arial"/>
        </w:rPr>
        <w:t>M</w:t>
      </w:r>
      <w:r w:rsidRPr="00552DFD">
        <w:rPr>
          <w:rFonts w:cs="Arial"/>
        </w:rPr>
        <w:t>ejor</w:t>
      </w:r>
      <w:r>
        <w:rPr>
          <w:rFonts w:cs="Arial"/>
        </w:rPr>
        <w:t>a</w:t>
      </w:r>
      <w:r w:rsidRPr="00552DFD">
        <w:rPr>
          <w:rFonts w:cs="Arial"/>
        </w:rPr>
        <w:t xml:space="preserve"> </w:t>
      </w:r>
      <w:r>
        <w:rPr>
          <w:rFonts w:cs="Arial"/>
        </w:rPr>
        <w:t>d</w:t>
      </w:r>
      <w:r w:rsidRPr="00552DFD">
        <w:rPr>
          <w:rFonts w:cs="Arial"/>
        </w:rPr>
        <w:t>el proceso de depuración de bodegas para definir la destinación de bienes muebles y realizar posteriormente la enajenación de los mismos.</w:t>
      </w:r>
    </w:p>
    <w:p w:rsidR="00FC6E71" w:rsidRPr="00552DFD" w:rsidRDefault="00FC6E71" w:rsidP="00FC6E71">
      <w:pPr>
        <w:pStyle w:val="Prrafodelista"/>
        <w:tabs>
          <w:tab w:val="left" w:pos="6000"/>
        </w:tabs>
        <w:spacing w:after="0"/>
        <w:ind w:left="360"/>
        <w:jc w:val="both"/>
        <w:rPr>
          <w:rFonts w:cs="Arial"/>
        </w:rPr>
      </w:pPr>
    </w:p>
    <w:p w:rsidR="00DD1BEF" w:rsidRDefault="00DD1BEF" w:rsidP="00470DCA">
      <w:pPr>
        <w:pStyle w:val="Prrafodelista"/>
        <w:numPr>
          <w:ilvl w:val="0"/>
          <w:numId w:val="208"/>
        </w:numPr>
        <w:tabs>
          <w:tab w:val="left" w:pos="6000"/>
        </w:tabs>
        <w:spacing w:after="0"/>
        <w:jc w:val="both"/>
        <w:rPr>
          <w:rFonts w:cs="Arial"/>
          <w:lang w:val="es-CO"/>
        </w:rPr>
      </w:pPr>
      <w:r>
        <w:rPr>
          <w:rFonts w:cs="Arial"/>
          <w:lang w:val="es-CO"/>
        </w:rPr>
        <w:t>Inicio del</w:t>
      </w:r>
      <w:r w:rsidRPr="00552DFD">
        <w:rPr>
          <w:rFonts w:cs="Arial"/>
          <w:lang w:val="es-CO"/>
        </w:rPr>
        <w:t xml:space="preserve"> proceso de depuración de las bases de datos de la información relacionada con las infraestructuras de primera infancia.</w:t>
      </w:r>
    </w:p>
    <w:p w:rsidR="00FC6E71" w:rsidRPr="00FC6E71" w:rsidRDefault="00FC6E71" w:rsidP="00FC6E71">
      <w:pPr>
        <w:tabs>
          <w:tab w:val="left" w:pos="6000"/>
        </w:tabs>
        <w:spacing w:after="0"/>
        <w:jc w:val="both"/>
        <w:rPr>
          <w:rFonts w:cs="Arial"/>
          <w:lang w:val="es-CO"/>
        </w:rPr>
      </w:pPr>
    </w:p>
    <w:p w:rsidR="00DD1BEF" w:rsidRDefault="00DD1BEF" w:rsidP="00470DCA">
      <w:pPr>
        <w:pStyle w:val="Sinespaciado"/>
        <w:numPr>
          <w:ilvl w:val="0"/>
          <w:numId w:val="208"/>
        </w:numPr>
        <w:spacing w:line="276" w:lineRule="auto"/>
        <w:jc w:val="both"/>
        <w:rPr>
          <w:rFonts w:cs="Arial"/>
        </w:rPr>
      </w:pPr>
      <w:r w:rsidRPr="00BC4D6A">
        <w:rPr>
          <w:rFonts w:cs="Arial"/>
        </w:rPr>
        <w:t xml:space="preserve">Atención oportuna a los requerimientos de las diferentes áreas </w:t>
      </w:r>
      <w:r>
        <w:rPr>
          <w:rFonts w:cs="Arial"/>
        </w:rPr>
        <w:t xml:space="preserve">y establecer </w:t>
      </w:r>
      <w:r w:rsidRPr="00BC4D6A">
        <w:rPr>
          <w:rFonts w:cs="Arial"/>
        </w:rPr>
        <w:t>con el contratista menús con una alimentación variada y saludable</w:t>
      </w:r>
      <w:r>
        <w:rPr>
          <w:rFonts w:cs="Arial"/>
        </w:rPr>
        <w:t>,</w:t>
      </w:r>
      <w:r w:rsidRPr="00BC4D6A">
        <w:rPr>
          <w:rFonts w:cs="Arial"/>
        </w:rPr>
        <w:t xml:space="preserve"> asegurando la incorporación y aprovechamiento de todos los nutrientes para los trabajadores para vivir saludablemente, lo cual se ha visto reflejado en la disminución de los reclamos por este servicio.</w:t>
      </w:r>
    </w:p>
    <w:p w:rsidR="00FC6E71" w:rsidRPr="00BC4D6A" w:rsidRDefault="00FC6E71" w:rsidP="00FC6E71">
      <w:pPr>
        <w:pStyle w:val="Sinespaciado"/>
        <w:spacing w:line="276" w:lineRule="auto"/>
        <w:jc w:val="both"/>
        <w:rPr>
          <w:rFonts w:cs="Arial"/>
        </w:rPr>
      </w:pPr>
    </w:p>
    <w:p w:rsidR="00DD1BEF" w:rsidRDefault="00DD1BEF" w:rsidP="00470DCA">
      <w:pPr>
        <w:pStyle w:val="Sinespaciado"/>
        <w:numPr>
          <w:ilvl w:val="0"/>
          <w:numId w:val="208"/>
        </w:numPr>
        <w:spacing w:line="276" w:lineRule="auto"/>
        <w:jc w:val="both"/>
        <w:rPr>
          <w:rFonts w:cs="Arial"/>
        </w:rPr>
      </w:pPr>
      <w:r>
        <w:rPr>
          <w:rFonts w:cs="Arial"/>
        </w:rPr>
        <w:t>R</w:t>
      </w:r>
      <w:r w:rsidRPr="00BC4D6A">
        <w:rPr>
          <w:rFonts w:cs="Arial"/>
        </w:rPr>
        <w:t>evisi</w:t>
      </w:r>
      <w:r>
        <w:rPr>
          <w:rFonts w:cs="Arial"/>
        </w:rPr>
        <w:t xml:space="preserve">ón </w:t>
      </w:r>
      <w:r w:rsidRPr="00BC4D6A">
        <w:rPr>
          <w:rFonts w:cs="Arial"/>
        </w:rPr>
        <w:t>de las instalaciones del casino y calderas por parte de Gas Natural</w:t>
      </w:r>
      <w:r>
        <w:rPr>
          <w:rFonts w:cs="Arial"/>
        </w:rPr>
        <w:t>,</w:t>
      </w:r>
      <w:r w:rsidRPr="00BC4D6A">
        <w:rPr>
          <w:rFonts w:cs="Arial"/>
        </w:rPr>
        <w:t xml:space="preserve"> realizando los mantenimientos necesarios</w:t>
      </w:r>
      <w:r>
        <w:rPr>
          <w:rFonts w:cs="Arial"/>
        </w:rPr>
        <w:t xml:space="preserve"> para </w:t>
      </w:r>
      <w:r w:rsidRPr="00BC4D6A">
        <w:rPr>
          <w:rFonts w:cs="Arial"/>
        </w:rPr>
        <w:t>brinda</w:t>
      </w:r>
      <w:r>
        <w:rPr>
          <w:rFonts w:cs="Arial"/>
        </w:rPr>
        <w:t>r</w:t>
      </w:r>
      <w:r w:rsidRPr="00BC4D6A">
        <w:rPr>
          <w:rFonts w:cs="Arial"/>
        </w:rPr>
        <w:t xml:space="preserve"> así condiciones seguras para la prestación del servicio a todos los trabajadores.</w:t>
      </w:r>
    </w:p>
    <w:p w:rsidR="00E50049" w:rsidRPr="00BC4D6A" w:rsidRDefault="00E50049" w:rsidP="00E50049">
      <w:pPr>
        <w:pStyle w:val="Sinespaciado"/>
        <w:spacing w:line="276" w:lineRule="auto"/>
        <w:ind w:left="360"/>
        <w:jc w:val="both"/>
        <w:rPr>
          <w:rFonts w:cs="Arial"/>
        </w:rPr>
      </w:pPr>
    </w:p>
    <w:p w:rsidR="00552DFD" w:rsidRDefault="00552DFD" w:rsidP="007342CF">
      <w:pPr>
        <w:pStyle w:val="Ttulo2"/>
        <w:numPr>
          <w:ilvl w:val="1"/>
          <w:numId w:val="244"/>
        </w:numPr>
        <w:spacing w:before="120"/>
        <w:rPr>
          <w:rFonts w:eastAsia="Calibri" w:cs="Times New Roman"/>
          <w:b/>
          <w:szCs w:val="22"/>
        </w:rPr>
      </w:pPr>
      <w:bookmarkStart w:id="264" w:name="_Toc473581465"/>
      <w:r w:rsidRPr="003B6151">
        <w:rPr>
          <w:rFonts w:eastAsia="Calibri" w:cs="Times New Roman"/>
          <w:b/>
          <w:szCs w:val="22"/>
        </w:rPr>
        <w:t>Retos</w:t>
      </w:r>
      <w:r w:rsidR="003B6151">
        <w:rPr>
          <w:rFonts w:eastAsia="Calibri" w:cs="Times New Roman"/>
          <w:b/>
          <w:szCs w:val="22"/>
        </w:rPr>
        <w:t xml:space="preserve"> 2017</w:t>
      </w:r>
      <w:bookmarkEnd w:id="264"/>
    </w:p>
    <w:p w:rsidR="00FC6E71" w:rsidRPr="00FC6E71" w:rsidRDefault="00FC6E71" w:rsidP="00FC6E71"/>
    <w:p w:rsidR="00552DFD" w:rsidRDefault="00552DFD" w:rsidP="00470DCA">
      <w:pPr>
        <w:pStyle w:val="Prrafodelista"/>
        <w:numPr>
          <w:ilvl w:val="0"/>
          <w:numId w:val="209"/>
        </w:numPr>
        <w:tabs>
          <w:tab w:val="left" w:pos="6000"/>
        </w:tabs>
        <w:spacing w:after="0"/>
        <w:ind w:left="426" w:hanging="426"/>
        <w:jc w:val="both"/>
        <w:rPr>
          <w:rFonts w:cs="Arial"/>
        </w:rPr>
      </w:pPr>
      <w:r w:rsidRPr="00F524FF">
        <w:rPr>
          <w:rFonts w:cs="Arial"/>
        </w:rPr>
        <w:t>Alcanzar las metas de ejecución establecidas por la Dirección General, producto de un buen control y seguimiento a nivel nacional.</w:t>
      </w:r>
    </w:p>
    <w:p w:rsidR="00FC6E71" w:rsidRPr="00F524FF" w:rsidRDefault="00FC6E71" w:rsidP="00FC6E71">
      <w:pPr>
        <w:pStyle w:val="Prrafodelista"/>
        <w:tabs>
          <w:tab w:val="left" w:pos="6000"/>
        </w:tabs>
        <w:spacing w:after="0"/>
        <w:ind w:left="426"/>
        <w:jc w:val="both"/>
        <w:rPr>
          <w:rFonts w:cs="Arial"/>
        </w:rPr>
      </w:pPr>
    </w:p>
    <w:p w:rsidR="00552DFD" w:rsidRDefault="00552DFD" w:rsidP="00470DCA">
      <w:pPr>
        <w:pStyle w:val="Prrafodelista"/>
        <w:numPr>
          <w:ilvl w:val="0"/>
          <w:numId w:val="209"/>
        </w:numPr>
        <w:tabs>
          <w:tab w:val="left" w:pos="6000"/>
        </w:tabs>
        <w:spacing w:after="0"/>
        <w:ind w:left="426" w:hanging="426"/>
        <w:jc w:val="both"/>
        <w:rPr>
          <w:rFonts w:cs="Arial"/>
        </w:rPr>
      </w:pPr>
      <w:r w:rsidRPr="00F524FF">
        <w:rPr>
          <w:rFonts w:cs="Arial"/>
        </w:rPr>
        <w:t>Contar con aprobación de vigencias futuras para pro</w:t>
      </w:r>
      <w:r w:rsidR="001454B6">
        <w:rPr>
          <w:rFonts w:cs="Arial"/>
        </w:rPr>
        <w:t>cesos contractuales que traspase</w:t>
      </w:r>
      <w:r w:rsidRPr="00F524FF">
        <w:rPr>
          <w:rFonts w:cs="Arial"/>
        </w:rPr>
        <w:t>n la anualidad, con el fin de disminuir el desgaste administrativo, garantizar la continuidad en la prestación del servicio y lograr economías de escala.</w:t>
      </w:r>
    </w:p>
    <w:p w:rsidR="00FC6E71" w:rsidRPr="00FC6E71" w:rsidRDefault="00FC6E71" w:rsidP="00FC6E71">
      <w:pPr>
        <w:tabs>
          <w:tab w:val="left" w:pos="6000"/>
        </w:tabs>
        <w:spacing w:after="0"/>
        <w:jc w:val="both"/>
        <w:rPr>
          <w:rFonts w:cs="Arial"/>
        </w:rPr>
      </w:pPr>
    </w:p>
    <w:p w:rsidR="00552DFD" w:rsidRDefault="00552DFD" w:rsidP="00470DCA">
      <w:pPr>
        <w:pStyle w:val="Prrafodelista"/>
        <w:numPr>
          <w:ilvl w:val="0"/>
          <w:numId w:val="209"/>
        </w:numPr>
        <w:tabs>
          <w:tab w:val="left" w:pos="6000"/>
        </w:tabs>
        <w:spacing w:after="0"/>
        <w:ind w:left="426" w:hanging="426"/>
        <w:jc w:val="both"/>
        <w:rPr>
          <w:rFonts w:cs="Arial"/>
        </w:rPr>
      </w:pPr>
      <w:r w:rsidRPr="00F524FF">
        <w:rPr>
          <w:rFonts w:cs="Arial"/>
        </w:rPr>
        <w:t>Simplificar el trámite de modificaciones presupuestales internas en coordinación con las Direcciones de Planeación y Financiera.</w:t>
      </w:r>
    </w:p>
    <w:p w:rsidR="00FC6E71" w:rsidRPr="00FC6E71" w:rsidRDefault="00FC6E71" w:rsidP="00FC6E71">
      <w:pPr>
        <w:tabs>
          <w:tab w:val="left" w:pos="6000"/>
        </w:tabs>
        <w:spacing w:after="0"/>
        <w:jc w:val="both"/>
        <w:rPr>
          <w:rFonts w:cs="Arial"/>
        </w:rPr>
      </w:pPr>
    </w:p>
    <w:p w:rsidR="00552DFD" w:rsidRDefault="00552DFD" w:rsidP="00470DCA">
      <w:pPr>
        <w:pStyle w:val="Prrafodelista"/>
        <w:numPr>
          <w:ilvl w:val="0"/>
          <w:numId w:val="209"/>
        </w:numPr>
        <w:tabs>
          <w:tab w:val="left" w:pos="0"/>
          <w:tab w:val="left" w:pos="6000"/>
        </w:tabs>
        <w:spacing w:after="0"/>
        <w:ind w:left="426" w:hanging="426"/>
        <w:jc w:val="both"/>
        <w:rPr>
          <w:rFonts w:cs="Arial"/>
        </w:rPr>
      </w:pPr>
      <w:r w:rsidRPr="00014944">
        <w:rPr>
          <w:rFonts w:cs="Arial"/>
        </w:rPr>
        <w:t>Formular el plan de transición de la NTC del Sistema de Gestión Ambiental a la versión 2015, con el fin de preparar la auditoría externa y mantener la certificación.</w:t>
      </w:r>
    </w:p>
    <w:p w:rsidR="00FC6E71" w:rsidRPr="00FC6E71" w:rsidRDefault="00FC6E71" w:rsidP="00FC6E71">
      <w:pPr>
        <w:tabs>
          <w:tab w:val="left" w:pos="0"/>
          <w:tab w:val="left" w:pos="6000"/>
        </w:tabs>
        <w:spacing w:after="0"/>
        <w:jc w:val="both"/>
        <w:rPr>
          <w:rFonts w:cs="Arial"/>
        </w:rPr>
      </w:pPr>
    </w:p>
    <w:p w:rsidR="00552DFD" w:rsidRDefault="00552DFD" w:rsidP="00470DCA">
      <w:pPr>
        <w:pStyle w:val="Prrafodelista"/>
        <w:numPr>
          <w:ilvl w:val="0"/>
          <w:numId w:val="209"/>
        </w:numPr>
        <w:tabs>
          <w:tab w:val="left" w:pos="0"/>
          <w:tab w:val="left" w:pos="6000"/>
        </w:tabs>
        <w:spacing w:after="0"/>
        <w:ind w:left="426" w:hanging="426"/>
        <w:jc w:val="both"/>
        <w:rPr>
          <w:rFonts w:cs="Arial"/>
        </w:rPr>
      </w:pPr>
      <w:r w:rsidRPr="00014944">
        <w:rPr>
          <w:rFonts w:cs="Arial"/>
        </w:rPr>
        <w:t>Formula</w:t>
      </w:r>
      <w:r w:rsidR="001454B6">
        <w:rPr>
          <w:rFonts w:cs="Arial"/>
        </w:rPr>
        <w:t>r</w:t>
      </w:r>
      <w:r w:rsidRPr="00014944">
        <w:rPr>
          <w:rFonts w:cs="Arial"/>
        </w:rPr>
        <w:t xml:space="preserve"> los indicadores de desempeño ambiental para los programas del Plan de Gestión Ambiental de las Regionales y la Sede de la Dirección General.</w:t>
      </w:r>
    </w:p>
    <w:p w:rsidR="00FC6E71" w:rsidRPr="00FC6E71" w:rsidRDefault="00FC6E71" w:rsidP="00FC6E71">
      <w:pPr>
        <w:tabs>
          <w:tab w:val="left" w:pos="0"/>
          <w:tab w:val="left" w:pos="6000"/>
        </w:tabs>
        <w:spacing w:after="0"/>
        <w:jc w:val="both"/>
        <w:rPr>
          <w:rFonts w:cs="Arial"/>
        </w:rPr>
      </w:pPr>
    </w:p>
    <w:p w:rsidR="00552DFD" w:rsidRPr="00FC6E71" w:rsidRDefault="00552DFD" w:rsidP="00470DCA">
      <w:pPr>
        <w:pStyle w:val="Prrafodelista"/>
        <w:numPr>
          <w:ilvl w:val="0"/>
          <w:numId w:val="209"/>
        </w:numPr>
        <w:tabs>
          <w:tab w:val="left" w:pos="6000"/>
        </w:tabs>
        <w:spacing w:after="0"/>
        <w:ind w:left="426" w:hanging="426"/>
        <w:jc w:val="both"/>
        <w:rPr>
          <w:rFonts w:cs="Arial"/>
          <w:lang w:val="x-none"/>
        </w:rPr>
      </w:pPr>
      <w:r w:rsidRPr="00F524FF">
        <w:rPr>
          <w:rFonts w:cs="Arial"/>
          <w:lang w:val="es-CO"/>
        </w:rPr>
        <w:t>Enajenar</w:t>
      </w:r>
      <w:r w:rsidRPr="00F524FF">
        <w:rPr>
          <w:rFonts w:cs="Arial"/>
        </w:rPr>
        <w:t xml:space="preserve"> la mayor cantidad de bienes inmuebles incluidos en el</w:t>
      </w:r>
      <w:r w:rsidR="00FC6E71">
        <w:rPr>
          <w:rFonts w:cs="Arial"/>
        </w:rPr>
        <w:t xml:space="preserve"> Plan de Enajenación Onerosa.</w:t>
      </w:r>
    </w:p>
    <w:p w:rsidR="00FC6E71" w:rsidRPr="00FC6E71" w:rsidRDefault="00FC6E71" w:rsidP="00FC6E71">
      <w:pPr>
        <w:tabs>
          <w:tab w:val="left" w:pos="6000"/>
        </w:tabs>
        <w:spacing w:after="0"/>
        <w:jc w:val="both"/>
        <w:rPr>
          <w:rFonts w:cs="Arial"/>
          <w:lang w:val="x-none"/>
        </w:rPr>
      </w:pPr>
    </w:p>
    <w:p w:rsidR="00552DFD" w:rsidRPr="00F524FF" w:rsidRDefault="001454B6" w:rsidP="00470DCA">
      <w:pPr>
        <w:pStyle w:val="Prrafodelista"/>
        <w:numPr>
          <w:ilvl w:val="0"/>
          <w:numId w:val="209"/>
        </w:numPr>
        <w:tabs>
          <w:tab w:val="left" w:pos="6000"/>
        </w:tabs>
        <w:spacing w:after="0"/>
        <w:ind w:left="426" w:hanging="426"/>
        <w:jc w:val="both"/>
        <w:rPr>
          <w:rFonts w:cs="Arial"/>
          <w:lang w:val="es-CO"/>
        </w:rPr>
      </w:pPr>
      <w:r>
        <w:rPr>
          <w:rFonts w:cs="Arial"/>
          <w:lang w:val="es-CO"/>
        </w:rPr>
        <w:t>A</w:t>
      </w:r>
      <w:r w:rsidR="00552DFD" w:rsidRPr="00F524FF">
        <w:rPr>
          <w:rFonts w:cs="Arial"/>
          <w:lang w:val="es-CO"/>
        </w:rPr>
        <w:t>rticular con las diferentes áreas el recibo, seguimiento y control de los elementos adquiridos para garantizar el ingreso oportuno a los inventarios del ICBF.</w:t>
      </w:r>
    </w:p>
    <w:p w:rsidR="00552DFD" w:rsidRDefault="001454B6" w:rsidP="00470DCA">
      <w:pPr>
        <w:pStyle w:val="Prrafodelista"/>
        <w:numPr>
          <w:ilvl w:val="0"/>
          <w:numId w:val="209"/>
        </w:numPr>
        <w:tabs>
          <w:tab w:val="left" w:pos="6000"/>
        </w:tabs>
        <w:spacing w:after="0"/>
        <w:ind w:left="426" w:hanging="426"/>
        <w:jc w:val="both"/>
        <w:rPr>
          <w:rFonts w:cs="Arial"/>
          <w:lang w:val="es-CO"/>
        </w:rPr>
      </w:pPr>
      <w:r>
        <w:rPr>
          <w:rFonts w:cs="Arial"/>
          <w:lang w:val="es-CO"/>
        </w:rPr>
        <w:t>M</w:t>
      </w:r>
      <w:r w:rsidR="00552DFD" w:rsidRPr="00F524FF">
        <w:rPr>
          <w:rFonts w:cs="Arial"/>
          <w:lang w:val="es-CO"/>
        </w:rPr>
        <w:t>ejorar y automatizar detalladamente el seguimiento y control de los bienes mediante una herramienta informática que permita la eficiencia, eficacia y efectividad en la administración de los bienes del ICBF articulada con las demás áreas.</w:t>
      </w:r>
    </w:p>
    <w:p w:rsidR="00FC6E71" w:rsidRPr="00F524FF" w:rsidRDefault="00FC6E71" w:rsidP="00FC6E71">
      <w:pPr>
        <w:pStyle w:val="Prrafodelista"/>
        <w:tabs>
          <w:tab w:val="left" w:pos="6000"/>
        </w:tabs>
        <w:spacing w:after="0"/>
        <w:ind w:left="426"/>
        <w:jc w:val="both"/>
        <w:rPr>
          <w:rFonts w:cs="Arial"/>
          <w:lang w:val="es-CO"/>
        </w:rPr>
      </w:pPr>
    </w:p>
    <w:p w:rsidR="00552DFD" w:rsidRDefault="00552DFD" w:rsidP="00470DCA">
      <w:pPr>
        <w:pStyle w:val="Prrafodelista"/>
        <w:numPr>
          <w:ilvl w:val="0"/>
          <w:numId w:val="209"/>
        </w:numPr>
        <w:tabs>
          <w:tab w:val="left" w:pos="6000"/>
        </w:tabs>
        <w:spacing w:after="0"/>
        <w:ind w:left="426" w:hanging="426"/>
        <w:jc w:val="both"/>
        <w:rPr>
          <w:rFonts w:cs="Arial"/>
          <w:lang w:val="es-CO"/>
        </w:rPr>
      </w:pPr>
      <w:r w:rsidRPr="00F524FF">
        <w:rPr>
          <w:rFonts w:cs="Arial"/>
          <w:lang w:val="es-CO"/>
        </w:rPr>
        <w:t>Gestionar recursos y desarrollar acciones pertinentes para dar cumplimiento al Reglamento colombiano de construcción sismo-resistente NSR-10. Decreto 926 de marzo 19 de 2010.</w:t>
      </w:r>
    </w:p>
    <w:p w:rsidR="00FC6E71" w:rsidRPr="00FC6E71" w:rsidRDefault="00FC6E71" w:rsidP="00FC6E71">
      <w:pPr>
        <w:tabs>
          <w:tab w:val="left" w:pos="6000"/>
        </w:tabs>
        <w:spacing w:after="0"/>
        <w:jc w:val="both"/>
        <w:rPr>
          <w:rFonts w:cs="Arial"/>
          <w:lang w:val="es-CO"/>
        </w:rPr>
      </w:pPr>
    </w:p>
    <w:p w:rsidR="00552DFD" w:rsidRPr="00F524FF" w:rsidRDefault="00552DFD" w:rsidP="00470DCA">
      <w:pPr>
        <w:pStyle w:val="Prrafodelista"/>
        <w:numPr>
          <w:ilvl w:val="0"/>
          <w:numId w:val="209"/>
        </w:numPr>
        <w:tabs>
          <w:tab w:val="left" w:pos="6000"/>
        </w:tabs>
        <w:spacing w:after="0"/>
        <w:ind w:left="426" w:hanging="426"/>
        <w:jc w:val="both"/>
        <w:rPr>
          <w:rFonts w:cs="Arial"/>
          <w:lang w:val="es-CO"/>
        </w:rPr>
      </w:pPr>
      <w:r w:rsidRPr="00F524FF">
        <w:rPr>
          <w:rFonts w:cs="Arial"/>
          <w:lang w:val="es-CO"/>
        </w:rPr>
        <w:t>Mantener la normalización del pago de los servicios prestados dando estricta aplicación a la política de mes de servicio prestado mes pagado dentro de los plazos establecidos</w:t>
      </w:r>
    </w:p>
    <w:p w:rsidR="00552DFD" w:rsidRDefault="00552DFD" w:rsidP="00D222ED">
      <w:pPr>
        <w:ind w:left="426"/>
      </w:pPr>
    </w:p>
    <w:p w:rsidR="00015C71" w:rsidRDefault="00015C71" w:rsidP="007342CF">
      <w:pPr>
        <w:pStyle w:val="Ttulo2"/>
        <w:numPr>
          <w:ilvl w:val="1"/>
          <w:numId w:val="244"/>
        </w:numPr>
        <w:spacing w:before="120"/>
        <w:rPr>
          <w:rFonts w:eastAsia="Calibri" w:cs="Times New Roman"/>
          <w:b/>
          <w:szCs w:val="22"/>
        </w:rPr>
      </w:pPr>
      <w:bookmarkStart w:id="265" w:name="_Toc441847090"/>
      <w:bookmarkStart w:id="266" w:name="_Toc473581466"/>
      <w:r w:rsidRPr="00B8532B">
        <w:rPr>
          <w:rFonts w:eastAsia="Calibri" w:cs="Times New Roman"/>
          <w:b/>
          <w:szCs w:val="22"/>
        </w:rPr>
        <w:t>Modelo Estándar de Control Interno – MECI</w:t>
      </w:r>
      <w:bookmarkEnd w:id="265"/>
      <w:bookmarkEnd w:id="266"/>
    </w:p>
    <w:p w:rsidR="00B8532B" w:rsidRPr="00B8532B" w:rsidRDefault="00B8532B" w:rsidP="00B8532B"/>
    <w:p w:rsidR="009100B1" w:rsidRDefault="009100B1" w:rsidP="009100B1">
      <w:pPr>
        <w:autoSpaceDE w:val="0"/>
        <w:autoSpaceDN w:val="0"/>
        <w:adjustRightInd w:val="0"/>
        <w:spacing w:after="0" w:line="240" w:lineRule="auto"/>
        <w:jc w:val="both"/>
      </w:pPr>
      <w:r>
        <w:t>El Modelo Estándar de Control Interno brinda a las organizaciones una estructura de control cuyo fin último es garantizar razonablemente el cumplimiento de los objetivos institucionales, que sirva a las organizaciones para facilitar la implementación y fortalecimiento continuo de su Sistema de Control Interno.</w:t>
      </w:r>
    </w:p>
    <w:p w:rsidR="009100B1" w:rsidRDefault="009100B1" w:rsidP="009100B1">
      <w:pPr>
        <w:autoSpaceDE w:val="0"/>
        <w:autoSpaceDN w:val="0"/>
        <w:adjustRightInd w:val="0"/>
        <w:spacing w:after="0" w:line="240" w:lineRule="auto"/>
        <w:jc w:val="both"/>
      </w:pPr>
    </w:p>
    <w:p w:rsidR="009100B1" w:rsidRPr="00707F90" w:rsidRDefault="009100B1" w:rsidP="009100B1">
      <w:pPr>
        <w:autoSpaceDE w:val="0"/>
        <w:autoSpaceDN w:val="0"/>
        <w:adjustRightInd w:val="0"/>
        <w:spacing w:after="0" w:line="240" w:lineRule="auto"/>
        <w:jc w:val="both"/>
        <w:rPr>
          <w:rFonts w:cs="Arial"/>
          <w:lang w:val="es-CO"/>
        </w:rPr>
      </w:pPr>
      <w:r>
        <w:t>E</w:t>
      </w:r>
      <w:r w:rsidRPr="00707F90">
        <w:rPr>
          <w:rFonts w:cs="Arial"/>
          <w:lang w:val="es-CO"/>
        </w:rPr>
        <w:t xml:space="preserve">l indicador de madurez </w:t>
      </w:r>
      <w:r>
        <w:rPr>
          <w:rFonts w:cs="Arial"/>
          <w:lang w:val="es-CO"/>
        </w:rPr>
        <w:t xml:space="preserve">del </w:t>
      </w:r>
      <w:r w:rsidRPr="00707F90">
        <w:rPr>
          <w:rFonts w:cs="Arial"/>
          <w:lang w:val="es-CO"/>
        </w:rPr>
        <w:t xml:space="preserve">MECI identifica el grado de desarrollo y fortalecimiento de los componentes del Modelo Estándar de Control Interno MECI, orientado a las entidades hacia aquellos aspectos que requieren mayor atención o acciones para su mejora. </w:t>
      </w:r>
    </w:p>
    <w:p w:rsidR="009100B1" w:rsidRPr="00707F90" w:rsidRDefault="009100B1" w:rsidP="009100B1">
      <w:pPr>
        <w:autoSpaceDE w:val="0"/>
        <w:autoSpaceDN w:val="0"/>
        <w:adjustRightInd w:val="0"/>
        <w:spacing w:after="0" w:line="240" w:lineRule="auto"/>
        <w:jc w:val="both"/>
        <w:rPr>
          <w:rFonts w:cs="Arial"/>
          <w:b/>
        </w:rPr>
      </w:pPr>
    </w:p>
    <w:p w:rsidR="009100B1" w:rsidRDefault="009100B1" w:rsidP="009100B1">
      <w:pPr>
        <w:autoSpaceDE w:val="0"/>
        <w:autoSpaceDN w:val="0"/>
        <w:adjustRightInd w:val="0"/>
        <w:spacing w:after="0" w:line="240" w:lineRule="auto"/>
        <w:jc w:val="both"/>
        <w:rPr>
          <w:rFonts w:cs="Arial"/>
          <w:lang w:val="es-CO"/>
        </w:rPr>
      </w:pPr>
      <w:r>
        <w:rPr>
          <w:rFonts w:cs="Arial"/>
        </w:rPr>
        <w:t xml:space="preserve">En el 2015 </w:t>
      </w:r>
      <w:r w:rsidRPr="00707F90">
        <w:rPr>
          <w:rFonts w:cs="Arial"/>
        </w:rPr>
        <w:t xml:space="preserve">el indicador se posicionó en </w:t>
      </w:r>
      <w:r w:rsidRPr="00707F90">
        <w:rPr>
          <w:rFonts w:cs="Arial"/>
          <w:lang w:val="es-CO"/>
        </w:rPr>
        <w:t xml:space="preserve">67,8%, lo que lo ubica en un rango satisfactorio de cumplimiento. </w:t>
      </w:r>
    </w:p>
    <w:p w:rsidR="00A365F0" w:rsidRDefault="00427253" w:rsidP="009100B1">
      <w:pPr>
        <w:autoSpaceDE w:val="0"/>
        <w:autoSpaceDN w:val="0"/>
        <w:adjustRightInd w:val="0"/>
        <w:spacing w:after="0" w:line="240" w:lineRule="auto"/>
        <w:jc w:val="both"/>
        <w:rPr>
          <w:rFonts w:cs="Arial"/>
          <w:lang w:val="es-CO"/>
        </w:rPr>
      </w:pPr>
      <w:r w:rsidRPr="00CE51FD">
        <w:rPr>
          <w:rFonts w:cs="Arial"/>
          <w:b/>
          <w:noProof/>
          <w:lang w:val="es-CO" w:eastAsia="es-CO"/>
        </w:rPr>
        <w:drawing>
          <wp:inline distT="0" distB="0" distL="0" distR="0" wp14:anchorId="748FC226" wp14:editId="4A182603">
            <wp:extent cx="6124575" cy="3561581"/>
            <wp:effectExtent l="0" t="0" r="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66151" cy="3585758"/>
                    </a:xfrm>
                    <a:prstGeom prst="rect">
                      <a:avLst/>
                    </a:prstGeom>
                    <a:noFill/>
                    <a:ln>
                      <a:noFill/>
                    </a:ln>
                  </pic:spPr>
                </pic:pic>
              </a:graphicData>
            </a:graphic>
          </wp:inline>
        </w:drawing>
      </w:r>
    </w:p>
    <w:p w:rsidR="00CC2941" w:rsidRPr="00C117C8" w:rsidRDefault="009100B1" w:rsidP="00CC2941">
      <w:pPr>
        <w:autoSpaceDE w:val="0"/>
        <w:autoSpaceDN w:val="0"/>
        <w:adjustRightInd w:val="0"/>
        <w:spacing w:after="0" w:line="240" w:lineRule="auto"/>
        <w:jc w:val="both"/>
        <w:rPr>
          <w:rFonts w:cs="Arial"/>
          <w:sz w:val="16"/>
          <w:szCs w:val="16"/>
        </w:rPr>
      </w:pPr>
      <w:r w:rsidRPr="00FC6E71">
        <w:rPr>
          <w:rFonts w:cs="Arial"/>
          <w:b/>
          <w:sz w:val="16"/>
          <w:szCs w:val="16"/>
        </w:rPr>
        <w:t>Fuente:</w:t>
      </w:r>
      <w:r w:rsidRPr="00C117C8">
        <w:rPr>
          <w:rFonts w:cs="Arial"/>
          <w:sz w:val="16"/>
          <w:szCs w:val="16"/>
        </w:rPr>
        <w:t xml:space="preserve"> Aplicativo DAFP 2016</w:t>
      </w:r>
    </w:p>
    <w:p w:rsidR="009100B1" w:rsidRPr="009100B1" w:rsidRDefault="009100B1" w:rsidP="00CC2941">
      <w:pPr>
        <w:autoSpaceDE w:val="0"/>
        <w:autoSpaceDN w:val="0"/>
        <w:adjustRightInd w:val="0"/>
        <w:spacing w:after="0" w:line="240" w:lineRule="auto"/>
        <w:jc w:val="both"/>
        <w:rPr>
          <w:rFonts w:cs="Arial"/>
          <w:b/>
        </w:rPr>
      </w:pPr>
    </w:p>
    <w:p w:rsidR="00CC2941" w:rsidRDefault="00CC2941" w:rsidP="00CC2941">
      <w:pPr>
        <w:autoSpaceDE w:val="0"/>
        <w:autoSpaceDN w:val="0"/>
        <w:adjustRightInd w:val="0"/>
        <w:spacing w:after="0" w:line="240" w:lineRule="auto"/>
        <w:jc w:val="both"/>
        <w:rPr>
          <w:rFonts w:cs="Arial"/>
        </w:rPr>
      </w:pPr>
      <w:r w:rsidRPr="00CE51FD">
        <w:rPr>
          <w:rFonts w:cs="Arial"/>
        </w:rPr>
        <w:t xml:space="preserve">A partir de estos resultados la entidad adelantó acciones dirigidas a mejorar el avance en la implementación del modelo, a continuación se presentan los avances: </w:t>
      </w:r>
    </w:p>
    <w:p w:rsidR="004507E7" w:rsidRPr="00CE51FD" w:rsidRDefault="004507E7" w:rsidP="00E501F6"/>
    <w:p w:rsidR="00015C71" w:rsidRPr="00332A11" w:rsidRDefault="00015C71" w:rsidP="00E501F6">
      <w:pPr>
        <w:ind w:firstLine="708"/>
        <w:rPr>
          <w:b/>
        </w:rPr>
      </w:pPr>
      <w:r w:rsidRPr="00332A11">
        <w:rPr>
          <w:b/>
        </w:rPr>
        <w:t>Componente de talento humano</w:t>
      </w:r>
    </w:p>
    <w:p w:rsidR="00015C71" w:rsidRPr="00513B72" w:rsidRDefault="00015C71" w:rsidP="00015C71">
      <w:pPr>
        <w:spacing w:after="0" w:line="240" w:lineRule="auto"/>
        <w:jc w:val="both"/>
        <w:rPr>
          <w:rFonts w:cs="Arial"/>
          <w:lang w:val="es-CO" w:eastAsia="es-CO"/>
        </w:rPr>
      </w:pPr>
      <w:r w:rsidRPr="00513B72">
        <w:rPr>
          <w:rFonts w:cs="Arial"/>
          <w:lang w:val="es-CO"/>
        </w:rPr>
        <w:t>En el marco del plan de acción para la implementación de la actualización del Modelo Estándar de Control Interno, se adoptó por medio del Acuerdo 005 de 2016 el Código de Ética y Buen Gobierno del ICBF y se socializó la</w:t>
      </w:r>
      <w:r w:rsidRPr="00513B72">
        <w:rPr>
          <w:rFonts w:cs="Arial"/>
          <w:lang w:val="es-CO" w:eastAsia="es-CO"/>
        </w:rPr>
        <w:t xml:space="preserve"> Resolución 8676 de 2015 “Por la cual se adopta el Código de Ética del Instituto Colombiano de Bienestar Familiar</w:t>
      </w:r>
      <w:r w:rsidRPr="00513B72">
        <w:rPr>
          <w:rFonts w:cs="Arial"/>
          <w:i/>
          <w:lang w:val="es-CO" w:eastAsia="es-CO"/>
        </w:rPr>
        <w:t xml:space="preserve">” </w:t>
      </w:r>
      <w:r w:rsidRPr="00513B72">
        <w:rPr>
          <w:rFonts w:cs="Arial"/>
          <w:lang w:val="es-CO" w:eastAsia="es-CO"/>
        </w:rPr>
        <w:t>con las y los colaboradores de la entidad.</w:t>
      </w:r>
    </w:p>
    <w:p w:rsidR="00015C71" w:rsidRPr="00513B72" w:rsidRDefault="00015C71" w:rsidP="00015C71">
      <w:pPr>
        <w:spacing w:after="0" w:line="240" w:lineRule="auto"/>
        <w:jc w:val="both"/>
        <w:rPr>
          <w:rFonts w:cs="Arial"/>
          <w:lang w:val="es-CO"/>
        </w:rPr>
      </w:pPr>
    </w:p>
    <w:p w:rsidR="00015C71" w:rsidRDefault="00015C71" w:rsidP="00015C71">
      <w:pPr>
        <w:autoSpaceDE w:val="0"/>
        <w:autoSpaceDN w:val="0"/>
        <w:adjustRightInd w:val="0"/>
        <w:spacing w:after="0" w:line="240" w:lineRule="auto"/>
        <w:jc w:val="both"/>
        <w:rPr>
          <w:rFonts w:eastAsia="Times New Roman" w:cs="Arial"/>
          <w:lang w:val="es-CO" w:eastAsia="es-CO"/>
        </w:rPr>
      </w:pPr>
      <w:r w:rsidRPr="00513B72">
        <w:rPr>
          <w:rFonts w:cs="Arial"/>
        </w:rPr>
        <w:t>Así mismo, m</w:t>
      </w:r>
      <w:r w:rsidRPr="00513B72">
        <w:rPr>
          <w:rStyle w:val="baj1"/>
          <w:rFonts w:cs="Arial"/>
          <w:b w:val="0"/>
          <w:color w:val="auto"/>
        </w:rPr>
        <w:t xml:space="preserve">ediante Resolución 2545 de 2016 se adoptó el plan de incentivos del ICBF para 2016 y a través de la </w:t>
      </w:r>
      <w:r w:rsidRPr="00513B72">
        <w:rPr>
          <w:rFonts w:eastAsia="Times New Roman" w:cs="Arial"/>
          <w:lang w:val="es-CO" w:eastAsia="es-CO"/>
        </w:rPr>
        <w:t xml:space="preserve">Resolución 2752 de 2016 se adoptaron los factores para acceder al nivel sobresaliente del Sistema Tipo de Evaluación del Desempeño Laboral del Instituto para las y los servidores de carrera administrativa y quienes culminen periodo de prueba durante el período de evaluación 2016-2017. </w:t>
      </w:r>
    </w:p>
    <w:p w:rsidR="00E07128" w:rsidRDefault="00E07128" w:rsidP="00E501F6">
      <w:pPr>
        <w:rPr>
          <w:lang w:val="es-CO" w:eastAsia="es-CO"/>
        </w:rPr>
      </w:pPr>
    </w:p>
    <w:p w:rsidR="00015C71" w:rsidRDefault="00015C71" w:rsidP="00E501F6">
      <w:pPr>
        <w:ind w:firstLine="708"/>
        <w:rPr>
          <w:b/>
        </w:rPr>
      </w:pPr>
      <w:r w:rsidRPr="00332A11">
        <w:rPr>
          <w:b/>
        </w:rPr>
        <w:t>Componente de direccionamiento estratégico</w:t>
      </w:r>
    </w:p>
    <w:p w:rsidR="001350BE" w:rsidRDefault="002267EE" w:rsidP="001350BE">
      <w:pPr>
        <w:spacing w:after="0" w:line="240" w:lineRule="auto"/>
        <w:jc w:val="both"/>
        <w:rPr>
          <w:bCs/>
        </w:rPr>
      </w:pPr>
      <w:r>
        <w:rPr>
          <w:bCs/>
        </w:rPr>
        <w:t xml:space="preserve">El </w:t>
      </w:r>
      <w:r w:rsidR="001350BE" w:rsidRPr="001350BE">
        <w:rPr>
          <w:bCs/>
        </w:rPr>
        <w:t xml:space="preserve">Plan Indicativo Institucional ICBF 2015-2018 “Estamos Cambiando el Mundo”, aprobado por el Consejo Directivo del ICBF el 21 de julio de 2015 ha definido como uno de sus pilares, la gestión de la calidad, como base sobre la que se sostiene la apuesta programática del Instituto y en este sentido es transversal a todas las acciones. En este mismo sentido el mapa estratégico de la entidad asocia los ejes del sistema integrado de gestión que componen la perspectiva de procesos.  El ICBF actualizo el  Modelo de operación de procesos el cual facilita el trabajo articulado </w:t>
      </w:r>
      <w:r w:rsidR="001350BE" w:rsidRPr="001350BE">
        <w:rPr>
          <w:b/>
          <w:bCs/>
        </w:rPr>
        <w:t>r</w:t>
      </w:r>
      <w:r w:rsidR="001350BE" w:rsidRPr="001350BE">
        <w:rPr>
          <w:bCs/>
        </w:rPr>
        <w:t>espondiendo de manera integral a la cadena de valor para prestar los servicios de manera eficiente, eficaz y efectiva a los beneficiarios para el logro de los objetivos y metas institucionales, este modelo de operación por proceso y el manual del Sistema Integrado de Gestión</w:t>
      </w:r>
      <w:r w:rsidR="001350BE" w:rsidRPr="001350BE">
        <w:rPr>
          <w:b/>
          <w:bCs/>
        </w:rPr>
        <w:t xml:space="preserve"> </w:t>
      </w:r>
      <w:r w:rsidR="001350BE" w:rsidRPr="001350BE">
        <w:rPr>
          <w:bCs/>
        </w:rPr>
        <w:t xml:space="preserve"> fue aprobado mediante la resolución 8080 del 11 agosto de  2016 , Para la socialización se  llevó a cabo un plan para su despliegue en los niveles nacional, regional y zonal; una de las actividad</w:t>
      </w:r>
      <w:r>
        <w:rPr>
          <w:bCs/>
        </w:rPr>
        <w:t>es</w:t>
      </w:r>
      <w:r w:rsidR="001350BE" w:rsidRPr="001350BE">
        <w:rPr>
          <w:bCs/>
        </w:rPr>
        <w:t xml:space="preserve"> fue el concurso del mapa de proceso interactivo para lograr que todos los colaboradores, conocieran y  apropien la  </w:t>
      </w:r>
      <w:r w:rsidRPr="001350BE">
        <w:rPr>
          <w:bCs/>
        </w:rPr>
        <w:t>implementa</w:t>
      </w:r>
      <w:r>
        <w:rPr>
          <w:bCs/>
        </w:rPr>
        <w:t>ción</w:t>
      </w:r>
      <w:r w:rsidR="001350BE" w:rsidRPr="001350BE">
        <w:rPr>
          <w:bCs/>
        </w:rPr>
        <w:t xml:space="preserve"> de este modelo  en el desarrollo diario de sus actividades igualmente se migra 1300 documentos del SIGE que permite la operación de  cada uno de los procesos. </w:t>
      </w:r>
      <w:r>
        <w:rPr>
          <w:bCs/>
        </w:rPr>
        <w:t>Se fortalece los instrumentos para el seguimiento del Sistema de Gestión para mejorar la eficiencia de los procesos. Igualmente se revis</w:t>
      </w:r>
      <w:r w:rsidR="00DB169E">
        <w:rPr>
          <w:bCs/>
        </w:rPr>
        <w:t>ó</w:t>
      </w:r>
      <w:r>
        <w:rPr>
          <w:bCs/>
        </w:rPr>
        <w:t xml:space="preserve"> y aprobó las políticas del Sistema Integrado de Gestión y de Riesgos del Instituto incluyendo en la misma un enfoque integral de gestión de riesgos sobre los cuatro ejes del sistema integrado de gestión (calidad, ambiental, seguridad y salud en el trabajo y seguridad de la información) y una declaración expresa frente a los riesgos de corrupción. </w:t>
      </w:r>
    </w:p>
    <w:p w:rsidR="002267EE" w:rsidRDefault="002267EE" w:rsidP="001350BE">
      <w:pPr>
        <w:spacing w:after="0" w:line="240" w:lineRule="auto"/>
        <w:jc w:val="both"/>
        <w:rPr>
          <w:bCs/>
        </w:rPr>
      </w:pPr>
    </w:p>
    <w:p w:rsidR="002267EE" w:rsidRDefault="002267EE" w:rsidP="001350BE">
      <w:pPr>
        <w:spacing w:after="0" w:line="240" w:lineRule="auto"/>
        <w:jc w:val="both"/>
        <w:rPr>
          <w:bCs/>
        </w:rPr>
      </w:pPr>
      <w:r>
        <w:rPr>
          <w:bCs/>
        </w:rPr>
        <w:t>Otros aspectos a resaltar:</w:t>
      </w:r>
    </w:p>
    <w:p w:rsidR="00E02AFB" w:rsidRDefault="00E02AFB" w:rsidP="001350BE">
      <w:pPr>
        <w:spacing w:after="0" w:line="240" w:lineRule="auto"/>
        <w:jc w:val="both"/>
        <w:rPr>
          <w:bCs/>
        </w:rPr>
      </w:pPr>
    </w:p>
    <w:p w:rsidR="002267EE" w:rsidRDefault="002267EE" w:rsidP="00470DCA">
      <w:pPr>
        <w:pStyle w:val="Prrafodelista"/>
        <w:numPr>
          <w:ilvl w:val="0"/>
          <w:numId w:val="217"/>
        </w:numPr>
        <w:spacing w:after="0" w:line="240" w:lineRule="auto"/>
        <w:jc w:val="both"/>
        <w:rPr>
          <w:bCs/>
        </w:rPr>
      </w:pPr>
      <w:r>
        <w:rPr>
          <w:bCs/>
        </w:rPr>
        <w:t>La renovación de las certificaciones del SIGE bajo las normas ISO 9001:2008,ISO 14001:2004, OHSAS 18001:2007 y Ma</w:t>
      </w:r>
      <w:r w:rsidR="00E02AFB">
        <w:rPr>
          <w:bCs/>
        </w:rPr>
        <w:t>ntenimiento de ISO 27001: 2013.</w:t>
      </w:r>
    </w:p>
    <w:p w:rsidR="00E02AFB" w:rsidRDefault="00E02AFB" w:rsidP="00E02AFB">
      <w:pPr>
        <w:pStyle w:val="Prrafodelista"/>
        <w:spacing w:after="0" w:line="240" w:lineRule="auto"/>
        <w:ind w:left="720"/>
        <w:jc w:val="both"/>
        <w:rPr>
          <w:bCs/>
        </w:rPr>
      </w:pPr>
    </w:p>
    <w:p w:rsidR="002267EE" w:rsidRDefault="002267EE" w:rsidP="00470DCA">
      <w:pPr>
        <w:pStyle w:val="Prrafodelista"/>
        <w:numPr>
          <w:ilvl w:val="0"/>
          <w:numId w:val="217"/>
        </w:numPr>
        <w:spacing w:after="0" w:line="240" w:lineRule="auto"/>
        <w:jc w:val="both"/>
        <w:rPr>
          <w:bCs/>
        </w:rPr>
      </w:pPr>
      <w:r>
        <w:rPr>
          <w:bCs/>
        </w:rPr>
        <w:t>Elaboración de un estudio de cargas para la entidad que permitió evidenciar la necesidad de fortalecer áreas estratégicas como las defensorías de familia y tramitar la ampliación de la planta temporal</w:t>
      </w:r>
      <w:r w:rsidR="00E02AFB">
        <w:rPr>
          <w:bCs/>
        </w:rPr>
        <w:t xml:space="preserve"> pasando de 2000 a 3737 cargos.</w:t>
      </w:r>
    </w:p>
    <w:p w:rsidR="00E02AFB" w:rsidRPr="00E02AFB" w:rsidRDefault="00E02AFB" w:rsidP="00E02AFB">
      <w:pPr>
        <w:spacing w:after="0" w:line="240" w:lineRule="auto"/>
        <w:jc w:val="both"/>
        <w:rPr>
          <w:bCs/>
        </w:rPr>
      </w:pPr>
    </w:p>
    <w:p w:rsidR="00072D3F" w:rsidRPr="002267EE" w:rsidRDefault="002267EE" w:rsidP="00470DCA">
      <w:pPr>
        <w:pStyle w:val="Prrafodelista"/>
        <w:numPr>
          <w:ilvl w:val="0"/>
          <w:numId w:val="217"/>
        </w:numPr>
        <w:spacing w:after="0" w:line="240" w:lineRule="auto"/>
        <w:jc w:val="both"/>
        <w:rPr>
          <w:bCs/>
        </w:rPr>
      </w:pPr>
      <w:r>
        <w:rPr>
          <w:rFonts w:cs="Arial"/>
        </w:rPr>
        <w:t xml:space="preserve">Se </w:t>
      </w:r>
      <w:r w:rsidR="00072D3F" w:rsidRPr="002267EE">
        <w:rPr>
          <w:rFonts w:cs="Arial"/>
        </w:rPr>
        <w:t xml:space="preserve">formuló el proyecto de ajuste al Decreto 987 de 2012 </w:t>
      </w:r>
      <w:r w:rsidR="00072D3F" w:rsidRPr="002267EE">
        <w:rPr>
          <w:rFonts w:cs="Arial"/>
          <w:i/>
        </w:rPr>
        <w:t xml:space="preserve">“Por el cual se modifica la estructura del Instituto Colombiano de Bienestar Familiar “Cecilia de la Fuente de Lleras” y se determinan las funciones de sus dependencias”, </w:t>
      </w:r>
      <w:r w:rsidR="00072D3F" w:rsidRPr="002267EE">
        <w:rPr>
          <w:rFonts w:cs="Arial"/>
        </w:rPr>
        <w:t>con el fin de ajustar las funciones de las dependencias del ICBF.</w:t>
      </w:r>
    </w:p>
    <w:p w:rsidR="00072D3F" w:rsidRPr="001350BE" w:rsidRDefault="00072D3F" w:rsidP="00457A24"/>
    <w:p w:rsidR="00015C71" w:rsidRPr="00332A11" w:rsidRDefault="00015C71" w:rsidP="00457A24">
      <w:pPr>
        <w:ind w:firstLine="708"/>
        <w:rPr>
          <w:rFonts w:cs="Arial"/>
          <w:b/>
        </w:rPr>
      </w:pPr>
      <w:r w:rsidRPr="00332A11">
        <w:rPr>
          <w:rFonts w:cs="Arial"/>
          <w:b/>
        </w:rPr>
        <w:t>Indicadores de gestión</w:t>
      </w:r>
    </w:p>
    <w:p w:rsidR="009100B1" w:rsidRDefault="009100B1" w:rsidP="009100B1">
      <w:pPr>
        <w:autoSpaceDE w:val="0"/>
        <w:autoSpaceDN w:val="0"/>
        <w:adjustRightInd w:val="0"/>
        <w:spacing w:after="0" w:line="240" w:lineRule="auto"/>
        <w:jc w:val="both"/>
        <w:rPr>
          <w:rFonts w:cs="Arial"/>
          <w:lang w:val="es-CO" w:eastAsia="es-CO"/>
        </w:rPr>
      </w:pPr>
      <w:r w:rsidRPr="009100B1">
        <w:rPr>
          <w:rFonts w:cs="Arial"/>
        </w:rPr>
        <w:t xml:space="preserve">Para la vigencia 2016 el ICBF formuló el plan de acción institucional entorno a las metas para el cumplimiento del plan indicativo institucional. Este plan se estructuró con 102 indicadores, donde </w:t>
      </w:r>
      <w:r w:rsidRPr="002D174A">
        <w:rPr>
          <w:rFonts w:cs="Arial"/>
        </w:rPr>
        <w:t>se establecieron actividades y recursos presupuestales para su cumplimiento</w:t>
      </w:r>
      <w:r w:rsidRPr="002D174A">
        <w:rPr>
          <w:rFonts w:cs="Arial"/>
          <w:lang w:val="es-CO" w:eastAsia="es-CO"/>
        </w:rPr>
        <w:t>.</w:t>
      </w:r>
    </w:p>
    <w:p w:rsidR="009100B1" w:rsidRPr="002D174A" w:rsidRDefault="009100B1" w:rsidP="009100B1">
      <w:pPr>
        <w:autoSpaceDE w:val="0"/>
        <w:autoSpaceDN w:val="0"/>
        <w:adjustRightInd w:val="0"/>
        <w:spacing w:after="0" w:line="240" w:lineRule="auto"/>
        <w:jc w:val="both"/>
        <w:rPr>
          <w:rFonts w:cs="Arial"/>
          <w:lang w:val="es-CO" w:eastAsia="es-CO"/>
        </w:rPr>
      </w:pPr>
    </w:p>
    <w:p w:rsidR="009100B1" w:rsidRPr="002D174A" w:rsidRDefault="009100B1" w:rsidP="009100B1">
      <w:pPr>
        <w:autoSpaceDE w:val="0"/>
        <w:autoSpaceDN w:val="0"/>
        <w:adjustRightInd w:val="0"/>
        <w:spacing w:after="0" w:line="240" w:lineRule="auto"/>
        <w:jc w:val="both"/>
        <w:rPr>
          <w:rFonts w:cs="Arial"/>
        </w:rPr>
      </w:pPr>
      <w:r w:rsidRPr="002D174A">
        <w:rPr>
          <w:rFonts w:cs="Arial"/>
        </w:rPr>
        <w:t>El monitoreo al cumplimiento de estos componentes se realiza por cada área de la Sede de la Dirección General a través del Sistema Integral de Monitoreo y Evaluación Institucional (SIMEI), siendo este la fuente oficial de consulta de información cuantitativa y cualitativa que permite conocer en detalle la trazabilidad de los resultados y análisis en la vigencia 2016.</w:t>
      </w:r>
    </w:p>
    <w:p w:rsidR="004507E7" w:rsidRDefault="004507E7" w:rsidP="00457A24"/>
    <w:p w:rsidR="003A6D83" w:rsidRDefault="003A6D83" w:rsidP="00457A24"/>
    <w:p w:rsidR="00015C71" w:rsidRPr="004507E7" w:rsidRDefault="00015C71" w:rsidP="00457A24">
      <w:pPr>
        <w:ind w:firstLine="708"/>
        <w:rPr>
          <w:b/>
        </w:rPr>
      </w:pPr>
      <w:r w:rsidRPr="004507E7">
        <w:rPr>
          <w:b/>
        </w:rPr>
        <w:t>Políticas de operación</w:t>
      </w:r>
    </w:p>
    <w:p w:rsidR="009100B1" w:rsidRPr="009100B1" w:rsidRDefault="009100B1" w:rsidP="009100B1">
      <w:pPr>
        <w:autoSpaceDE w:val="0"/>
        <w:autoSpaceDN w:val="0"/>
        <w:adjustRightInd w:val="0"/>
        <w:spacing w:after="0" w:line="240" w:lineRule="auto"/>
        <w:jc w:val="both"/>
        <w:rPr>
          <w:rFonts w:eastAsia="Times New Roman" w:cs="Arial"/>
          <w:lang w:val="es-CO" w:eastAsia="es-CO"/>
        </w:rPr>
      </w:pPr>
      <w:r w:rsidRPr="009100B1">
        <w:rPr>
          <w:rFonts w:eastAsia="Times New Roman" w:cs="Arial"/>
          <w:lang w:val="es-CO" w:eastAsia="es-CO"/>
        </w:rPr>
        <w:t xml:space="preserve">En la vigencia 2016 se acompañó a  las regionales del ICBF y a las dependencias de la sede de la Dirección General,  durante la auditoría externa realizada por ICONTEC para la certificación a los Sistemas de Gestión de Calidad, Seguridad y Salud en el Trabajo y Ambiental, que dio como resultado la renovación de la certificación del 13 de abril de 2016 hasta el 7 de abril de 2019. </w:t>
      </w:r>
    </w:p>
    <w:p w:rsidR="009100B1" w:rsidRPr="009100B1" w:rsidRDefault="009100B1" w:rsidP="009100B1">
      <w:pPr>
        <w:autoSpaceDE w:val="0"/>
        <w:autoSpaceDN w:val="0"/>
        <w:adjustRightInd w:val="0"/>
        <w:spacing w:after="0" w:line="240" w:lineRule="auto"/>
        <w:jc w:val="both"/>
        <w:rPr>
          <w:rFonts w:eastAsia="Times New Roman" w:cs="Arial"/>
          <w:lang w:val="es-CO" w:eastAsia="es-CO"/>
        </w:rPr>
      </w:pPr>
    </w:p>
    <w:p w:rsidR="009100B1" w:rsidRDefault="009100B1" w:rsidP="009100B1">
      <w:pPr>
        <w:spacing w:after="0" w:line="240" w:lineRule="auto"/>
        <w:ind w:right="230"/>
        <w:jc w:val="both"/>
        <w:rPr>
          <w:rFonts w:eastAsia="Times New Roman" w:cs="Arial"/>
          <w:lang w:eastAsia="es-ES"/>
        </w:rPr>
      </w:pPr>
      <w:r w:rsidRPr="009100B1">
        <w:rPr>
          <w:rFonts w:eastAsia="Times New Roman" w:cs="Arial"/>
          <w:lang w:eastAsia="es-ES"/>
        </w:rPr>
        <w:t xml:space="preserve">Si bien en el año 2015, el ICONTEC suspendió la certificación del Sistema de Seguridad de la Información al ICBF, con base en esta situación las directivas de la entidad toman la decisión de emprender un trabajo hacia la certificación en la nueva versión de la norma NTC ISO/IEC 27001:2013, modificando el alcance la cual se consigue el 15 de enero de 2016. </w:t>
      </w:r>
    </w:p>
    <w:p w:rsidR="009100B1" w:rsidRDefault="009100B1" w:rsidP="009100B1">
      <w:pPr>
        <w:spacing w:after="0" w:line="240" w:lineRule="auto"/>
        <w:ind w:right="230"/>
        <w:jc w:val="both"/>
        <w:rPr>
          <w:rFonts w:eastAsia="Times New Roman" w:cs="Arial"/>
          <w:lang w:eastAsia="es-ES"/>
        </w:rPr>
      </w:pPr>
    </w:p>
    <w:p w:rsidR="009100B1" w:rsidRPr="002D174A" w:rsidRDefault="009100B1" w:rsidP="009100B1">
      <w:pPr>
        <w:spacing w:after="0" w:line="240" w:lineRule="auto"/>
        <w:ind w:right="230"/>
        <w:jc w:val="both"/>
        <w:rPr>
          <w:rFonts w:cs="Arial"/>
        </w:rPr>
      </w:pPr>
      <w:r w:rsidRPr="002D174A">
        <w:rPr>
          <w:rFonts w:eastAsia="Times New Roman" w:cs="Arial"/>
          <w:lang w:eastAsia="es-ES"/>
        </w:rPr>
        <w:t xml:space="preserve">El ICONTEC practicó auditoría de seguimiento a la certificación del ICBF en la norma técnica colombiana NTC </w:t>
      </w:r>
      <w:r w:rsidRPr="002D174A">
        <w:rPr>
          <w:rFonts w:cs="Arial"/>
        </w:rPr>
        <w:t xml:space="preserve">ISO/IEC 27001:2013 Sistemas de Seguridad de la Información, durante los días 10 y 11 de octubre de 2016, emitiendo concepto favorable para continuar con la certificación. </w:t>
      </w:r>
    </w:p>
    <w:p w:rsidR="00B8532B" w:rsidRDefault="00B8532B" w:rsidP="00457A24">
      <w:pPr>
        <w:ind w:firstLine="708"/>
        <w:rPr>
          <w:b/>
        </w:rPr>
      </w:pPr>
    </w:p>
    <w:p w:rsidR="00015C71" w:rsidRPr="00457A24" w:rsidRDefault="00015C71" w:rsidP="00457A24">
      <w:pPr>
        <w:ind w:firstLine="708"/>
        <w:rPr>
          <w:b/>
        </w:rPr>
      </w:pPr>
      <w:r w:rsidRPr="00457A24">
        <w:rPr>
          <w:b/>
        </w:rPr>
        <w:t>Componente de administración del riesgo</w:t>
      </w:r>
    </w:p>
    <w:p w:rsidR="00015C71" w:rsidRPr="002A7557"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El ICBF realizó en 2016 un ajuste a la metodología de administración del riesgo para identificar, analizar, valorar, administrar y gestionar los riesgos de los procesos y los de corrupción que puedan afectar el proceso o procesos bajo responsabilidad de cada dependencia de la Sede de la Dirección General y en las Regionales, para lo cual expidió la Guía de Gestión de Riesgos Código G1 MPE2 versión 11 del 27/05/2016, que se complementa con los siguientes formatos: i) F1 G1 MPE2 Formato Matriz Integral de riesgos SST V6; ii) F2 G1 MPE2 Formato Matriz Riesgos SGSI V3; iii) F3 G1 MPEV3 Matriz Valoración Riesgos de Emergencia V3; iv) F4 G1 MPE V2 Formato Ficha levantamiento información V2; v) F5 G1 MPE2 Formato Matriz de Riesgos de Procesos V1.</w:t>
      </w:r>
      <w:r w:rsidRPr="002A7557">
        <w:rPr>
          <w:rFonts w:ascii="Arial" w:hAnsi="Arial" w:cs="Arial"/>
          <w:color w:val="auto"/>
          <w:sz w:val="22"/>
          <w:szCs w:val="22"/>
        </w:rPr>
        <w:cr/>
      </w:r>
    </w:p>
    <w:p w:rsidR="00015C71" w:rsidRPr="002A7557"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De igual forma, el indicador para medir el porcentaje de riesgos mitigados (</w:t>
      </w:r>
      <w:r w:rsidRPr="002A7557">
        <w:rPr>
          <w:rFonts w:ascii="Arial" w:hAnsi="Arial" w:cs="Arial"/>
          <w:bCs/>
          <w:color w:val="auto"/>
          <w:sz w:val="22"/>
          <w:szCs w:val="22"/>
        </w:rPr>
        <w:t>A13-PT-02) arrojó que el ICBF ha mitigado en 2016 el</w:t>
      </w:r>
      <w:r w:rsidRPr="002A7557">
        <w:rPr>
          <w:rFonts w:ascii="Arial" w:hAnsi="Arial" w:cs="Arial"/>
          <w:color w:val="auto"/>
          <w:sz w:val="22"/>
          <w:szCs w:val="22"/>
        </w:rPr>
        <w:t xml:space="preserve"> 96% de los riesgos identificados, situación que ubica a la entidad en un rango óptimo.</w:t>
      </w:r>
    </w:p>
    <w:p w:rsidR="00015C71" w:rsidRPr="002A7557" w:rsidRDefault="00015C71" w:rsidP="00015C71">
      <w:pPr>
        <w:spacing w:after="0" w:line="240" w:lineRule="auto"/>
        <w:jc w:val="both"/>
        <w:rPr>
          <w:rFonts w:cs="Arial"/>
          <w:lang w:val="es-CO"/>
        </w:rPr>
      </w:pPr>
    </w:p>
    <w:p w:rsidR="0049702C" w:rsidRDefault="00015C71" w:rsidP="00015C71">
      <w:pPr>
        <w:pStyle w:val="Default"/>
        <w:jc w:val="both"/>
        <w:rPr>
          <w:rFonts w:ascii="Arial" w:hAnsi="Arial" w:cs="Arial"/>
          <w:color w:val="auto"/>
          <w:sz w:val="22"/>
          <w:szCs w:val="22"/>
        </w:rPr>
      </w:pPr>
      <w:r w:rsidRPr="002A7557">
        <w:rPr>
          <w:rFonts w:ascii="Arial" w:hAnsi="Arial" w:cs="Arial"/>
          <w:color w:val="auto"/>
          <w:sz w:val="22"/>
          <w:szCs w:val="22"/>
        </w:rPr>
        <w:t xml:space="preserve">Adicionalmente, con base en el Decreto 124 de 2016, el ICBF actualizó la metodología para diseñar y hacer seguimiento al Mapa de Riesgo de Corrupción, para lo cual se incorporaron las acciones de transparencia y acceso a la información pública y se actualizaron las directrices para diseñar y hacer seguimiento al Mapa de Riesgos de Corrupción. </w:t>
      </w:r>
    </w:p>
    <w:p w:rsidR="00461A5D" w:rsidRPr="002A7557" w:rsidRDefault="00461A5D" w:rsidP="00457A24"/>
    <w:p w:rsidR="00015C71" w:rsidRPr="00122160" w:rsidRDefault="00015C71" w:rsidP="00457A24">
      <w:pPr>
        <w:ind w:firstLine="708"/>
        <w:rPr>
          <w:b/>
        </w:rPr>
      </w:pPr>
      <w:r w:rsidRPr="00122160">
        <w:rPr>
          <w:b/>
        </w:rPr>
        <w:t>Módulo de evaluación y seguimiento</w:t>
      </w:r>
    </w:p>
    <w:p w:rsidR="00015C71" w:rsidRPr="00901F64" w:rsidRDefault="00015C71" w:rsidP="00457A24">
      <w:pPr>
        <w:ind w:firstLine="708"/>
        <w:rPr>
          <w:b/>
        </w:rPr>
      </w:pPr>
      <w:r w:rsidRPr="00901F64">
        <w:rPr>
          <w:b/>
        </w:rPr>
        <w:t>Componente de autoevaluación institucional</w:t>
      </w:r>
    </w:p>
    <w:p w:rsidR="00457A24" w:rsidRDefault="00457A24" w:rsidP="00015C71">
      <w:pPr>
        <w:autoSpaceDE w:val="0"/>
        <w:autoSpaceDN w:val="0"/>
        <w:adjustRightInd w:val="0"/>
        <w:spacing w:after="0" w:line="240" w:lineRule="auto"/>
        <w:jc w:val="both"/>
        <w:rPr>
          <w:rFonts w:cs="Arial"/>
        </w:rPr>
      </w:pPr>
    </w:p>
    <w:p w:rsidR="00015C71" w:rsidRPr="00122160" w:rsidRDefault="00015C71" w:rsidP="00015C71">
      <w:pPr>
        <w:autoSpaceDE w:val="0"/>
        <w:autoSpaceDN w:val="0"/>
        <w:adjustRightInd w:val="0"/>
        <w:spacing w:after="0" w:line="240" w:lineRule="auto"/>
        <w:jc w:val="both"/>
        <w:rPr>
          <w:rFonts w:cs="Arial"/>
        </w:rPr>
      </w:pPr>
      <w:r w:rsidRPr="00122160">
        <w:rPr>
          <w:rFonts w:cs="Arial"/>
        </w:rPr>
        <w:t>La Oficina de Control Interno elaboró los siguientes informes de seguimi</w:t>
      </w:r>
      <w:r w:rsidR="00C117C8">
        <w:rPr>
          <w:rFonts w:cs="Arial"/>
        </w:rPr>
        <w:t>ento durante la vigencia 2016.</w:t>
      </w:r>
    </w:p>
    <w:p w:rsidR="002A7557" w:rsidRPr="002A7557" w:rsidRDefault="002A7557" w:rsidP="002A7557">
      <w:pPr>
        <w:autoSpaceDE w:val="0"/>
        <w:autoSpaceDN w:val="0"/>
        <w:adjustRightInd w:val="0"/>
        <w:spacing w:after="0" w:line="240" w:lineRule="auto"/>
        <w:jc w:val="center"/>
        <w:rPr>
          <w:rFonts w:cs="Arial"/>
          <w:b/>
        </w:rPr>
      </w:pPr>
      <w:r w:rsidRPr="002A7557">
        <w:rPr>
          <w:rFonts w:cs="Arial"/>
          <w:b/>
        </w:rPr>
        <w:t>Tabla. Relación de Informes de Seguimiento OCI- 2016</w:t>
      </w:r>
    </w:p>
    <w:tbl>
      <w:tblPr>
        <w:tblStyle w:val="Tablaconcuadrcula"/>
        <w:tblW w:w="9126"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060"/>
        <w:gridCol w:w="8066"/>
      </w:tblGrid>
      <w:tr w:rsidR="00015C71" w:rsidRPr="00AB6213" w:rsidTr="00CF69C2">
        <w:trPr>
          <w:trHeight w:val="286"/>
          <w:tblHeader/>
          <w:jc w:val="center"/>
        </w:trPr>
        <w:tc>
          <w:tcPr>
            <w:tcW w:w="1060" w:type="dxa"/>
            <w:shd w:val="clear" w:color="auto" w:fill="76923C" w:themeFill="accent3" w:themeFillShade="BF"/>
            <w:vAlign w:val="center"/>
            <w:hideMark/>
          </w:tcPr>
          <w:p w:rsidR="00015C71" w:rsidRPr="00E02AFB" w:rsidRDefault="00015C71" w:rsidP="00015C71">
            <w:pPr>
              <w:spacing w:after="0" w:line="240" w:lineRule="auto"/>
              <w:jc w:val="center"/>
              <w:rPr>
                <w:rFonts w:eastAsia="Times New Roman" w:cs="Arial"/>
                <w:b/>
                <w:bCs/>
                <w:color w:val="FFFFFF" w:themeColor="background1"/>
                <w:sz w:val="18"/>
                <w:szCs w:val="20"/>
                <w:lang w:val="es-CO" w:eastAsia="es-CO"/>
              </w:rPr>
            </w:pPr>
            <w:r w:rsidRPr="00E02AFB">
              <w:rPr>
                <w:rFonts w:eastAsia="Times New Roman" w:cs="Arial"/>
                <w:b/>
                <w:bCs/>
                <w:color w:val="FFFFFF" w:themeColor="background1"/>
                <w:sz w:val="18"/>
                <w:szCs w:val="20"/>
                <w:lang w:val="es-CO" w:eastAsia="es-CO"/>
              </w:rPr>
              <w:t>No</w:t>
            </w:r>
            <w:r w:rsidR="00E02AFB" w:rsidRPr="00E02AFB">
              <w:rPr>
                <w:rFonts w:eastAsia="Times New Roman" w:cs="Arial"/>
                <w:b/>
                <w:bCs/>
                <w:color w:val="FFFFFF" w:themeColor="background1"/>
                <w:sz w:val="18"/>
                <w:szCs w:val="20"/>
                <w:lang w:val="es-CO" w:eastAsia="es-CO"/>
              </w:rPr>
              <w:t>.</w:t>
            </w:r>
          </w:p>
        </w:tc>
        <w:tc>
          <w:tcPr>
            <w:tcW w:w="8066" w:type="dxa"/>
            <w:shd w:val="clear" w:color="auto" w:fill="76923C" w:themeFill="accent3" w:themeFillShade="BF"/>
            <w:vAlign w:val="center"/>
            <w:hideMark/>
          </w:tcPr>
          <w:p w:rsidR="00015C71" w:rsidRPr="00E02AFB" w:rsidRDefault="00015C71" w:rsidP="00015C71">
            <w:pPr>
              <w:spacing w:after="0" w:line="240" w:lineRule="auto"/>
              <w:jc w:val="center"/>
              <w:rPr>
                <w:rFonts w:eastAsia="Times New Roman" w:cs="Arial"/>
                <w:b/>
                <w:bCs/>
                <w:color w:val="FFFFFF" w:themeColor="background1"/>
                <w:sz w:val="18"/>
                <w:szCs w:val="20"/>
                <w:lang w:val="es-CO" w:eastAsia="es-CO"/>
              </w:rPr>
            </w:pPr>
            <w:r w:rsidRPr="00E02AFB">
              <w:rPr>
                <w:rFonts w:eastAsia="Times New Roman" w:cs="Arial"/>
                <w:b/>
                <w:bCs/>
                <w:color w:val="FFFFFF" w:themeColor="background1"/>
                <w:sz w:val="18"/>
                <w:szCs w:val="20"/>
                <w:lang w:val="es-CO" w:eastAsia="es-CO"/>
              </w:rPr>
              <w:t xml:space="preserve">CLASE DE INFORME O DOCUMENTO </w:t>
            </w:r>
            <w:r w:rsidR="00E02AFB" w:rsidRPr="00E02AFB">
              <w:rPr>
                <w:rFonts w:eastAsia="Times New Roman" w:cs="Arial"/>
                <w:b/>
                <w:bCs/>
                <w:color w:val="FFFFFF" w:themeColor="background1"/>
                <w:sz w:val="18"/>
                <w:szCs w:val="20"/>
                <w:lang w:val="es-CO" w:eastAsia="es-CO"/>
              </w:rPr>
              <w:t>(</w:t>
            </w:r>
            <w:r w:rsidRPr="00E02AFB">
              <w:rPr>
                <w:rFonts w:eastAsia="Times New Roman" w:cs="Arial"/>
                <w:b/>
                <w:bCs/>
                <w:color w:val="FFFFFF" w:themeColor="background1"/>
                <w:sz w:val="18"/>
                <w:szCs w:val="20"/>
                <w:lang w:val="es-CO" w:eastAsia="es-CO"/>
              </w:rPr>
              <w:t xml:space="preserve">FISICO </w:t>
            </w:r>
            <w:r w:rsidR="00E02AFB" w:rsidRPr="00E02AFB">
              <w:rPr>
                <w:rFonts w:eastAsia="Times New Roman" w:cs="Arial"/>
                <w:b/>
                <w:bCs/>
                <w:color w:val="FFFFFF" w:themeColor="background1"/>
                <w:sz w:val="18"/>
                <w:szCs w:val="20"/>
                <w:lang w:val="es-CO" w:eastAsia="es-CO"/>
              </w:rPr>
              <w:t xml:space="preserve">- </w:t>
            </w:r>
            <w:r w:rsidR="00042F29">
              <w:rPr>
                <w:rFonts w:eastAsia="Times New Roman" w:cs="Arial"/>
                <w:b/>
                <w:bCs/>
                <w:color w:val="FFFFFF" w:themeColor="background1"/>
                <w:sz w:val="18"/>
                <w:szCs w:val="20"/>
                <w:lang w:val="es-CO" w:eastAsia="es-CO"/>
              </w:rPr>
              <w:t>PUBLICACIÓ</w:t>
            </w:r>
            <w:r w:rsidRPr="00E02AFB">
              <w:rPr>
                <w:rFonts w:eastAsia="Times New Roman" w:cs="Arial"/>
                <w:b/>
                <w:bCs/>
                <w:color w:val="FFFFFF" w:themeColor="background1"/>
                <w:sz w:val="18"/>
                <w:szCs w:val="20"/>
                <w:lang w:val="es-CO" w:eastAsia="es-CO"/>
              </w:rPr>
              <w:t>N</w:t>
            </w:r>
            <w:r w:rsidR="00E02AFB" w:rsidRPr="00E02AFB">
              <w:rPr>
                <w:rFonts w:eastAsia="Times New Roman" w:cs="Arial"/>
                <w:b/>
                <w:bCs/>
                <w:color w:val="FFFFFF" w:themeColor="background1"/>
                <w:sz w:val="18"/>
                <w:szCs w:val="20"/>
                <w:lang w:val="es-CO" w:eastAsia="es-CO"/>
              </w:rPr>
              <w:t>)</w:t>
            </w:r>
          </w:p>
        </w:tc>
      </w:tr>
      <w:tr w:rsidR="00015C71" w:rsidRPr="00AB6213" w:rsidTr="00042F29">
        <w:trPr>
          <w:trHeight w:val="169"/>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del Plan de Mejoramiento CGR (Reporte SIRECI)</w:t>
            </w:r>
          </w:p>
        </w:tc>
      </w:tr>
      <w:tr w:rsidR="00015C71" w:rsidRPr="00AB6213" w:rsidTr="00042F29">
        <w:trPr>
          <w:trHeight w:val="116"/>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Cuatrimestral pormenorizado del estado del Control Interno- Ley 1474-2011</w:t>
            </w:r>
          </w:p>
        </w:tc>
      </w:tr>
      <w:tr w:rsidR="00015C71" w:rsidRPr="00AB6213" w:rsidTr="00042F29">
        <w:trPr>
          <w:trHeight w:val="417"/>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3</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 LITIGOB (Ekogui) (1er y 2do semestre ) (Decreto 2052 de 2014)</w:t>
            </w:r>
          </w:p>
        </w:tc>
      </w:tr>
      <w:tr w:rsidR="00015C71" w:rsidRPr="00AB6213" w:rsidTr="00042F29">
        <w:trPr>
          <w:trHeight w:val="310"/>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4</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 Acción de Repetición ( 1º y 2º semestre )</w:t>
            </w:r>
          </w:p>
        </w:tc>
      </w:tr>
      <w:tr w:rsidR="00015C71" w:rsidRPr="00AB6213" w:rsidTr="00042F29">
        <w:trPr>
          <w:trHeight w:val="187"/>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5</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Cuatrimestral de seguimiento a la elaboración y </w:t>
            </w:r>
            <w:r w:rsidR="00042F29" w:rsidRPr="00E07128">
              <w:rPr>
                <w:rFonts w:eastAsia="Times New Roman" w:cs="Arial"/>
                <w:sz w:val="18"/>
                <w:szCs w:val="20"/>
                <w:lang w:val="es-CO" w:eastAsia="es-CO"/>
              </w:rPr>
              <w:t>evaluación</w:t>
            </w:r>
            <w:r w:rsidRPr="00E07128">
              <w:rPr>
                <w:rFonts w:eastAsia="Times New Roman" w:cs="Arial"/>
                <w:sz w:val="18"/>
                <w:szCs w:val="20"/>
                <w:lang w:val="es-CO" w:eastAsia="es-CO"/>
              </w:rPr>
              <w:t xml:space="preserve"> de la estrategia anticorrupción</w:t>
            </w:r>
          </w:p>
        </w:tc>
      </w:tr>
      <w:tr w:rsidR="00015C71" w:rsidRPr="00AB6213" w:rsidTr="00042F29">
        <w:trPr>
          <w:trHeight w:val="192"/>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6</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Ejecutivo Anual  sobre la Evaluación del Sistema de Control Interno Institucional (Base encuesta MECI)</w:t>
            </w:r>
          </w:p>
        </w:tc>
      </w:tr>
      <w:tr w:rsidR="00015C71" w:rsidRPr="00AB6213" w:rsidTr="00042F29">
        <w:trPr>
          <w:trHeight w:val="209"/>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7</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Anual de Evaluación del Sistema de Control Interno Contable</w:t>
            </w:r>
          </w:p>
        </w:tc>
      </w:tr>
      <w:tr w:rsidR="00015C71" w:rsidRPr="00AB6213" w:rsidTr="00042F29">
        <w:trPr>
          <w:trHeight w:val="419"/>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8</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Anual del Uso de Software </w:t>
            </w:r>
          </w:p>
        </w:tc>
      </w:tr>
      <w:tr w:rsidR="00015C71" w:rsidRPr="00AB6213" w:rsidTr="00042F29">
        <w:trPr>
          <w:trHeight w:val="12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9</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Rendición de cuentas (Informe de la Cuenta Anual Consolidada por entidad a la CGR 2014. (SIRECI). </w:t>
            </w:r>
          </w:p>
        </w:tc>
      </w:tr>
      <w:tr w:rsidR="00015C71" w:rsidRPr="00AB6213" w:rsidTr="00042F29">
        <w:trPr>
          <w:trHeight w:val="122"/>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10</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bimestral de hallazgos relevantes, de carácter administrativo, penal, fiscal o disciplinario,  con implicaciones SGC y MECI (Circular 02/2006, cinco primeros días siguientes al bimestre)</w:t>
            </w:r>
          </w:p>
        </w:tc>
      </w:tr>
      <w:tr w:rsidR="00015C71" w:rsidRPr="00AB6213" w:rsidTr="00042F29">
        <w:trPr>
          <w:trHeight w:val="162"/>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11</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Semestral  del Sistema de Peticiones Quejas y Sugerencias</w:t>
            </w:r>
          </w:p>
        </w:tc>
      </w:tr>
      <w:tr w:rsidR="00015C71" w:rsidRPr="00AB6213" w:rsidTr="00042F29">
        <w:trPr>
          <w:trHeight w:val="25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12</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Anual del Consolidado Ciclo auditoria SIGE </w:t>
            </w:r>
          </w:p>
        </w:tc>
      </w:tr>
      <w:tr w:rsidR="00015C71" w:rsidRPr="00AB6213" w:rsidTr="00042F29">
        <w:trPr>
          <w:trHeight w:val="26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13</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Informe Trimestral SUIP-SIGEP (Sistema de Información y Gestión del Empleo Público) </w:t>
            </w:r>
          </w:p>
        </w:tc>
      </w:tr>
      <w:tr w:rsidR="00015C71" w:rsidRPr="00AB6213" w:rsidTr="00042F29">
        <w:trPr>
          <w:trHeight w:val="329"/>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14</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trimestral y seguimiento mensual de Arqueos de Caja Menor</w:t>
            </w:r>
          </w:p>
        </w:tc>
      </w:tr>
      <w:tr w:rsidR="00015C71" w:rsidRPr="00AB6213" w:rsidTr="00042F29">
        <w:trPr>
          <w:trHeight w:val="186"/>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15</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Trimestral de Seguimiento a las Políticas de Desarrollo Administrativo Institucional desde el plan de acción</w:t>
            </w:r>
          </w:p>
        </w:tc>
      </w:tr>
      <w:tr w:rsidR="00015C71" w:rsidRPr="00AB6213" w:rsidTr="00042F29">
        <w:trPr>
          <w:trHeight w:val="245"/>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16</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bimestral de hallazgos relevantes, de carácter administrativo, penal, fiscal o disciplinario,  con implicaciones SGC y MECI (Circular 02/2006, cinco primeros días siguientes al bimestre)</w:t>
            </w:r>
          </w:p>
        </w:tc>
      </w:tr>
      <w:tr w:rsidR="00015C71" w:rsidRPr="00AB6213" w:rsidTr="00042F29">
        <w:trPr>
          <w:trHeight w:val="114"/>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17</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 xml:space="preserve">Seguimiento mensual  del Plan de Mejoramiento CGR </w:t>
            </w:r>
          </w:p>
        </w:tc>
      </w:tr>
      <w:tr w:rsidR="00015C71" w:rsidRPr="00AB6213" w:rsidTr="00042F29">
        <w:trPr>
          <w:trHeight w:val="43"/>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18</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Informe Anual de Evaluación Institucional por Dependencia 2014</w:t>
            </w:r>
          </w:p>
        </w:tc>
      </w:tr>
      <w:tr w:rsidR="00015C71" w:rsidRPr="00AB6213" w:rsidTr="00042F29">
        <w:trPr>
          <w:trHeight w:val="65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19</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Requerimientos de información Entes externos  de la vigencia -CGR</w:t>
            </w:r>
          </w:p>
        </w:tc>
      </w:tr>
      <w:tr w:rsidR="00015C71" w:rsidRPr="00AB6213" w:rsidTr="00042F29">
        <w:trPr>
          <w:trHeight w:val="65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20</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Seguimiento a funciones de advertencia de la Contraloría General de la República</w:t>
            </w:r>
          </w:p>
        </w:tc>
      </w:tr>
      <w:tr w:rsidR="00015C71" w:rsidRPr="00AB6213" w:rsidTr="00042F29">
        <w:trPr>
          <w:trHeight w:val="658"/>
          <w:jc w:val="center"/>
        </w:trPr>
        <w:tc>
          <w:tcPr>
            <w:tcW w:w="1060" w:type="dxa"/>
            <w:hideMark/>
          </w:tcPr>
          <w:p w:rsidR="00015C71" w:rsidRPr="00E07128" w:rsidRDefault="00015C71" w:rsidP="00015C71">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21</w:t>
            </w:r>
          </w:p>
        </w:tc>
        <w:tc>
          <w:tcPr>
            <w:tcW w:w="8066" w:type="dxa"/>
            <w:hideMark/>
          </w:tcPr>
          <w:p w:rsidR="00015C71" w:rsidRPr="00E07128" w:rsidRDefault="00015C71" w:rsidP="00015C71">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Análisis de fichas para los distintos Comités donde participa la Oficina de Control Interno con voz y sin voto (Defensa Juridicial y Conciliación;  Cartera; Gestión de Bienes; Contratación)</w:t>
            </w:r>
            <w:r w:rsidRPr="00E07128">
              <w:rPr>
                <w:rFonts w:eastAsia="Times New Roman" w:cs="Arial"/>
                <w:sz w:val="18"/>
                <w:szCs w:val="20"/>
                <w:lang w:val="es-CO" w:eastAsia="es-CO"/>
              </w:rPr>
              <w:br/>
              <w:t>Abogados y Contadores Públicos de la OCI a quienes se asignan las fichas establecen la posición de la Oficina de manera sustentada.</w:t>
            </w:r>
          </w:p>
        </w:tc>
      </w:tr>
    </w:tbl>
    <w:p w:rsidR="002A7557" w:rsidRPr="00E07128" w:rsidRDefault="002A7557" w:rsidP="002A7557">
      <w:pPr>
        <w:autoSpaceDE w:val="0"/>
        <w:autoSpaceDN w:val="0"/>
        <w:adjustRightInd w:val="0"/>
        <w:spacing w:after="0" w:line="240" w:lineRule="auto"/>
        <w:jc w:val="both"/>
        <w:rPr>
          <w:rFonts w:cs="Arial"/>
          <w:sz w:val="16"/>
          <w:szCs w:val="20"/>
        </w:rPr>
      </w:pPr>
      <w:r w:rsidRPr="00042F29">
        <w:rPr>
          <w:rFonts w:cs="Arial"/>
          <w:b/>
          <w:sz w:val="16"/>
          <w:szCs w:val="20"/>
        </w:rPr>
        <w:t>Fuente:</w:t>
      </w:r>
      <w:r w:rsidRPr="00E07128">
        <w:rPr>
          <w:rFonts w:cs="Arial"/>
          <w:sz w:val="16"/>
          <w:szCs w:val="20"/>
        </w:rPr>
        <w:t xml:space="preserve"> Registro Oficina de Control Interno.</w:t>
      </w:r>
    </w:p>
    <w:p w:rsidR="00015C71" w:rsidRDefault="00015C71" w:rsidP="00015C71">
      <w:pPr>
        <w:autoSpaceDE w:val="0"/>
        <w:autoSpaceDN w:val="0"/>
        <w:adjustRightInd w:val="0"/>
        <w:spacing w:after="0" w:line="240" w:lineRule="auto"/>
        <w:jc w:val="both"/>
        <w:rPr>
          <w:rFonts w:cs="Arial"/>
          <w:color w:val="FF0000"/>
          <w:sz w:val="20"/>
          <w:szCs w:val="20"/>
        </w:rPr>
      </w:pPr>
    </w:p>
    <w:p w:rsidR="00955D31" w:rsidRDefault="00955D31" w:rsidP="00955D31">
      <w:pPr>
        <w:autoSpaceDE w:val="0"/>
        <w:autoSpaceDN w:val="0"/>
        <w:adjustRightInd w:val="0"/>
        <w:spacing w:after="0" w:line="240" w:lineRule="auto"/>
        <w:jc w:val="both"/>
        <w:rPr>
          <w:rFonts w:cs="Arial"/>
        </w:rPr>
      </w:pPr>
      <w:r w:rsidRPr="00955D31">
        <w:rPr>
          <w:rFonts w:cs="Arial"/>
        </w:rPr>
        <w:t xml:space="preserve">La Dirección de Planeación y Control de Gestión del ICBF desarrolló las siguientes actividades para la implementación del MECI, con el fin de atender las debilidades presentadas en la evaluación realizada por la Oficina de Control Interno en el Informe Ejecutivo Anual de la Vigencia 2015.  </w:t>
      </w:r>
    </w:p>
    <w:p w:rsidR="001767CE" w:rsidRDefault="001767CE" w:rsidP="00955D31">
      <w:pPr>
        <w:autoSpaceDE w:val="0"/>
        <w:autoSpaceDN w:val="0"/>
        <w:adjustRightInd w:val="0"/>
        <w:spacing w:after="0" w:line="240" w:lineRule="auto"/>
        <w:jc w:val="both"/>
        <w:rPr>
          <w:rFonts w:cs="Arial"/>
        </w:rPr>
      </w:pPr>
    </w:p>
    <w:p w:rsidR="002A0057" w:rsidRDefault="002A0057" w:rsidP="00955D31">
      <w:pPr>
        <w:autoSpaceDE w:val="0"/>
        <w:autoSpaceDN w:val="0"/>
        <w:adjustRightInd w:val="0"/>
        <w:spacing w:after="0" w:line="240" w:lineRule="auto"/>
        <w:jc w:val="both"/>
        <w:rPr>
          <w:rFonts w:cs="Arial"/>
        </w:rPr>
      </w:pPr>
    </w:p>
    <w:tbl>
      <w:tblPr>
        <w:tblStyle w:val="Tablaconcuadrcula"/>
        <w:tblW w:w="806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551"/>
        <w:gridCol w:w="4455"/>
        <w:gridCol w:w="1061"/>
      </w:tblGrid>
      <w:tr w:rsidR="00901F64" w:rsidRPr="00AB6213" w:rsidTr="00042F29">
        <w:trPr>
          <w:trHeight w:val="225"/>
          <w:jc w:val="center"/>
        </w:trPr>
        <w:tc>
          <w:tcPr>
            <w:tcW w:w="2551" w:type="dxa"/>
            <w:shd w:val="clear" w:color="auto" w:fill="76923C" w:themeFill="accent3" w:themeFillShade="BF"/>
            <w:noWrap/>
            <w:vAlign w:val="center"/>
            <w:hideMark/>
          </w:tcPr>
          <w:p w:rsidR="00901F64" w:rsidRPr="00042F29" w:rsidRDefault="002A0057" w:rsidP="00B524DF">
            <w:pPr>
              <w:spacing w:after="0" w:line="240" w:lineRule="auto"/>
              <w:jc w:val="center"/>
              <w:rPr>
                <w:rFonts w:eastAsia="Times New Roman" w:cs="Arial"/>
                <w:b/>
                <w:bCs/>
                <w:color w:val="FFFFFF" w:themeColor="background1"/>
                <w:sz w:val="18"/>
                <w:szCs w:val="20"/>
                <w:lang w:val="es-CO" w:eastAsia="es-CO"/>
              </w:rPr>
            </w:pPr>
            <w:r>
              <w:rPr>
                <w:rFonts w:eastAsia="Times New Roman" w:cs="Arial"/>
                <w:b/>
                <w:bCs/>
                <w:color w:val="FFFFFF" w:themeColor="background1"/>
                <w:sz w:val="18"/>
                <w:szCs w:val="20"/>
                <w:lang w:val="es-CO" w:eastAsia="es-CO"/>
              </w:rPr>
              <w:t>Productos M</w:t>
            </w:r>
            <w:r w:rsidR="00901F64" w:rsidRPr="00042F29">
              <w:rPr>
                <w:rFonts w:eastAsia="Times New Roman" w:cs="Arial"/>
                <w:b/>
                <w:bCs/>
                <w:color w:val="FFFFFF" w:themeColor="background1"/>
                <w:sz w:val="18"/>
                <w:szCs w:val="20"/>
                <w:lang w:val="es-CO" w:eastAsia="es-CO"/>
              </w:rPr>
              <w:t>ínimos</w:t>
            </w:r>
          </w:p>
        </w:tc>
        <w:tc>
          <w:tcPr>
            <w:tcW w:w="4455" w:type="dxa"/>
            <w:shd w:val="clear" w:color="auto" w:fill="76923C" w:themeFill="accent3" w:themeFillShade="BF"/>
            <w:vAlign w:val="center"/>
            <w:hideMark/>
          </w:tcPr>
          <w:p w:rsidR="00901F64" w:rsidRPr="00042F29" w:rsidRDefault="00901F64" w:rsidP="00B524DF">
            <w:pPr>
              <w:spacing w:after="0" w:line="240" w:lineRule="auto"/>
              <w:jc w:val="center"/>
              <w:rPr>
                <w:rFonts w:eastAsia="Times New Roman" w:cs="Arial"/>
                <w:b/>
                <w:bCs/>
                <w:color w:val="FFFFFF" w:themeColor="background1"/>
                <w:sz w:val="18"/>
                <w:szCs w:val="20"/>
                <w:lang w:val="es-CO" w:eastAsia="es-CO"/>
              </w:rPr>
            </w:pPr>
            <w:r w:rsidRPr="00042F29">
              <w:rPr>
                <w:rFonts w:eastAsia="Times New Roman" w:cs="Arial"/>
                <w:b/>
                <w:bCs/>
                <w:color w:val="FFFFFF" w:themeColor="background1"/>
                <w:sz w:val="18"/>
                <w:szCs w:val="20"/>
                <w:lang w:val="es-CO" w:eastAsia="es-CO"/>
              </w:rPr>
              <w:t>Actividad</w:t>
            </w:r>
          </w:p>
        </w:tc>
        <w:tc>
          <w:tcPr>
            <w:tcW w:w="1061" w:type="dxa"/>
            <w:shd w:val="clear" w:color="auto" w:fill="76923C" w:themeFill="accent3" w:themeFillShade="BF"/>
            <w:vAlign w:val="center"/>
          </w:tcPr>
          <w:p w:rsidR="00901F64" w:rsidRPr="00042F29" w:rsidRDefault="00901F64" w:rsidP="00B524DF">
            <w:pPr>
              <w:spacing w:after="0" w:line="240" w:lineRule="auto"/>
              <w:jc w:val="center"/>
              <w:rPr>
                <w:rFonts w:eastAsia="Times New Roman" w:cs="Arial"/>
                <w:b/>
                <w:bCs/>
                <w:color w:val="FFFFFF" w:themeColor="background1"/>
                <w:sz w:val="18"/>
                <w:szCs w:val="20"/>
                <w:lang w:val="es-CO" w:eastAsia="es-CO"/>
              </w:rPr>
            </w:pPr>
            <w:r w:rsidRPr="00042F29">
              <w:rPr>
                <w:rFonts w:eastAsia="Times New Roman" w:cs="Arial"/>
                <w:b/>
                <w:bCs/>
                <w:color w:val="FFFFFF" w:themeColor="background1"/>
                <w:sz w:val="18"/>
                <w:szCs w:val="20"/>
                <w:lang w:val="es-CO" w:eastAsia="es-CO"/>
              </w:rPr>
              <w:t>Avances</w:t>
            </w:r>
          </w:p>
        </w:tc>
      </w:tr>
      <w:tr w:rsidR="00901F64" w:rsidRPr="00AB6213" w:rsidTr="00042F29">
        <w:trPr>
          <w:trHeight w:val="703"/>
          <w:jc w:val="center"/>
        </w:trPr>
        <w:tc>
          <w:tcPr>
            <w:tcW w:w="2551" w:type="dxa"/>
            <w:vMerge w:val="restart"/>
            <w:hideMark/>
          </w:tcPr>
          <w:p w:rsidR="00901F64" w:rsidRPr="00E07128" w:rsidRDefault="00901F64" w:rsidP="00DE1D2B">
            <w:pPr>
              <w:spacing w:after="0" w:line="240" w:lineRule="auto"/>
              <w:rPr>
                <w:rFonts w:eastAsia="Times New Roman" w:cs="Arial"/>
                <w:sz w:val="18"/>
                <w:szCs w:val="20"/>
                <w:lang w:val="es-CO" w:eastAsia="es-CO"/>
              </w:rPr>
            </w:pPr>
            <w:r w:rsidRPr="00E07128">
              <w:rPr>
                <w:rFonts w:eastAsia="Times New Roman" w:cs="Arial"/>
                <w:sz w:val="18"/>
                <w:szCs w:val="20"/>
                <w:lang w:val="es-CO" w:eastAsia="es-CO"/>
              </w:rPr>
              <w:t xml:space="preserve">Actividades de sensibilización a las y los servidores sobre la cultura de la autoevaluación </w:t>
            </w:r>
            <w:r w:rsidRPr="00E07128">
              <w:rPr>
                <w:rFonts w:eastAsia="Times New Roman" w:cs="Arial"/>
                <w:sz w:val="18"/>
                <w:szCs w:val="20"/>
                <w:lang w:val="es-CO" w:eastAsia="es-CO"/>
              </w:rPr>
              <w:br/>
            </w:r>
            <w:r w:rsidRPr="00E07128">
              <w:rPr>
                <w:rFonts w:eastAsia="Times New Roman" w:cs="Arial"/>
                <w:sz w:val="18"/>
                <w:szCs w:val="20"/>
                <w:lang w:val="es-CO" w:eastAsia="es-CO"/>
              </w:rPr>
              <w:br/>
              <w:t>Resultados de la autoevaluaciones realizadas</w:t>
            </w:r>
            <w:r w:rsidRPr="00E07128">
              <w:rPr>
                <w:rFonts w:eastAsia="Times New Roman" w:cs="Arial"/>
                <w:sz w:val="18"/>
                <w:szCs w:val="20"/>
                <w:lang w:val="es-CO" w:eastAsia="es-CO"/>
              </w:rPr>
              <w:br/>
            </w:r>
            <w:r w:rsidRPr="00E07128">
              <w:rPr>
                <w:rFonts w:eastAsia="Times New Roman" w:cs="Arial"/>
                <w:sz w:val="18"/>
                <w:szCs w:val="20"/>
                <w:lang w:val="es-CO" w:eastAsia="es-CO"/>
              </w:rPr>
              <w:br/>
              <w:t>Informes de gestión por proceso</w:t>
            </w:r>
            <w:r w:rsidRPr="00E07128">
              <w:rPr>
                <w:rFonts w:eastAsia="Times New Roman" w:cs="Arial"/>
                <w:sz w:val="18"/>
                <w:szCs w:val="20"/>
                <w:lang w:val="es-CO" w:eastAsia="es-CO"/>
              </w:rPr>
              <w:br/>
            </w:r>
            <w:r w:rsidRPr="00E07128">
              <w:rPr>
                <w:rFonts w:eastAsia="Times New Roman" w:cs="Arial"/>
                <w:sz w:val="18"/>
                <w:szCs w:val="20"/>
                <w:lang w:val="es-CO" w:eastAsia="es-CO"/>
              </w:rPr>
              <w:br/>
              <w:t>Informes de gestión institucional</w:t>
            </w:r>
          </w:p>
        </w:tc>
        <w:tc>
          <w:tcPr>
            <w:tcW w:w="4455" w:type="dxa"/>
            <w:hideMark/>
          </w:tcPr>
          <w:p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de videoconferencias por macrorregiones para socializar el tablero de control y directrices para monitoreo y evaluación de la gestión.</w:t>
            </w:r>
          </w:p>
        </w:tc>
        <w:tc>
          <w:tcPr>
            <w:tcW w:w="1061" w:type="dxa"/>
            <w:vAlign w:val="center"/>
          </w:tcPr>
          <w:p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rsidTr="00042F29">
        <w:trPr>
          <w:trHeight w:val="901"/>
          <w:jc w:val="center"/>
        </w:trPr>
        <w:tc>
          <w:tcPr>
            <w:tcW w:w="2551" w:type="dxa"/>
            <w:vMerge/>
            <w:hideMark/>
          </w:tcPr>
          <w:p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trimestral de mesas técnicas para la revisión de resultados con cada dueño de macro proceso / procesos en la Sede de la Dirección General.</w:t>
            </w:r>
          </w:p>
        </w:tc>
        <w:tc>
          <w:tcPr>
            <w:tcW w:w="1061" w:type="dxa"/>
            <w:vAlign w:val="center"/>
          </w:tcPr>
          <w:p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rsidTr="00042F29">
        <w:trPr>
          <w:trHeight w:val="591"/>
          <w:jc w:val="center"/>
        </w:trPr>
        <w:tc>
          <w:tcPr>
            <w:tcW w:w="2551" w:type="dxa"/>
            <w:vMerge/>
            <w:hideMark/>
          </w:tcPr>
          <w:p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Realización de videoconferencias trimestrales por macrorregiones para socializar resultados de la gestión.</w:t>
            </w:r>
          </w:p>
        </w:tc>
        <w:tc>
          <w:tcPr>
            <w:tcW w:w="1061" w:type="dxa"/>
            <w:vAlign w:val="center"/>
          </w:tcPr>
          <w:p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rsidTr="00042F29">
        <w:trPr>
          <w:trHeight w:val="272"/>
          <w:jc w:val="center"/>
        </w:trPr>
        <w:tc>
          <w:tcPr>
            <w:tcW w:w="2551" w:type="dxa"/>
            <w:vMerge/>
            <w:hideMark/>
          </w:tcPr>
          <w:p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Elaboración y publicación en la WEB de los informes trimestrales de gestión por procesos.</w:t>
            </w:r>
          </w:p>
        </w:tc>
        <w:tc>
          <w:tcPr>
            <w:tcW w:w="1061" w:type="dxa"/>
            <w:vAlign w:val="center"/>
          </w:tcPr>
          <w:p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r w:rsidR="00901F64" w:rsidRPr="00AB6213" w:rsidTr="00042F29">
        <w:trPr>
          <w:trHeight w:val="140"/>
          <w:jc w:val="center"/>
        </w:trPr>
        <w:tc>
          <w:tcPr>
            <w:tcW w:w="2551" w:type="dxa"/>
            <w:vMerge/>
            <w:hideMark/>
          </w:tcPr>
          <w:p w:rsidR="00901F64" w:rsidRPr="00E07128" w:rsidRDefault="00901F64" w:rsidP="00B524DF">
            <w:pPr>
              <w:spacing w:after="0" w:line="240" w:lineRule="auto"/>
              <w:jc w:val="both"/>
              <w:rPr>
                <w:rFonts w:eastAsia="Times New Roman" w:cs="Arial"/>
                <w:sz w:val="18"/>
                <w:szCs w:val="20"/>
                <w:lang w:val="es-CO" w:eastAsia="es-CO"/>
              </w:rPr>
            </w:pPr>
          </w:p>
        </w:tc>
        <w:tc>
          <w:tcPr>
            <w:tcW w:w="4455" w:type="dxa"/>
            <w:hideMark/>
          </w:tcPr>
          <w:p w:rsidR="00901F64" w:rsidRPr="00E07128" w:rsidRDefault="00901F64" w:rsidP="00B524DF">
            <w:pPr>
              <w:spacing w:after="0" w:line="240" w:lineRule="auto"/>
              <w:jc w:val="both"/>
              <w:rPr>
                <w:rFonts w:eastAsia="Times New Roman" w:cs="Arial"/>
                <w:sz w:val="18"/>
                <w:szCs w:val="20"/>
                <w:lang w:val="es-CO" w:eastAsia="es-CO"/>
              </w:rPr>
            </w:pPr>
            <w:r w:rsidRPr="00E07128">
              <w:rPr>
                <w:rFonts w:eastAsia="Times New Roman" w:cs="Arial"/>
                <w:sz w:val="18"/>
                <w:szCs w:val="20"/>
                <w:lang w:val="es-CO" w:eastAsia="es-CO"/>
              </w:rPr>
              <w:t>Elaboración y publicación en la WEB de los informes anuales de gestión institucional.</w:t>
            </w:r>
          </w:p>
        </w:tc>
        <w:tc>
          <w:tcPr>
            <w:tcW w:w="1061" w:type="dxa"/>
            <w:vAlign w:val="center"/>
          </w:tcPr>
          <w:p w:rsidR="00901F64" w:rsidRPr="00E07128" w:rsidRDefault="00901F64" w:rsidP="00B524DF">
            <w:pPr>
              <w:spacing w:after="0" w:line="240" w:lineRule="auto"/>
              <w:jc w:val="center"/>
              <w:rPr>
                <w:rFonts w:eastAsia="Times New Roman" w:cs="Arial"/>
                <w:sz w:val="18"/>
                <w:szCs w:val="20"/>
                <w:lang w:val="es-CO" w:eastAsia="es-CO"/>
              </w:rPr>
            </w:pPr>
            <w:r w:rsidRPr="00E07128">
              <w:rPr>
                <w:rFonts w:eastAsia="Times New Roman" w:cs="Arial"/>
                <w:sz w:val="18"/>
                <w:szCs w:val="20"/>
                <w:lang w:val="es-CO" w:eastAsia="es-CO"/>
              </w:rPr>
              <w:t>Cumplido</w:t>
            </w:r>
          </w:p>
        </w:tc>
      </w:tr>
    </w:tbl>
    <w:p w:rsidR="00955D31" w:rsidRPr="00E07128" w:rsidRDefault="00955D31" w:rsidP="009C0CAF">
      <w:pPr>
        <w:autoSpaceDE w:val="0"/>
        <w:autoSpaceDN w:val="0"/>
        <w:adjustRightInd w:val="0"/>
        <w:spacing w:after="0" w:line="240" w:lineRule="auto"/>
        <w:jc w:val="center"/>
        <w:rPr>
          <w:rFonts w:cs="Arial"/>
          <w:sz w:val="16"/>
          <w:szCs w:val="20"/>
        </w:rPr>
      </w:pPr>
      <w:r w:rsidRPr="00042F29">
        <w:rPr>
          <w:rFonts w:cs="Arial"/>
          <w:b/>
          <w:sz w:val="16"/>
          <w:szCs w:val="20"/>
        </w:rPr>
        <w:t>Fuente:</w:t>
      </w:r>
      <w:r w:rsidRPr="00E07128">
        <w:rPr>
          <w:rFonts w:cs="Arial"/>
          <w:sz w:val="16"/>
          <w:szCs w:val="20"/>
        </w:rPr>
        <w:t xml:space="preserve"> Plan de  implementación MECI -Dirección de Planeación y Control de Gestión</w:t>
      </w:r>
    </w:p>
    <w:p w:rsidR="00015C71" w:rsidRDefault="00015C71" w:rsidP="00015C71">
      <w:pPr>
        <w:autoSpaceDE w:val="0"/>
        <w:autoSpaceDN w:val="0"/>
        <w:adjustRightInd w:val="0"/>
        <w:spacing w:after="0" w:line="240" w:lineRule="auto"/>
        <w:jc w:val="both"/>
        <w:rPr>
          <w:rFonts w:cs="Arial"/>
          <w:color w:val="0070C0"/>
          <w:sz w:val="20"/>
        </w:rPr>
      </w:pPr>
    </w:p>
    <w:p w:rsidR="009C0CAF" w:rsidRPr="00E07128" w:rsidRDefault="009C0CAF" w:rsidP="00015C71">
      <w:pPr>
        <w:autoSpaceDE w:val="0"/>
        <w:autoSpaceDN w:val="0"/>
        <w:adjustRightInd w:val="0"/>
        <w:spacing w:after="0" w:line="240" w:lineRule="auto"/>
        <w:jc w:val="both"/>
        <w:rPr>
          <w:rFonts w:cs="Arial"/>
          <w:color w:val="0070C0"/>
          <w:sz w:val="20"/>
        </w:rPr>
      </w:pPr>
    </w:p>
    <w:p w:rsidR="00015C71" w:rsidRPr="00FF6F58" w:rsidRDefault="00015C71" w:rsidP="00015C71">
      <w:pPr>
        <w:spacing w:after="0" w:line="240" w:lineRule="auto"/>
        <w:jc w:val="both"/>
        <w:rPr>
          <w:rFonts w:cs="Arial"/>
        </w:rPr>
      </w:pPr>
      <w:r w:rsidRPr="00FF6F58">
        <w:rPr>
          <w:rFonts w:cs="Arial"/>
        </w:rPr>
        <w:t>En cuanto a la rendición pública de cuentas, es la Dirección de Planeación y Control de la Gestión, la Dirección de Abastecimiento y la Dirección del Sistema Nacional de Bienestar Familiar quienes trabajan de manera conjunta y se apoyan en la Oficina Asesora de Comunicaciones para transmitir los resultados de las gestiones a la comunidad. Para la vigencia 2016 se compartió el informe final 2015, en donde se invitó a retomar los logros pero también las dificultades y los compromisos asumidos con las comunidades, así como todo lo pendiente para hacer de los programas y servicios escenarios de cumplimiento de derechos; además, se hizo entrega del memorando de los formatos de programación y seguimiento a compromisos. Estos formatos e informes se encuentran en la Página Web del ICBF, y se puede acceder en la siguiente dirección</w:t>
      </w:r>
    </w:p>
    <w:p w:rsidR="00015C71" w:rsidRPr="00AB6213" w:rsidRDefault="009A3CC4" w:rsidP="00015C71">
      <w:pPr>
        <w:spacing w:after="0" w:line="240" w:lineRule="auto"/>
        <w:jc w:val="both"/>
        <w:rPr>
          <w:rFonts w:cs="Arial"/>
          <w:color w:val="0070C0"/>
        </w:rPr>
      </w:pPr>
      <w:hyperlink r:id="rId63" w:history="1">
        <w:r w:rsidR="00015C71" w:rsidRPr="00FF6F58">
          <w:rPr>
            <w:rStyle w:val="Hipervnculo"/>
            <w:rFonts w:cs="Arial"/>
            <w:color w:val="auto"/>
          </w:rPr>
          <w:t>http://www.icbf.gov.co/portal/page/portal/PortalICBF/LeyTransparencia/RendicionCuentasICBF</w:t>
        </w:r>
      </w:hyperlink>
      <w:r w:rsidR="00015C71" w:rsidRPr="00AB6213">
        <w:rPr>
          <w:rStyle w:val="Hipervnculo"/>
          <w:rFonts w:cs="Arial"/>
          <w:color w:val="0070C0"/>
        </w:rPr>
        <w:t xml:space="preserve">.  </w:t>
      </w:r>
    </w:p>
    <w:p w:rsidR="00461A5D" w:rsidRDefault="00461A5D" w:rsidP="009C0CAF"/>
    <w:p w:rsidR="00015C71" w:rsidRPr="009C0CAF" w:rsidRDefault="00015C71" w:rsidP="009C0CAF">
      <w:pPr>
        <w:ind w:firstLine="708"/>
        <w:rPr>
          <w:b/>
        </w:rPr>
      </w:pPr>
      <w:r w:rsidRPr="009C0CAF">
        <w:rPr>
          <w:b/>
        </w:rPr>
        <w:t>Componente de auditoría interna</w:t>
      </w:r>
    </w:p>
    <w:p w:rsidR="00015C71" w:rsidRPr="00AB6213" w:rsidRDefault="00015C71" w:rsidP="00015C71">
      <w:pPr>
        <w:autoSpaceDE w:val="0"/>
        <w:autoSpaceDN w:val="0"/>
        <w:adjustRightInd w:val="0"/>
        <w:spacing w:after="0" w:line="240" w:lineRule="auto"/>
        <w:jc w:val="both"/>
        <w:rPr>
          <w:rFonts w:cs="Arial"/>
          <w:color w:val="0070C0"/>
        </w:rPr>
      </w:pPr>
      <w:r w:rsidRPr="00FF6F58">
        <w:rPr>
          <w:rFonts w:cs="Arial"/>
        </w:rPr>
        <w:t xml:space="preserve">La entidad cuenta con un procedimiento de auditorías internas basado en evidencia documental para ejercer control permanente a la gestión administrativa, el cual fue actualizado en 2015 y está </w:t>
      </w:r>
      <w:r w:rsidRPr="00955D31">
        <w:rPr>
          <w:rFonts w:cs="Arial"/>
        </w:rPr>
        <w:t xml:space="preserve">pendiente su implementación </w:t>
      </w:r>
      <w:r w:rsidRPr="00FF6F58">
        <w:rPr>
          <w:rFonts w:cs="Arial"/>
        </w:rPr>
        <w:t>de acuerdo con el nuevo modelo de operación por procesos, donde se busca dar respuesta a los nuevos requerimientos de las normas NTC ISO 9001:2015, NTC ISO 14001:2015.</w:t>
      </w:r>
    </w:p>
    <w:p w:rsidR="00955D31" w:rsidRDefault="00955D31" w:rsidP="00955D31">
      <w:pPr>
        <w:autoSpaceDE w:val="0"/>
        <w:autoSpaceDN w:val="0"/>
        <w:adjustRightInd w:val="0"/>
        <w:spacing w:after="0" w:line="240" w:lineRule="auto"/>
        <w:jc w:val="both"/>
        <w:rPr>
          <w:rFonts w:cs="Arial"/>
        </w:rPr>
      </w:pPr>
    </w:p>
    <w:p w:rsidR="00955D31" w:rsidRPr="00955D31" w:rsidRDefault="00955D31" w:rsidP="00955D31">
      <w:pPr>
        <w:autoSpaceDE w:val="0"/>
        <w:autoSpaceDN w:val="0"/>
        <w:adjustRightInd w:val="0"/>
        <w:spacing w:after="0" w:line="240" w:lineRule="auto"/>
        <w:jc w:val="both"/>
        <w:rPr>
          <w:rFonts w:cs="Arial"/>
        </w:rPr>
      </w:pPr>
      <w:r w:rsidRPr="00955D31">
        <w:rPr>
          <w:rFonts w:cs="Arial"/>
        </w:rPr>
        <w:t>El programa de Auditorías del ICBF para la vigencia 2016 incluyó auditorías internas a los distintos Sistemas de Gestión, evaluaciones independientes, evaluaciones a casos específicos; actividades de asesoría y acompañamiento en temas puntuales, de acuerdo con las necesidades de la entidad; informes de norma interna y externa, participación en comités, atención a entes de control, entre otros, con enfoque en riesgos; elaboración de informes determinados por la Ley y capacitación a las y los colaboradores de la Oficina de Control Interno; y atención a entes de control y seguimiento a planes de mejoramiento.</w:t>
      </w:r>
    </w:p>
    <w:p w:rsidR="00955D31" w:rsidRPr="00955D31" w:rsidRDefault="00955D31" w:rsidP="00955D31">
      <w:pPr>
        <w:autoSpaceDE w:val="0"/>
        <w:autoSpaceDN w:val="0"/>
        <w:adjustRightInd w:val="0"/>
        <w:spacing w:after="0" w:line="240" w:lineRule="auto"/>
        <w:jc w:val="both"/>
        <w:rPr>
          <w:rFonts w:cs="Arial"/>
        </w:rPr>
      </w:pPr>
    </w:p>
    <w:p w:rsidR="00955D31" w:rsidRPr="00955D31" w:rsidRDefault="00955D31" w:rsidP="00955D31">
      <w:pPr>
        <w:autoSpaceDE w:val="0"/>
        <w:autoSpaceDN w:val="0"/>
        <w:adjustRightInd w:val="0"/>
        <w:spacing w:after="0" w:line="240" w:lineRule="auto"/>
        <w:jc w:val="both"/>
        <w:rPr>
          <w:rFonts w:cs="Arial"/>
        </w:rPr>
      </w:pPr>
      <w:r w:rsidRPr="00955D31">
        <w:rPr>
          <w:rFonts w:cs="Arial"/>
        </w:rPr>
        <w:t>A 31 de diciembre de 2016 se generó informes de auditoría interna a los Sistemas de Gestión (Calidad, Ambiental y Salud y Seguridad Laboral) de la regional San Andrés; siete auditorías al Sistema de Gestión de Seguridad de la Información (Sede Dirección General y regionales Antioquia, Caldas, Risaralda, Valle del Cauca, Caquetá y Cundinamarca); una auditoria de diagnóstico al Sistema de Gestión de Seguridad y Salud en el Trabajo a la sede de la Dirección General;  tres auditorías al Sistema de Gestión de Calidad- Proceso de Primera Infancia a las regionales Córdoba, Atlántico y Choco; y ocho auditorías al Sistema de</w:t>
      </w:r>
      <w:r w:rsidRPr="00955D31">
        <w:rPr>
          <w:rFonts w:eastAsia="Times New Roman" w:cs="Arial"/>
          <w:sz w:val="16"/>
          <w:szCs w:val="18"/>
          <w:lang w:val="es-CO" w:eastAsia="es-CO"/>
        </w:rPr>
        <w:t xml:space="preserve"> </w:t>
      </w:r>
      <w:r w:rsidRPr="00955D31">
        <w:rPr>
          <w:rFonts w:cs="Arial"/>
        </w:rPr>
        <w:t xml:space="preserve">Gestión Ambiental y S&amp;SO. </w:t>
      </w:r>
    </w:p>
    <w:p w:rsidR="00955D31" w:rsidRPr="00955D31" w:rsidRDefault="00955D31" w:rsidP="00955D31">
      <w:pPr>
        <w:autoSpaceDE w:val="0"/>
        <w:autoSpaceDN w:val="0"/>
        <w:adjustRightInd w:val="0"/>
        <w:spacing w:after="0" w:line="240" w:lineRule="auto"/>
        <w:jc w:val="both"/>
        <w:rPr>
          <w:rFonts w:cs="Arial"/>
        </w:rPr>
      </w:pPr>
    </w:p>
    <w:p w:rsidR="00955D31" w:rsidRPr="00955D31" w:rsidRDefault="00955D31" w:rsidP="00955D31">
      <w:pPr>
        <w:autoSpaceDE w:val="0"/>
        <w:autoSpaceDN w:val="0"/>
        <w:adjustRightInd w:val="0"/>
        <w:spacing w:after="0" w:line="240" w:lineRule="auto"/>
        <w:jc w:val="both"/>
        <w:rPr>
          <w:rFonts w:cs="Arial"/>
        </w:rPr>
      </w:pPr>
      <w:r w:rsidRPr="00955D31">
        <w:rPr>
          <w:rFonts w:cs="Arial"/>
        </w:rPr>
        <w:t>La tabla que se presenta a continuación muestra la relación de auditorías internas realizadas a 31 de diciembre de 2016:</w:t>
      </w:r>
    </w:p>
    <w:p w:rsidR="00955D31" w:rsidRPr="00955D31" w:rsidRDefault="00955D31" w:rsidP="00955D31">
      <w:pPr>
        <w:autoSpaceDE w:val="0"/>
        <w:autoSpaceDN w:val="0"/>
        <w:adjustRightInd w:val="0"/>
        <w:spacing w:after="0" w:line="240" w:lineRule="auto"/>
        <w:jc w:val="both"/>
        <w:rPr>
          <w:rFonts w:cs="Arial"/>
        </w:rPr>
      </w:pPr>
    </w:p>
    <w:p w:rsidR="00B84E79" w:rsidRDefault="00955D31" w:rsidP="00B84E79">
      <w:pPr>
        <w:autoSpaceDE w:val="0"/>
        <w:autoSpaceDN w:val="0"/>
        <w:adjustRightInd w:val="0"/>
        <w:spacing w:after="0" w:line="240" w:lineRule="auto"/>
        <w:jc w:val="center"/>
        <w:rPr>
          <w:rFonts w:cs="Arial"/>
          <w:b/>
        </w:rPr>
      </w:pPr>
      <w:r w:rsidRPr="00955D31">
        <w:rPr>
          <w:rFonts w:cs="Arial"/>
          <w:b/>
        </w:rPr>
        <w:t>Relación de auditoria internas a 31 de diciembre de 2016</w:t>
      </w:r>
    </w:p>
    <w:tbl>
      <w:tblPr>
        <w:tblW w:w="863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1124"/>
        <w:gridCol w:w="2127"/>
        <w:gridCol w:w="1559"/>
        <w:gridCol w:w="1843"/>
        <w:gridCol w:w="1984"/>
      </w:tblGrid>
      <w:tr w:rsidR="00901F64" w:rsidRPr="00DE1D2B" w:rsidTr="00042F29">
        <w:trPr>
          <w:trHeight w:val="465"/>
          <w:tblHeader/>
          <w:jc w:val="center"/>
        </w:trPr>
        <w:tc>
          <w:tcPr>
            <w:tcW w:w="1124" w:type="dxa"/>
            <w:shd w:val="clear" w:color="auto" w:fill="76923C" w:themeFill="accent3" w:themeFillShade="BF"/>
            <w:vAlign w:val="center"/>
            <w:hideMark/>
          </w:tcPr>
          <w:p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sidRPr="00042F29">
              <w:rPr>
                <w:rFonts w:eastAsia="Times New Roman" w:cs="Arial"/>
                <w:b/>
                <w:bCs/>
                <w:color w:val="FFFFFF" w:themeColor="background1"/>
                <w:sz w:val="18"/>
                <w:szCs w:val="18"/>
                <w:lang w:val="es-CO" w:eastAsia="es-CO"/>
              </w:rPr>
              <w:t xml:space="preserve">Ítem </w:t>
            </w:r>
          </w:p>
        </w:tc>
        <w:tc>
          <w:tcPr>
            <w:tcW w:w="2127" w:type="dxa"/>
            <w:shd w:val="clear" w:color="auto" w:fill="76923C" w:themeFill="accent3" w:themeFillShade="BF"/>
            <w:vAlign w:val="center"/>
            <w:hideMark/>
          </w:tcPr>
          <w:p w:rsidR="00901F64" w:rsidRPr="00042F29" w:rsidRDefault="00042F29" w:rsidP="00042F29">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Sistema Evaluado y</w:t>
            </w:r>
            <w:r w:rsidRPr="00042F29">
              <w:rPr>
                <w:rFonts w:eastAsia="Times New Roman" w:cs="Arial"/>
                <w:b/>
                <w:bCs/>
                <w:color w:val="FFFFFF" w:themeColor="background1"/>
                <w:sz w:val="18"/>
                <w:szCs w:val="18"/>
                <w:lang w:val="es-CO" w:eastAsia="es-CO"/>
              </w:rPr>
              <w:t>/</w:t>
            </w:r>
            <w:r>
              <w:rPr>
                <w:rFonts w:eastAsia="Times New Roman" w:cs="Arial"/>
                <w:b/>
                <w:bCs/>
                <w:color w:val="FFFFFF" w:themeColor="background1"/>
                <w:sz w:val="18"/>
                <w:szCs w:val="18"/>
                <w:lang w:val="es-CO" w:eastAsia="es-CO"/>
              </w:rPr>
              <w:t>o</w:t>
            </w:r>
            <w:r w:rsidRPr="00042F29">
              <w:rPr>
                <w:rFonts w:eastAsia="Times New Roman" w:cs="Arial"/>
                <w:b/>
                <w:bCs/>
                <w:color w:val="FFFFFF" w:themeColor="background1"/>
                <w:sz w:val="18"/>
                <w:szCs w:val="18"/>
                <w:lang w:val="es-CO" w:eastAsia="es-CO"/>
              </w:rPr>
              <w:t xml:space="preserve"> Proceso </w:t>
            </w:r>
          </w:p>
        </w:tc>
        <w:tc>
          <w:tcPr>
            <w:tcW w:w="1559" w:type="dxa"/>
            <w:shd w:val="clear" w:color="auto" w:fill="76923C" w:themeFill="accent3" w:themeFillShade="BF"/>
            <w:vAlign w:val="center"/>
            <w:hideMark/>
          </w:tcPr>
          <w:p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sidRPr="00042F29">
              <w:rPr>
                <w:rFonts w:eastAsia="Times New Roman" w:cs="Arial"/>
                <w:b/>
                <w:bCs/>
                <w:color w:val="FFFFFF" w:themeColor="background1"/>
                <w:sz w:val="18"/>
                <w:szCs w:val="18"/>
                <w:lang w:val="es-CO" w:eastAsia="es-CO"/>
              </w:rPr>
              <w:t xml:space="preserve">Regional </w:t>
            </w:r>
          </w:p>
        </w:tc>
        <w:tc>
          <w:tcPr>
            <w:tcW w:w="1843" w:type="dxa"/>
            <w:shd w:val="clear" w:color="auto" w:fill="76923C" w:themeFill="accent3" w:themeFillShade="BF"/>
            <w:vAlign w:val="center"/>
            <w:hideMark/>
          </w:tcPr>
          <w:p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Fecha d</w:t>
            </w:r>
            <w:r w:rsidRPr="00042F29">
              <w:rPr>
                <w:rFonts w:eastAsia="Times New Roman" w:cs="Arial"/>
                <w:b/>
                <w:bCs/>
                <w:color w:val="FFFFFF" w:themeColor="background1"/>
                <w:sz w:val="18"/>
                <w:szCs w:val="18"/>
                <w:lang w:val="es-CO" w:eastAsia="es-CO"/>
              </w:rPr>
              <w:t xml:space="preserve">e Realización </w:t>
            </w:r>
          </w:p>
        </w:tc>
        <w:tc>
          <w:tcPr>
            <w:tcW w:w="1984" w:type="dxa"/>
            <w:shd w:val="clear" w:color="auto" w:fill="76923C" w:themeFill="accent3" w:themeFillShade="BF"/>
            <w:vAlign w:val="center"/>
            <w:hideMark/>
          </w:tcPr>
          <w:p w:rsidR="00901F64" w:rsidRPr="00042F29" w:rsidRDefault="00042F29" w:rsidP="00B524DF">
            <w:pPr>
              <w:spacing w:after="0" w:line="240" w:lineRule="auto"/>
              <w:jc w:val="center"/>
              <w:rPr>
                <w:rFonts w:eastAsia="Times New Roman" w:cs="Arial"/>
                <w:b/>
                <w:bCs/>
                <w:color w:val="FFFFFF" w:themeColor="background1"/>
                <w:sz w:val="18"/>
                <w:szCs w:val="18"/>
                <w:lang w:val="es-CO" w:eastAsia="es-CO"/>
              </w:rPr>
            </w:pPr>
            <w:r>
              <w:rPr>
                <w:rFonts w:eastAsia="Times New Roman" w:cs="Arial"/>
                <w:b/>
                <w:bCs/>
                <w:color w:val="FFFFFF" w:themeColor="background1"/>
                <w:sz w:val="18"/>
                <w:szCs w:val="18"/>
                <w:lang w:val="es-CO" w:eastAsia="es-CO"/>
              </w:rPr>
              <w:t>Fecha d</w:t>
            </w:r>
            <w:r w:rsidRPr="00042F29">
              <w:rPr>
                <w:rFonts w:eastAsia="Times New Roman" w:cs="Arial"/>
                <w:b/>
                <w:bCs/>
                <w:color w:val="FFFFFF" w:themeColor="background1"/>
                <w:sz w:val="18"/>
                <w:szCs w:val="18"/>
                <w:lang w:val="es-CO" w:eastAsia="es-CO"/>
              </w:rPr>
              <w:t xml:space="preserve">e Entrega Informe </w:t>
            </w:r>
          </w:p>
        </w:tc>
      </w:tr>
      <w:tr w:rsidR="00901F64" w:rsidRPr="00DE1D2B" w:rsidTr="00042F29">
        <w:trPr>
          <w:trHeight w:val="648"/>
          <w:jc w:val="center"/>
        </w:trPr>
        <w:tc>
          <w:tcPr>
            <w:tcW w:w="1124"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w:t>
            </w:r>
          </w:p>
        </w:tc>
        <w:tc>
          <w:tcPr>
            <w:tcW w:w="2127" w:type="dxa"/>
            <w:shd w:val="clear" w:color="auto" w:fill="auto"/>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Sistema De Gestión De La Calidad </w:t>
            </w:r>
          </w:p>
        </w:tc>
        <w:tc>
          <w:tcPr>
            <w:tcW w:w="1559"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San Andres </w:t>
            </w:r>
          </w:p>
        </w:tc>
        <w:tc>
          <w:tcPr>
            <w:tcW w:w="1843"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15 al 19 de febrero de 2016</w:t>
            </w:r>
          </w:p>
        </w:tc>
        <w:tc>
          <w:tcPr>
            <w:tcW w:w="1984"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30/03/2016</w:t>
            </w:r>
          </w:p>
        </w:tc>
      </w:tr>
      <w:tr w:rsidR="00901F64" w:rsidRPr="007E1A7A" w:rsidTr="00042F29">
        <w:trPr>
          <w:trHeight w:val="908"/>
          <w:jc w:val="center"/>
        </w:trPr>
        <w:tc>
          <w:tcPr>
            <w:tcW w:w="1124"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 2</w:t>
            </w:r>
          </w:p>
        </w:tc>
        <w:tc>
          <w:tcPr>
            <w:tcW w:w="2127" w:type="dxa"/>
            <w:vMerge w:val="restart"/>
            <w:shd w:val="clear" w:color="auto" w:fill="auto"/>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Sistema de Gestión de Seguridad de la Información</w:t>
            </w:r>
          </w:p>
        </w:tc>
        <w:tc>
          <w:tcPr>
            <w:tcW w:w="1559"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 xml:space="preserve">Sede Nacional </w:t>
            </w:r>
          </w:p>
        </w:tc>
        <w:tc>
          <w:tcPr>
            <w:tcW w:w="1843"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1 al 10 de Agosto de 2016</w:t>
            </w:r>
          </w:p>
        </w:tc>
        <w:tc>
          <w:tcPr>
            <w:tcW w:w="1984" w:type="dxa"/>
            <w:shd w:val="clear" w:color="auto" w:fill="auto"/>
            <w:noWrap/>
            <w:vAlign w:val="center"/>
            <w:hideMark/>
          </w:tcPr>
          <w:p w:rsidR="00901F64" w:rsidRPr="00DE1D2B" w:rsidRDefault="00901F64" w:rsidP="00B524DF">
            <w:pPr>
              <w:spacing w:after="0" w:line="240" w:lineRule="auto"/>
              <w:jc w:val="center"/>
              <w:rPr>
                <w:rFonts w:eastAsia="Times New Roman" w:cs="Arial"/>
                <w:color w:val="000000"/>
                <w:sz w:val="18"/>
                <w:szCs w:val="18"/>
                <w:lang w:val="es-CO" w:eastAsia="es-CO"/>
              </w:rPr>
            </w:pPr>
            <w:r w:rsidRPr="00DE1D2B">
              <w:rPr>
                <w:rFonts w:eastAsia="Times New Roman" w:cs="Arial"/>
                <w:color w:val="000000"/>
                <w:sz w:val="18"/>
                <w:szCs w:val="18"/>
                <w:lang w:val="es-CO" w:eastAsia="es-CO"/>
              </w:rPr>
              <w:t>26/08/2016</w:t>
            </w:r>
          </w:p>
        </w:tc>
      </w:tr>
      <w:tr w:rsidR="00901F64" w:rsidRPr="007E1A7A" w:rsidTr="00042F29">
        <w:trPr>
          <w:trHeight w:val="766"/>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Antioquia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 y 31 de Agosto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29/09/2016</w:t>
            </w:r>
          </w:p>
        </w:tc>
      </w:tr>
      <w:tr w:rsidR="00901F64" w:rsidRPr="007E1A7A" w:rsidTr="00042F29">
        <w:trPr>
          <w:trHeight w:val="610"/>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4</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Caldas</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22 y 24 de Agosto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20/09/2016</w:t>
            </w:r>
          </w:p>
        </w:tc>
      </w:tr>
      <w:tr w:rsidR="00901F64" w:rsidRPr="007E1A7A" w:rsidTr="00042F29">
        <w:trPr>
          <w:trHeight w:val="610"/>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5</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Risaralda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22 y 24 de Agosto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20/09/2016</w:t>
            </w:r>
          </w:p>
        </w:tc>
      </w:tr>
      <w:tr w:rsidR="00901F64" w:rsidRPr="007E1A7A" w:rsidTr="00042F29">
        <w:trPr>
          <w:trHeight w:val="610"/>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6</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Valle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 y 31 de Agosto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28/09/2016</w:t>
            </w:r>
          </w:p>
        </w:tc>
      </w:tr>
      <w:tr w:rsidR="00901F64" w:rsidRPr="007E1A7A" w:rsidTr="00042F29">
        <w:trPr>
          <w:trHeight w:val="610"/>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7</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Caquetá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5 y 7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29/09/2016</w:t>
            </w:r>
          </w:p>
        </w:tc>
      </w:tr>
      <w:tr w:rsidR="00901F64" w:rsidRPr="007E1A7A" w:rsidTr="00042F29">
        <w:trPr>
          <w:trHeight w:val="610"/>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8</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Cundinamarca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05 y 09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01/10/2016</w:t>
            </w:r>
          </w:p>
        </w:tc>
      </w:tr>
      <w:tr w:rsidR="00901F64" w:rsidRPr="007E1A7A" w:rsidTr="00042F29">
        <w:trPr>
          <w:trHeight w:val="90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9</w:t>
            </w:r>
          </w:p>
        </w:tc>
        <w:tc>
          <w:tcPr>
            <w:tcW w:w="2127" w:type="dxa"/>
            <w:shd w:val="clear" w:color="auto" w:fill="auto"/>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Sistema de Gestión de la Seguridad y Salud en el Trabajo SG-SST -Diagnostico-</w:t>
            </w: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Sede Nacional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30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31/10/2016</w:t>
            </w:r>
          </w:p>
        </w:tc>
      </w:tr>
      <w:tr w:rsidR="00901F64" w:rsidRPr="007E1A7A" w:rsidTr="00042F29">
        <w:trPr>
          <w:trHeight w:val="499"/>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w:t>
            </w:r>
          </w:p>
        </w:tc>
        <w:tc>
          <w:tcPr>
            <w:tcW w:w="2127" w:type="dxa"/>
            <w:vMerge w:val="restart"/>
            <w:shd w:val="clear" w:color="auto" w:fill="auto"/>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Proceso de Primera Infancia </w:t>
            </w: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Córdoba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16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30/10/2016</w:t>
            </w:r>
          </w:p>
        </w:tc>
      </w:tr>
      <w:tr w:rsidR="00901F64" w:rsidRPr="007E1A7A" w:rsidTr="00042F29">
        <w:trPr>
          <w:trHeight w:val="383"/>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11</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Atlántico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12 al 16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27/11/2016</w:t>
            </w:r>
          </w:p>
        </w:tc>
      </w:tr>
      <w:tr w:rsidR="00901F64" w:rsidRPr="007E1A7A" w:rsidTr="00042F29">
        <w:trPr>
          <w:trHeight w:val="499"/>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13</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Choco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 al 23 de septiembre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24/11/2016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14</w:t>
            </w:r>
          </w:p>
        </w:tc>
        <w:tc>
          <w:tcPr>
            <w:tcW w:w="2127" w:type="dxa"/>
            <w:vMerge w:val="restart"/>
            <w:shd w:val="clear" w:color="auto" w:fill="auto"/>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Sistema de Gestión Ambiental y S&amp;SO</w:t>
            </w: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Bolivar</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07/12/2016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15</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Caldas</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13/12/2016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16</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Antioquia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14/12/2016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17</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Casanare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10 al 14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19/12/2016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Risaralda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20/12/2016</w:t>
            </w:r>
          </w:p>
        </w:tc>
      </w:tr>
      <w:tr w:rsidR="00901F64" w:rsidRPr="007E1A7A" w:rsidTr="00042F29">
        <w:trPr>
          <w:trHeight w:val="468"/>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19</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Caquetá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20/12/2016</w:t>
            </w:r>
          </w:p>
        </w:tc>
      </w:tr>
      <w:tr w:rsidR="00901F64" w:rsidRPr="007E1A7A" w:rsidTr="00042F29">
        <w:trPr>
          <w:trHeight w:val="545"/>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20</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Nariño</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21 al 25 de noviembre de 2015</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26/12/2016</w:t>
            </w:r>
          </w:p>
        </w:tc>
      </w:tr>
      <w:tr w:rsidR="00901F64" w:rsidRPr="007E1A7A" w:rsidTr="00042F29">
        <w:trPr>
          <w:trHeight w:val="397"/>
          <w:jc w:val="center"/>
        </w:trPr>
        <w:tc>
          <w:tcPr>
            <w:tcW w:w="112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21</w:t>
            </w:r>
          </w:p>
        </w:tc>
        <w:tc>
          <w:tcPr>
            <w:tcW w:w="2127" w:type="dxa"/>
            <w:vMerge/>
            <w:vAlign w:val="center"/>
            <w:hideMark/>
          </w:tcPr>
          <w:p w:rsidR="00901F64" w:rsidRPr="007E1A7A" w:rsidRDefault="00901F64" w:rsidP="00B524DF">
            <w:pPr>
              <w:spacing w:after="0" w:line="240" w:lineRule="auto"/>
              <w:rPr>
                <w:rFonts w:eastAsia="Times New Roman" w:cs="Arial"/>
                <w:color w:val="000000"/>
                <w:sz w:val="18"/>
                <w:szCs w:val="18"/>
                <w:lang w:val="es-CO" w:eastAsia="es-CO"/>
              </w:rPr>
            </w:pPr>
          </w:p>
        </w:tc>
        <w:tc>
          <w:tcPr>
            <w:tcW w:w="1559"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 xml:space="preserve">Valle </w:t>
            </w:r>
          </w:p>
        </w:tc>
        <w:tc>
          <w:tcPr>
            <w:tcW w:w="1843"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18 al 21 de octubre de 2016</w:t>
            </w:r>
          </w:p>
        </w:tc>
        <w:tc>
          <w:tcPr>
            <w:tcW w:w="1984" w:type="dxa"/>
            <w:shd w:val="clear" w:color="auto" w:fill="auto"/>
            <w:noWrap/>
            <w:vAlign w:val="center"/>
            <w:hideMark/>
          </w:tcPr>
          <w:p w:rsidR="00901F64" w:rsidRPr="007E1A7A" w:rsidRDefault="00901F64" w:rsidP="00B524DF">
            <w:pPr>
              <w:spacing w:after="0" w:line="240" w:lineRule="auto"/>
              <w:jc w:val="center"/>
              <w:rPr>
                <w:rFonts w:eastAsia="Times New Roman" w:cs="Arial"/>
                <w:color w:val="000000"/>
                <w:sz w:val="18"/>
                <w:szCs w:val="18"/>
                <w:lang w:val="es-CO" w:eastAsia="es-CO"/>
              </w:rPr>
            </w:pPr>
            <w:r w:rsidRPr="007E1A7A">
              <w:rPr>
                <w:rFonts w:eastAsia="Times New Roman" w:cs="Arial"/>
                <w:color w:val="000000"/>
                <w:sz w:val="18"/>
                <w:szCs w:val="18"/>
                <w:lang w:val="es-CO" w:eastAsia="es-CO"/>
              </w:rPr>
              <w:t>29/12/2016</w:t>
            </w:r>
          </w:p>
        </w:tc>
      </w:tr>
    </w:tbl>
    <w:p w:rsidR="00015C71" w:rsidRPr="0090436C" w:rsidRDefault="00B84E79" w:rsidP="00015C71">
      <w:pPr>
        <w:autoSpaceDE w:val="0"/>
        <w:autoSpaceDN w:val="0"/>
        <w:adjustRightInd w:val="0"/>
        <w:spacing w:after="0" w:line="240" w:lineRule="auto"/>
        <w:jc w:val="both"/>
        <w:rPr>
          <w:rFonts w:cs="Arial"/>
          <w:sz w:val="18"/>
        </w:rPr>
      </w:pPr>
      <w:r>
        <w:rPr>
          <w:rFonts w:cs="Arial"/>
          <w:b/>
          <w:sz w:val="16"/>
          <w:szCs w:val="20"/>
        </w:rPr>
        <w:t xml:space="preserve">        </w:t>
      </w:r>
      <w:r w:rsidR="00955D31" w:rsidRPr="00042F29">
        <w:rPr>
          <w:rFonts w:cs="Arial"/>
          <w:b/>
          <w:sz w:val="16"/>
          <w:szCs w:val="20"/>
        </w:rPr>
        <w:t>Fuente:</w:t>
      </w:r>
      <w:r w:rsidR="00955D31" w:rsidRPr="0090436C">
        <w:rPr>
          <w:rFonts w:cs="Arial"/>
          <w:sz w:val="16"/>
          <w:szCs w:val="20"/>
        </w:rPr>
        <w:t xml:space="preserve"> Reporte Oficina de Control Interno</w:t>
      </w:r>
    </w:p>
    <w:p w:rsidR="00AF0345" w:rsidRDefault="00AF0345" w:rsidP="00AF0345">
      <w:pPr>
        <w:autoSpaceDE w:val="0"/>
        <w:autoSpaceDN w:val="0"/>
        <w:adjustRightInd w:val="0"/>
        <w:spacing w:after="0" w:line="240" w:lineRule="auto"/>
        <w:jc w:val="both"/>
        <w:rPr>
          <w:rFonts w:cs="Arial"/>
          <w:color w:val="00B050"/>
        </w:rPr>
      </w:pPr>
    </w:p>
    <w:p w:rsidR="00AF0345" w:rsidRPr="00AF0345" w:rsidRDefault="00AF0345" w:rsidP="00AF0345">
      <w:pPr>
        <w:autoSpaceDE w:val="0"/>
        <w:autoSpaceDN w:val="0"/>
        <w:adjustRightInd w:val="0"/>
        <w:spacing w:after="0" w:line="240" w:lineRule="auto"/>
        <w:jc w:val="both"/>
        <w:rPr>
          <w:rFonts w:cs="Arial"/>
        </w:rPr>
      </w:pPr>
      <w:r w:rsidRPr="00AF0345">
        <w:rPr>
          <w:rFonts w:cs="Arial"/>
        </w:rPr>
        <w:t>Se adelantó auditoría interna a las regionales Sucre, Guajira, Valle y Nariño a los procesos de contratación y gestión para la atención a la primera infancia; al igual que auditoría interna a las regionales Antioquia, Huila, Tolima, Meta, Norte de Santander,  Risaralda y Arauca al proceso de Gestión para la Protección, cuyos informes se remitirán en enero de 2017.</w:t>
      </w:r>
    </w:p>
    <w:p w:rsidR="00AF0345" w:rsidRPr="00AF0345" w:rsidRDefault="00AF0345" w:rsidP="00AF0345">
      <w:pPr>
        <w:autoSpaceDE w:val="0"/>
        <w:autoSpaceDN w:val="0"/>
        <w:adjustRightInd w:val="0"/>
        <w:spacing w:after="0" w:line="240" w:lineRule="auto"/>
        <w:jc w:val="both"/>
        <w:rPr>
          <w:rFonts w:cs="Arial"/>
        </w:rPr>
      </w:pPr>
    </w:p>
    <w:p w:rsidR="00AF0345" w:rsidRPr="00AF0345" w:rsidRDefault="00AF0345" w:rsidP="00AF0345">
      <w:pPr>
        <w:autoSpaceDE w:val="0"/>
        <w:autoSpaceDN w:val="0"/>
        <w:adjustRightInd w:val="0"/>
        <w:spacing w:after="0" w:line="240" w:lineRule="auto"/>
        <w:jc w:val="both"/>
        <w:rPr>
          <w:rFonts w:cs="Arial"/>
        </w:rPr>
      </w:pPr>
      <w:r w:rsidRPr="00AF0345">
        <w:rPr>
          <w:rFonts w:cs="Arial"/>
        </w:rPr>
        <w:t>Finalmente se ejecutó auditoría interna al sistema de gestión ambiental bajo la norma NTC ISO 14001:2014, al igual de auditoría de diagnóstico a la implementación de la misma norma bajo la versión 2015 para adelantar el plan de transición, informes que serán remitidos en enero de 2017.</w:t>
      </w:r>
    </w:p>
    <w:p w:rsidR="00AF0345" w:rsidRPr="00AF0345" w:rsidRDefault="00AF0345" w:rsidP="00AF0345">
      <w:pPr>
        <w:autoSpaceDE w:val="0"/>
        <w:autoSpaceDN w:val="0"/>
        <w:adjustRightInd w:val="0"/>
        <w:spacing w:after="0" w:line="240" w:lineRule="auto"/>
        <w:jc w:val="both"/>
        <w:rPr>
          <w:rFonts w:cs="Arial"/>
        </w:rPr>
      </w:pPr>
    </w:p>
    <w:p w:rsidR="00AF0345" w:rsidRPr="00FF6F58" w:rsidRDefault="00AF0345" w:rsidP="00AF0345">
      <w:pPr>
        <w:autoSpaceDE w:val="0"/>
        <w:autoSpaceDN w:val="0"/>
        <w:adjustRightInd w:val="0"/>
        <w:spacing w:after="0" w:line="240" w:lineRule="auto"/>
        <w:jc w:val="both"/>
        <w:rPr>
          <w:rFonts w:cs="Arial"/>
        </w:rPr>
      </w:pPr>
      <w:r w:rsidRPr="00FF6F58">
        <w:rPr>
          <w:rFonts w:cs="Arial"/>
        </w:rPr>
        <w:t xml:space="preserve">La siguiente tabla presenta los informes de </w:t>
      </w:r>
      <w:r>
        <w:rPr>
          <w:rFonts w:cs="Arial"/>
        </w:rPr>
        <w:t>Evaluaciones I</w:t>
      </w:r>
      <w:r w:rsidRPr="00FF6F58">
        <w:rPr>
          <w:rFonts w:cs="Arial"/>
        </w:rPr>
        <w:t>ndependientes realizadas a casos específicos:</w:t>
      </w:r>
    </w:p>
    <w:p w:rsidR="00AF0345" w:rsidRDefault="00AF0345" w:rsidP="00AF0345">
      <w:pPr>
        <w:autoSpaceDE w:val="0"/>
        <w:autoSpaceDN w:val="0"/>
        <w:adjustRightInd w:val="0"/>
        <w:spacing w:after="0" w:line="240" w:lineRule="auto"/>
        <w:jc w:val="both"/>
        <w:rPr>
          <w:rFonts w:cs="Arial"/>
        </w:rPr>
      </w:pPr>
    </w:p>
    <w:p w:rsidR="00AF0345" w:rsidRDefault="00AF0345" w:rsidP="00AF0345">
      <w:pPr>
        <w:autoSpaceDE w:val="0"/>
        <w:autoSpaceDN w:val="0"/>
        <w:adjustRightInd w:val="0"/>
        <w:spacing w:after="0" w:line="240" w:lineRule="auto"/>
        <w:jc w:val="center"/>
        <w:rPr>
          <w:rFonts w:cs="Arial"/>
          <w:b/>
        </w:rPr>
      </w:pPr>
      <w:r w:rsidRPr="00FF6F58">
        <w:rPr>
          <w:rFonts w:cs="Arial"/>
          <w:b/>
        </w:rPr>
        <w:t xml:space="preserve">Tabla. Relación de evaluaciones independientes realizadas a </w:t>
      </w:r>
      <w:r w:rsidRPr="00AF0345">
        <w:rPr>
          <w:rFonts w:cs="Arial"/>
          <w:b/>
        </w:rPr>
        <w:t xml:space="preserve">31 de diciembre </w:t>
      </w:r>
      <w:r w:rsidRPr="00FF6F58">
        <w:rPr>
          <w:rFonts w:cs="Arial"/>
          <w:b/>
        </w:rPr>
        <w:t>de 2016</w:t>
      </w:r>
    </w:p>
    <w:tbl>
      <w:tblPr>
        <w:tblStyle w:val="Tablaconcuadrcula1"/>
        <w:tblW w:w="920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628"/>
        <w:gridCol w:w="7022"/>
        <w:gridCol w:w="1559"/>
      </w:tblGrid>
      <w:tr w:rsidR="00901F64" w:rsidRPr="00DE1D2B" w:rsidTr="00B9284B">
        <w:trPr>
          <w:trHeight w:val="277"/>
          <w:tblHeader/>
          <w:jc w:val="center"/>
        </w:trPr>
        <w:tc>
          <w:tcPr>
            <w:tcW w:w="628" w:type="dxa"/>
            <w:shd w:val="clear" w:color="auto" w:fill="76923C" w:themeFill="accent3" w:themeFillShade="BF"/>
            <w:vAlign w:val="center"/>
            <w:hideMark/>
          </w:tcPr>
          <w:p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Ítem</w:t>
            </w:r>
          </w:p>
        </w:tc>
        <w:tc>
          <w:tcPr>
            <w:tcW w:w="7022" w:type="dxa"/>
            <w:shd w:val="clear" w:color="auto" w:fill="76923C" w:themeFill="accent3" w:themeFillShade="BF"/>
            <w:vAlign w:val="center"/>
            <w:hideMark/>
          </w:tcPr>
          <w:p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Descripción de la evaluación</w:t>
            </w:r>
          </w:p>
        </w:tc>
        <w:tc>
          <w:tcPr>
            <w:tcW w:w="1559" w:type="dxa"/>
            <w:shd w:val="clear" w:color="auto" w:fill="76923C" w:themeFill="accent3" w:themeFillShade="BF"/>
            <w:vAlign w:val="center"/>
            <w:hideMark/>
          </w:tcPr>
          <w:p w:rsidR="00901F64" w:rsidRPr="004C2816" w:rsidRDefault="00901F64" w:rsidP="00B524DF">
            <w:pPr>
              <w:spacing w:after="0" w:line="240" w:lineRule="auto"/>
              <w:jc w:val="center"/>
              <w:rPr>
                <w:rFonts w:eastAsia="Times New Roman" w:cs="Arial"/>
                <w:b/>
                <w:bCs/>
                <w:color w:val="FFFFFF" w:themeColor="background1"/>
                <w:sz w:val="18"/>
                <w:szCs w:val="20"/>
                <w:lang w:val="es-CO" w:eastAsia="es-CO"/>
              </w:rPr>
            </w:pPr>
            <w:r w:rsidRPr="004C2816">
              <w:rPr>
                <w:rFonts w:eastAsia="Times New Roman" w:cs="Arial"/>
                <w:b/>
                <w:bCs/>
                <w:color w:val="FFFFFF" w:themeColor="background1"/>
                <w:sz w:val="18"/>
                <w:szCs w:val="20"/>
                <w:lang w:val="es-CO" w:eastAsia="es-CO"/>
              </w:rPr>
              <w:t>Proceso</w:t>
            </w:r>
          </w:p>
        </w:tc>
      </w:tr>
      <w:tr w:rsidR="00901F64" w:rsidRPr="007E1A7A" w:rsidTr="00042F29">
        <w:trPr>
          <w:trHeight w:val="60"/>
          <w:jc w:val="center"/>
        </w:trPr>
        <w:tc>
          <w:tcPr>
            <w:tcW w:w="628" w:type="dxa"/>
            <w:vAlign w:val="center"/>
            <w:hideMark/>
          </w:tcPr>
          <w:p w:rsidR="00901F64" w:rsidRPr="00DE1D2B" w:rsidRDefault="00901F64" w:rsidP="00B524DF">
            <w:pPr>
              <w:spacing w:after="0" w:line="240" w:lineRule="auto"/>
              <w:jc w:val="center"/>
              <w:rPr>
                <w:rFonts w:eastAsia="Times New Roman" w:cs="Arial"/>
                <w:sz w:val="18"/>
                <w:szCs w:val="20"/>
                <w:lang w:val="es-CO" w:eastAsia="es-CO"/>
              </w:rPr>
            </w:pPr>
            <w:r w:rsidRPr="00DE1D2B">
              <w:rPr>
                <w:rFonts w:eastAsia="Times New Roman" w:cs="Arial"/>
                <w:sz w:val="18"/>
                <w:szCs w:val="20"/>
                <w:lang w:val="es-CO" w:eastAsia="es-CO"/>
              </w:rPr>
              <w:t>1</w:t>
            </w:r>
          </w:p>
        </w:tc>
        <w:tc>
          <w:tcPr>
            <w:tcW w:w="7022" w:type="dxa"/>
            <w:vAlign w:val="center"/>
            <w:hideMark/>
          </w:tcPr>
          <w:p w:rsidR="00901F64" w:rsidRPr="00DE1D2B" w:rsidRDefault="00901F64" w:rsidP="00042F29">
            <w:pPr>
              <w:spacing w:after="0" w:line="240" w:lineRule="auto"/>
              <w:rPr>
                <w:rFonts w:eastAsia="Times New Roman" w:cs="Arial"/>
                <w:sz w:val="18"/>
                <w:szCs w:val="20"/>
                <w:lang w:val="es-CO" w:eastAsia="es-CO"/>
              </w:rPr>
            </w:pPr>
            <w:r w:rsidRPr="00DE1D2B">
              <w:rPr>
                <w:rFonts w:eastAsia="Times New Roman" w:cs="Arial"/>
                <w:sz w:val="18"/>
                <w:szCs w:val="20"/>
                <w:lang w:val="es-CO" w:eastAsia="es-CO"/>
              </w:rPr>
              <w:t>Informe de evaluación independiente al contrato de prestación de servicios 950 de 2015</w:t>
            </w:r>
          </w:p>
        </w:tc>
        <w:tc>
          <w:tcPr>
            <w:tcW w:w="1559" w:type="dxa"/>
            <w:vAlign w:val="center"/>
            <w:hideMark/>
          </w:tcPr>
          <w:p w:rsidR="00901F64" w:rsidRPr="00DE1D2B" w:rsidRDefault="00901F64" w:rsidP="00B524DF">
            <w:pPr>
              <w:spacing w:after="0" w:line="240" w:lineRule="auto"/>
              <w:jc w:val="center"/>
              <w:rPr>
                <w:rFonts w:eastAsia="Times New Roman" w:cs="Arial"/>
                <w:sz w:val="18"/>
                <w:szCs w:val="20"/>
                <w:lang w:val="es-CO" w:eastAsia="es-CO"/>
              </w:rPr>
            </w:pPr>
            <w:r w:rsidRPr="00DE1D2B">
              <w:rPr>
                <w:rFonts w:eastAsia="Times New Roman" w:cs="Arial"/>
                <w:sz w:val="18"/>
                <w:szCs w:val="20"/>
                <w:lang w:val="es-CO" w:eastAsia="es-CO"/>
              </w:rPr>
              <w:t>Contratación - Tecnología</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interventoría 2597 de 2012 suscrito entre el ICBF y el Consorcio AIA</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Nutrición- 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3</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de la denuncia presentada por la defensora de familia del centro zonal histórico regional Bolívar, relacionada con procesos administrativos de restablecimiento de derechos</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-Adopciones</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4</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sobre seguimiento a la situación de las instalaciones nuevas del centro zonal Usme-ICBF</w:t>
            </w:r>
          </w:p>
        </w:tc>
        <w:tc>
          <w:tcPr>
            <w:tcW w:w="1559" w:type="dxa"/>
            <w:vAlign w:val="center"/>
            <w:hideMark/>
          </w:tcPr>
          <w:p w:rsidR="00901F64" w:rsidRPr="007E1A7A" w:rsidRDefault="00042F29" w:rsidP="00B524DF">
            <w:pPr>
              <w:spacing w:after="0" w:line="240" w:lineRule="auto"/>
              <w:jc w:val="center"/>
              <w:rPr>
                <w:rFonts w:eastAsia="Times New Roman" w:cs="Arial"/>
                <w:sz w:val="18"/>
                <w:szCs w:val="20"/>
                <w:lang w:val="es-CO" w:eastAsia="es-CO"/>
              </w:rPr>
            </w:pPr>
            <w:r>
              <w:rPr>
                <w:rFonts w:eastAsia="Times New Roman" w:cs="Arial"/>
                <w:sz w:val="18"/>
                <w:szCs w:val="20"/>
                <w:lang w:val="es-CO" w:eastAsia="es-CO"/>
              </w:rPr>
              <w:t>A</w:t>
            </w:r>
            <w:r w:rsidR="00901F64" w:rsidRPr="007E1A7A">
              <w:rPr>
                <w:rFonts w:eastAsia="Times New Roman" w:cs="Arial"/>
                <w:sz w:val="18"/>
                <w:szCs w:val="20"/>
                <w:lang w:val="es-CO" w:eastAsia="es-CO"/>
              </w:rPr>
              <w:t>dministrativa</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5</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de selección abreviada  por subasta inversa presencial No. ICBF-SASI-002-2015 adelantada en la regional Arauca del ICBF para la prestación del servicio de transporte público terrestre automotor especial</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6</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proceso sancionatorio ICBF contra el operador CONADE en el marco del contrato de aporte 159 de 2014 centro zonal Yopal - regional Casanare</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7</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la denuncia presentada por madre comunitaria FAMI del municipio de Tenjo - centro zonal Zipaquirá</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Primera infancia</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8</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vigente en materia de contratación pública del proceso de selección No. ICBF-CMA-014-2015</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9</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prestación de servicios de apoyo a la gestión 009 de 2016 - regional Meta</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10</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las intervenciones en obra para la infraestructura  del SRPA contratadas por el ICBF entre 2010 y 2014</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Administrativa</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11</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último pago del contrato de prestación de servicios 897 de 2015</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12</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último pago del contrato de prestación de servicios 460 de 2015</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585"/>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13</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los procesos de designación de los directores regionales del ICBF, así como a las vinculaciones a través de la figura de encargo en caso de vacancia temporal o definitiva</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Gestión humana</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14</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contrato de aporte No 127 de 2015 suscrito entre el ICBF y la Fundación Prosperar y Vida</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15</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contractual en el proceso de selección de mínima cuantía MC 007-2016 de la regional Sucre</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16</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por liquidación y pago pendiente a favor de operador por concepto de pago del contrato de aporte No 862 de 2014, celebrado entre el ICBF y la Fundación Profesionales al Servicio de la Comunidad (PROSERVCO)</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17</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administrativo de restablecimiento de derechos en el centro zonal Acacias de la regional Meta del ICBF</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18</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PARD centro zonal Yopal - regional Casanare</w:t>
            </w:r>
          </w:p>
        </w:tc>
        <w:tc>
          <w:tcPr>
            <w:tcW w:w="1559" w:type="dxa"/>
            <w:vAlign w:val="center"/>
            <w:hideMark/>
          </w:tcPr>
          <w:p w:rsidR="00901F64" w:rsidRPr="007E1A7A" w:rsidRDefault="00901F64" w:rsidP="00B524DF">
            <w:pPr>
              <w:spacing w:after="0" w:line="240" w:lineRule="auto"/>
              <w:jc w:val="center"/>
              <w:rPr>
                <w:sz w:val="18"/>
              </w:rPr>
            </w:pPr>
            <w:r w:rsidRPr="007E1A7A">
              <w:rPr>
                <w:rFonts w:eastAsia="Times New Roman" w:cs="Arial"/>
                <w:sz w:val="18"/>
                <w:szCs w:val="20"/>
                <w:lang w:val="es-CO" w:eastAsia="es-CO"/>
              </w:rPr>
              <w:t>Protección - PARD</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19</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verificación de la solicitud presentada por el director de la regional Valle del Cauca</w:t>
            </w:r>
          </w:p>
        </w:tc>
        <w:tc>
          <w:tcPr>
            <w:tcW w:w="1559" w:type="dxa"/>
            <w:vAlign w:val="center"/>
            <w:hideMark/>
          </w:tcPr>
          <w:p w:rsidR="00901F64" w:rsidRPr="007E1A7A" w:rsidRDefault="00901F64" w:rsidP="00B524DF">
            <w:pPr>
              <w:spacing w:after="0" w:line="240" w:lineRule="auto"/>
              <w:jc w:val="center"/>
              <w:rPr>
                <w:sz w:val="18"/>
              </w:rPr>
            </w:pPr>
            <w:r w:rsidRPr="007E1A7A">
              <w:rPr>
                <w:rFonts w:eastAsia="Times New Roman" w:cs="Arial"/>
                <w:sz w:val="18"/>
                <w:szCs w:val="20"/>
                <w:lang w:val="es-CO" w:eastAsia="es-CO"/>
              </w:rPr>
              <w:t>Protección - PARD</w:t>
            </w:r>
          </w:p>
        </w:tc>
      </w:tr>
      <w:tr w:rsidR="00901F64" w:rsidRPr="007E1A7A" w:rsidTr="00042F29">
        <w:trPr>
          <w:trHeight w:val="62"/>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20</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al proceso administrativo de restablecimiento de derechos en el centro zonal Sur Oriente Manzanares de la regional Caldas</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21</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a los Centros de Recuperación Nutricional</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Nutrición</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22</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PARD a niños de la regional Valle del Cauca</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Protección – PARD</w:t>
            </w:r>
          </w:p>
        </w:tc>
      </w:tr>
      <w:tr w:rsidR="00901F64" w:rsidRPr="007E1A7A" w:rsidTr="00042F29">
        <w:trPr>
          <w:trHeight w:val="60"/>
          <w:jc w:val="center"/>
        </w:trPr>
        <w:tc>
          <w:tcPr>
            <w:tcW w:w="628"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23</w:t>
            </w:r>
          </w:p>
        </w:tc>
        <w:tc>
          <w:tcPr>
            <w:tcW w:w="7022" w:type="dxa"/>
            <w:vAlign w:val="center"/>
            <w:hideMark/>
          </w:tcPr>
          <w:p w:rsidR="00901F64" w:rsidRPr="007E1A7A" w:rsidRDefault="00901F64" w:rsidP="00042F29">
            <w:pPr>
              <w:spacing w:after="0" w:line="240" w:lineRule="auto"/>
              <w:rPr>
                <w:rFonts w:eastAsia="Times New Roman" w:cs="Arial"/>
                <w:sz w:val="18"/>
                <w:szCs w:val="20"/>
                <w:lang w:val="es-CO" w:eastAsia="es-CO"/>
              </w:rPr>
            </w:pPr>
            <w:r w:rsidRPr="007E1A7A">
              <w:rPr>
                <w:rFonts w:eastAsia="Times New Roman" w:cs="Arial"/>
                <w:sz w:val="18"/>
                <w:szCs w:val="20"/>
                <w:lang w:val="es-CO" w:eastAsia="es-CO"/>
              </w:rPr>
              <w:t>Informe de evaluación independiente frente al cumplimiento de la normatividad contractual en el convenio de cooperación internacional 1231 de 2016 suscrito entre el ICBF y la organización de estados iberoamericanos (OEI)</w:t>
            </w:r>
          </w:p>
        </w:tc>
        <w:tc>
          <w:tcPr>
            <w:tcW w:w="1559" w:type="dxa"/>
            <w:vAlign w:val="center"/>
            <w:hideMark/>
          </w:tcPr>
          <w:p w:rsidR="00901F64" w:rsidRPr="007E1A7A" w:rsidRDefault="00901F64" w:rsidP="00B524DF">
            <w:pPr>
              <w:spacing w:after="0" w:line="240" w:lineRule="auto"/>
              <w:jc w:val="center"/>
              <w:rPr>
                <w:rFonts w:eastAsia="Times New Roman" w:cs="Arial"/>
                <w:sz w:val="18"/>
                <w:szCs w:val="20"/>
                <w:lang w:val="es-CO" w:eastAsia="es-CO"/>
              </w:rPr>
            </w:pPr>
            <w:r w:rsidRPr="007E1A7A">
              <w:rPr>
                <w:rFonts w:eastAsia="Times New Roman" w:cs="Arial"/>
                <w:sz w:val="18"/>
                <w:szCs w:val="20"/>
                <w:lang w:val="es-CO" w:eastAsia="es-CO"/>
              </w:rPr>
              <w:t>Contratación</w:t>
            </w:r>
          </w:p>
        </w:tc>
      </w:tr>
    </w:tbl>
    <w:p w:rsidR="00015C71" w:rsidRPr="0090436C" w:rsidRDefault="00B84E79" w:rsidP="00015C71">
      <w:pPr>
        <w:autoSpaceDE w:val="0"/>
        <w:autoSpaceDN w:val="0"/>
        <w:adjustRightInd w:val="0"/>
        <w:spacing w:after="0" w:line="240" w:lineRule="auto"/>
        <w:jc w:val="both"/>
        <w:rPr>
          <w:rFonts w:cs="Arial"/>
          <w:b/>
          <w:sz w:val="18"/>
        </w:rPr>
      </w:pPr>
      <w:r>
        <w:rPr>
          <w:rFonts w:cs="Arial"/>
          <w:b/>
          <w:sz w:val="14"/>
          <w:szCs w:val="20"/>
        </w:rPr>
        <w:t xml:space="preserve">  </w:t>
      </w:r>
      <w:r w:rsidR="00015C71" w:rsidRPr="00042F29">
        <w:rPr>
          <w:rFonts w:cs="Arial"/>
          <w:b/>
          <w:sz w:val="14"/>
          <w:szCs w:val="20"/>
        </w:rPr>
        <w:t>Fuente:</w:t>
      </w:r>
      <w:r w:rsidR="00B965A5" w:rsidRPr="00901F64">
        <w:rPr>
          <w:rFonts w:cs="Arial"/>
          <w:sz w:val="14"/>
          <w:szCs w:val="20"/>
        </w:rPr>
        <w:t xml:space="preserve"> Reporte Oficina de Control Interno</w:t>
      </w:r>
    </w:p>
    <w:p w:rsidR="00461A5D" w:rsidRDefault="00461A5D" w:rsidP="00B9284B"/>
    <w:p w:rsidR="00015C71" w:rsidRPr="00B9284B" w:rsidRDefault="00015C71" w:rsidP="00B9284B">
      <w:pPr>
        <w:rPr>
          <w:b/>
        </w:rPr>
      </w:pPr>
      <w:r w:rsidRPr="00B9284B">
        <w:rPr>
          <w:b/>
        </w:rPr>
        <w:t>Componente de planes de mejoramiento</w:t>
      </w:r>
    </w:p>
    <w:p w:rsidR="00B965A5" w:rsidRPr="00FF6F58" w:rsidRDefault="00B965A5" w:rsidP="00B965A5">
      <w:pPr>
        <w:pStyle w:val="Default"/>
        <w:jc w:val="both"/>
        <w:rPr>
          <w:rFonts w:ascii="Arial" w:hAnsi="Arial" w:cs="Arial"/>
          <w:color w:val="auto"/>
          <w:sz w:val="22"/>
          <w:szCs w:val="22"/>
        </w:rPr>
      </w:pPr>
      <w:r w:rsidRPr="00FF6F58">
        <w:rPr>
          <w:rFonts w:ascii="Arial" w:hAnsi="Arial" w:cs="Arial"/>
          <w:color w:val="auto"/>
          <w:sz w:val="22"/>
          <w:szCs w:val="22"/>
        </w:rPr>
        <w:t xml:space="preserve">Para atender los hallazgos de auditoría interna, el ICBF cuenta con el </w:t>
      </w:r>
      <w:r w:rsidRPr="00FF6F58">
        <w:rPr>
          <w:rFonts w:ascii="Arial" w:hAnsi="Arial" w:cs="Arial"/>
          <w:color w:val="auto"/>
          <w:sz w:val="22"/>
          <w:szCs w:val="22"/>
          <w:u w:val="single"/>
        </w:rPr>
        <w:t>PR2 MPE2</w:t>
      </w:r>
      <w:r w:rsidRPr="00FF6F58">
        <w:rPr>
          <w:rFonts w:ascii="Arial" w:hAnsi="Arial" w:cs="Arial"/>
          <w:color w:val="auto"/>
          <w:sz w:val="22"/>
          <w:szCs w:val="22"/>
        </w:rPr>
        <w:t xml:space="preserve"> Procedimiento de  Acciones Correctivas V10 y con el </w:t>
      </w:r>
      <w:hyperlink r:id="rId64" w:tgtFrame="_blank" w:history="1">
        <w:r w:rsidRPr="00FF6F58">
          <w:rPr>
            <w:rStyle w:val="Hipervnculo"/>
            <w:rFonts w:ascii="Arial" w:hAnsi="Arial" w:cs="Arial"/>
            <w:color w:val="auto"/>
            <w:sz w:val="22"/>
            <w:szCs w:val="22"/>
          </w:rPr>
          <w:t>PR3 MPE2</w:t>
        </w:r>
        <w:r w:rsidRPr="00FF6F58">
          <w:rPr>
            <w:rStyle w:val="Hipervnculo"/>
            <w:rFonts w:ascii="Arial" w:hAnsi="Arial" w:cs="Arial"/>
            <w:color w:val="auto"/>
            <w:sz w:val="22"/>
            <w:szCs w:val="22"/>
            <w:u w:val="none"/>
          </w:rPr>
          <w:t xml:space="preserve"> Procedimiento de Acciones Preventivas V9</w:t>
        </w:r>
      </w:hyperlink>
      <w:r w:rsidRPr="00FF6F58">
        <w:rPr>
          <w:rFonts w:ascii="Arial" w:hAnsi="Arial" w:cs="Arial"/>
          <w:color w:val="auto"/>
          <w:sz w:val="22"/>
          <w:szCs w:val="22"/>
        </w:rPr>
        <w:t>, los cuales son aplicados por la entidad para atender los planes de mejora que son administrados a través del aplicativo ISOLUCION para el cierre de los hallazgos o no conformidades por parte de la Subdirección de Mejoramiento Organizacional y Verificación de la Oficina de Control Interno.</w:t>
      </w:r>
    </w:p>
    <w:p w:rsidR="00B965A5" w:rsidRPr="00FF6F58" w:rsidRDefault="00B965A5" w:rsidP="00B965A5">
      <w:pPr>
        <w:pStyle w:val="Default"/>
        <w:jc w:val="both"/>
        <w:rPr>
          <w:rFonts w:ascii="Arial" w:hAnsi="Arial" w:cs="Arial"/>
          <w:color w:val="auto"/>
          <w:sz w:val="22"/>
          <w:szCs w:val="22"/>
        </w:rPr>
      </w:pPr>
    </w:p>
    <w:p w:rsidR="00B965A5" w:rsidRPr="00FF6F58" w:rsidRDefault="00B965A5" w:rsidP="00B965A5">
      <w:pPr>
        <w:pStyle w:val="Default"/>
        <w:jc w:val="both"/>
        <w:rPr>
          <w:rFonts w:ascii="Arial" w:eastAsia="Times New Roman" w:hAnsi="Arial" w:cs="Arial"/>
          <w:color w:val="auto"/>
          <w:sz w:val="22"/>
          <w:szCs w:val="22"/>
        </w:rPr>
      </w:pPr>
      <w:r w:rsidRPr="00FF6F58">
        <w:rPr>
          <w:rFonts w:ascii="Arial" w:hAnsi="Arial" w:cs="Arial"/>
          <w:color w:val="auto"/>
          <w:sz w:val="22"/>
          <w:szCs w:val="22"/>
        </w:rPr>
        <w:t xml:space="preserve">Para atender los hallazgos de las auditorías regulares de la Contraloría General de la República, el ICBF cuenta con </w:t>
      </w:r>
      <w:r>
        <w:rPr>
          <w:rFonts w:ascii="Arial" w:hAnsi="Arial" w:cs="Arial"/>
          <w:color w:val="auto"/>
          <w:sz w:val="22"/>
          <w:szCs w:val="22"/>
        </w:rPr>
        <w:t xml:space="preserve">la Circular 7 de 2013, la cual </w:t>
      </w:r>
      <w:r w:rsidRPr="00FF6F58">
        <w:rPr>
          <w:rFonts w:ascii="Arial" w:hAnsi="Arial" w:cs="Arial"/>
          <w:color w:val="auto"/>
          <w:sz w:val="22"/>
          <w:szCs w:val="22"/>
        </w:rPr>
        <w:t>determinó el Procedimiento Interno para el S</w:t>
      </w:r>
      <w:r w:rsidRPr="00FF6F58">
        <w:rPr>
          <w:rFonts w:ascii="Arial" w:eastAsia="Times New Roman" w:hAnsi="Arial" w:cs="Arial"/>
          <w:color w:val="auto"/>
          <w:sz w:val="22"/>
          <w:szCs w:val="22"/>
        </w:rPr>
        <w:t>eguimiento a la Ejecución del Plan de Mejoramiento del ICBF suscrito con este ente de control por parte de la Oficina de Control Interno.</w:t>
      </w:r>
    </w:p>
    <w:p w:rsidR="00B965A5" w:rsidRDefault="00B965A5" w:rsidP="00B965A5">
      <w:pPr>
        <w:pStyle w:val="Default"/>
        <w:jc w:val="both"/>
        <w:rPr>
          <w:rFonts w:ascii="Arial" w:eastAsia="Times New Roman" w:hAnsi="Arial" w:cs="Arial"/>
          <w:color w:val="0070C0"/>
          <w:sz w:val="22"/>
          <w:szCs w:val="22"/>
        </w:rPr>
      </w:pPr>
    </w:p>
    <w:p w:rsidR="00B965A5" w:rsidRPr="00CE51FD" w:rsidRDefault="00B965A5" w:rsidP="00B965A5">
      <w:pPr>
        <w:spacing w:after="0" w:line="240" w:lineRule="auto"/>
        <w:jc w:val="both"/>
        <w:rPr>
          <w:rFonts w:cs="Arial"/>
        </w:rPr>
      </w:pPr>
      <w:r w:rsidRPr="00CE51FD">
        <w:rPr>
          <w:rFonts w:cs="Arial"/>
        </w:rPr>
        <w:t>La Contraloría General de la República, practicó Auditoría al Instituto Colombiano de Bienestar Familiar -ICBF, vigencia 2014 haciendo presencia en la entidad durante el año 2015.</w:t>
      </w:r>
    </w:p>
    <w:p w:rsidR="00B965A5" w:rsidRPr="00F90641" w:rsidRDefault="00B965A5" w:rsidP="00B965A5">
      <w:pPr>
        <w:pStyle w:val="Default"/>
        <w:jc w:val="both"/>
        <w:rPr>
          <w:rFonts w:ascii="Arial" w:eastAsia="Times New Roman" w:hAnsi="Arial" w:cs="Arial"/>
          <w:color w:val="0070C0"/>
          <w:sz w:val="22"/>
          <w:szCs w:val="22"/>
        </w:rPr>
      </w:pPr>
    </w:p>
    <w:p w:rsidR="00B965A5" w:rsidRPr="00CB2DAD" w:rsidRDefault="00B965A5" w:rsidP="00B965A5">
      <w:pPr>
        <w:spacing w:after="0" w:line="240" w:lineRule="auto"/>
        <w:jc w:val="both"/>
        <w:rPr>
          <w:rFonts w:cs="Arial"/>
        </w:rPr>
      </w:pPr>
      <w:r w:rsidRPr="00CB2DAD">
        <w:rPr>
          <w:rFonts w:cs="Arial"/>
        </w:rPr>
        <w:t>Con base en la auditoría regular realizada vigencia fiscal 2014 por la Contraloría General de la República al ICBF y el informe resultante de este ejercicio, para el año 2015 se formuló e implementó el plan de mejoramiento, el cual tuvo fecha de corte a 30 de septiembre de 2016 cerrando con un avance del 79,5% en las actividades programadas y un cumplimiento del 95.0%.</w:t>
      </w:r>
    </w:p>
    <w:p w:rsidR="00B965A5" w:rsidRDefault="00B965A5" w:rsidP="00B965A5">
      <w:pPr>
        <w:spacing w:after="0" w:line="240" w:lineRule="auto"/>
        <w:jc w:val="both"/>
        <w:rPr>
          <w:rFonts w:cs="Arial"/>
        </w:rPr>
      </w:pPr>
    </w:p>
    <w:p w:rsidR="00B84E79" w:rsidRDefault="00B84E79" w:rsidP="00B965A5">
      <w:pPr>
        <w:spacing w:after="0" w:line="240" w:lineRule="auto"/>
        <w:jc w:val="center"/>
        <w:rPr>
          <w:rFonts w:cs="Arial"/>
        </w:rPr>
      </w:pPr>
    </w:p>
    <w:p w:rsidR="00B965A5" w:rsidRDefault="00B965A5" w:rsidP="00B965A5">
      <w:pPr>
        <w:spacing w:after="0" w:line="240" w:lineRule="auto"/>
        <w:jc w:val="center"/>
        <w:rPr>
          <w:rFonts w:cs="Arial"/>
          <w:b/>
        </w:rPr>
      </w:pPr>
      <w:r w:rsidRPr="0045435C">
        <w:rPr>
          <w:rFonts w:cs="Arial"/>
          <w:b/>
        </w:rPr>
        <w:t>Tabla. Resultados Indicador avance del PM a 30 de septiembre de 2016</w:t>
      </w:r>
    </w:p>
    <w:p w:rsidR="00B84E79" w:rsidRPr="0045435C" w:rsidRDefault="00B84E79" w:rsidP="00B965A5">
      <w:pPr>
        <w:spacing w:after="0" w:line="240" w:lineRule="auto"/>
        <w:jc w:val="center"/>
        <w:rPr>
          <w:rFonts w:cs="Arial"/>
          <w:b/>
        </w:rPr>
      </w:pPr>
    </w:p>
    <w:tbl>
      <w:tblPr>
        <w:tblpPr w:leftFromText="141" w:rightFromText="141" w:vertAnchor="text" w:horzAnchor="margin" w:tblpY="-1"/>
        <w:tblW w:w="4099"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127"/>
        <w:gridCol w:w="1972"/>
      </w:tblGrid>
      <w:tr w:rsidR="00D36105" w:rsidRPr="0045435C" w:rsidTr="00D36105">
        <w:trPr>
          <w:trHeight w:val="367"/>
        </w:trPr>
        <w:tc>
          <w:tcPr>
            <w:tcW w:w="4099" w:type="dxa"/>
            <w:gridSpan w:val="2"/>
            <w:shd w:val="clear" w:color="000000" w:fill="FDFDFD"/>
            <w:vAlign w:val="center"/>
            <w:hideMark/>
          </w:tcPr>
          <w:p w:rsidR="00D36105" w:rsidRDefault="00D36105" w:rsidP="00D36105">
            <w:pPr>
              <w:shd w:val="clear" w:color="auto" w:fill="E2EFDA"/>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Vigencia: 2016 </w:t>
            </w:r>
            <w:r>
              <w:rPr>
                <w:rFonts w:ascii="Verdana" w:eastAsia="Times New Roman" w:hAnsi="Verdana"/>
                <w:b/>
                <w:bCs/>
                <w:color w:val="000000"/>
                <w:sz w:val="16"/>
                <w:szCs w:val="20"/>
                <w:lang w:val="es-CO" w:eastAsia="es-CO"/>
              </w:rPr>
              <w:t>–</w:t>
            </w:r>
            <w:r w:rsidRPr="0045435C">
              <w:rPr>
                <w:rFonts w:ascii="Verdana" w:eastAsia="Times New Roman" w:hAnsi="Verdana"/>
                <w:b/>
                <w:bCs/>
                <w:color w:val="000000"/>
                <w:sz w:val="16"/>
                <w:szCs w:val="20"/>
                <w:lang w:val="es-CO" w:eastAsia="es-CO"/>
              </w:rPr>
              <w:t xml:space="preserve"> </w:t>
            </w:r>
          </w:p>
          <w:p w:rsidR="00D36105" w:rsidRPr="0045435C" w:rsidRDefault="00D36105" w:rsidP="00D36105">
            <w:pPr>
              <w:shd w:val="clear" w:color="auto" w:fill="E2EFDA"/>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REGIONALES </w:t>
            </w:r>
            <w:r w:rsidRPr="0045435C">
              <w:rPr>
                <w:rFonts w:ascii="Verdana" w:eastAsia="Times New Roman" w:hAnsi="Verdana"/>
                <w:b/>
                <w:bCs/>
                <w:color w:val="000000"/>
                <w:sz w:val="16"/>
                <w:szCs w:val="20"/>
                <w:lang w:val="es-CO" w:eastAsia="es-CO"/>
              </w:rPr>
              <w:br/>
              <w:t>30 de septiembre de 2016</w:t>
            </w:r>
          </w:p>
        </w:tc>
      </w:tr>
      <w:tr w:rsidR="00D36105" w:rsidRPr="0045435C" w:rsidTr="00D36105">
        <w:trPr>
          <w:trHeight w:val="200"/>
        </w:trPr>
        <w:tc>
          <w:tcPr>
            <w:tcW w:w="2127" w:type="dxa"/>
            <w:shd w:val="clear" w:color="auto" w:fill="76923C" w:themeFill="accent3" w:themeFillShade="BF"/>
            <w:vAlign w:val="center"/>
            <w:hideMark/>
          </w:tcPr>
          <w:p w:rsidR="00D36105" w:rsidRPr="00525626" w:rsidRDefault="00D36105"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Área</w:t>
            </w:r>
          </w:p>
        </w:tc>
        <w:tc>
          <w:tcPr>
            <w:tcW w:w="1972" w:type="dxa"/>
            <w:shd w:val="clear" w:color="auto" w:fill="76923C" w:themeFill="accent3" w:themeFillShade="BF"/>
            <w:vAlign w:val="center"/>
            <w:hideMark/>
          </w:tcPr>
          <w:p w:rsidR="00D36105" w:rsidRPr="00525626" w:rsidRDefault="00D36105"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Avance</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Antioquia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Bogotá</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86.2%</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bolívar</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69.2%</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Boyacá</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72%</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caldas</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Caquetá</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Casanare</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89.2%</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cauca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94.4%</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choco</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81.7%</w:t>
            </w:r>
          </w:p>
        </w:tc>
      </w:tr>
      <w:tr w:rsidR="00D36105" w:rsidRPr="0045435C" w:rsidTr="00D36105">
        <w:trPr>
          <w:trHeight w:val="185"/>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Córdoba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Cundinamarca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96.2%</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guajira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15%</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Guaviare</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90.3%</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Huila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Magdalena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Nariño</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78.7%</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putumayo</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Quindío</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Risaralda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96.1%</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San Andres</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Santander</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87.3%</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sucre</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98.1%</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Tolima</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D36105" w:rsidRPr="0045435C" w:rsidTr="00D36105">
        <w:trPr>
          <w:trHeight w:val="20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valle</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80.8%</w:t>
            </w:r>
          </w:p>
        </w:tc>
      </w:tr>
      <w:tr w:rsidR="00D36105" w:rsidRPr="0045435C" w:rsidTr="00D36105">
        <w:trPr>
          <w:trHeight w:val="60"/>
        </w:trPr>
        <w:tc>
          <w:tcPr>
            <w:tcW w:w="2127" w:type="dxa"/>
            <w:shd w:val="clear" w:color="000000" w:fill="FDFDFD"/>
            <w:hideMark/>
          </w:tcPr>
          <w:p w:rsidR="00D36105" w:rsidRPr="0045435C" w:rsidRDefault="00D36105"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Regional Vaupés</w:t>
            </w:r>
          </w:p>
        </w:tc>
        <w:tc>
          <w:tcPr>
            <w:tcW w:w="1972" w:type="dxa"/>
            <w:shd w:val="clear" w:color="000000" w:fill="FDFDFD"/>
            <w:hideMark/>
          </w:tcPr>
          <w:p w:rsidR="00D36105" w:rsidRPr="0045435C" w:rsidRDefault="00D36105"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94.2%</w:t>
            </w:r>
          </w:p>
        </w:tc>
      </w:tr>
    </w:tbl>
    <w:p w:rsidR="00B965A5" w:rsidRDefault="00B965A5" w:rsidP="00B965A5">
      <w:pPr>
        <w:spacing w:after="0" w:line="240" w:lineRule="auto"/>
        <w:jc w:val="both"/>
        <w:rPr>
          <w:rFonts w:cs="Arial"/>
        </w:rPr>
      </w:pPr>
    </w:p>
    <w:tbl>
      <w:tblPr>
        <w:tblpPr w:leftFromText="141" w:rightFromText="141" w:vertAnchor="text" w:horzAnchor="page" w:tblpX="6706" w:tblpY="24"/>
        <w:tblW w:w="481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3397"/>
        <w:gridCol w:w="1418"/>
      </w:tblGrid>
      <w:tr w:rsidR="0045435C" w:rsidRPr="0045435C" w:rsidTr="00D36105">
        <w:trPr>
          <w:trHeight w:val="222"/>
        </w:trPr>
        <w:tc>
          <w:tcPr>
            <w:tcW w:w="4815" w:type="dxa"/>
            <w:gridSpan w:val="2"/>
            <w:shd w:val="clear" w:color="auto" w:fill="E2EFDA"/>
            <w:vAlign w:val="center"/>
            <w:hideMark/>
          </w:tcPr>
          <w:p w:rsidR="00525626" w:rsidRDefault="0045435C" w:rsidP="00D36105">
            <w:pPr>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Vigencia: 2016-Dependencias </w:t>
            </w:r>
          </w:p>
          <w:p w:rsidR="0045435C" w:rsidRPr="0045435C" w:rsidRDefault="0045435C" w:rsidP="00D36105">
            <w:pPr>
              <w:spacing w:after="0" w:line="240" w:lineRule="auto"/>
              <w:jc w:val="center"/>
              <w:rPr>
                <w:rFonts w:ascii="Verdana" w:eastAsia="Times New Roman" w:hAnsi="Verdana"/>
                <w:b/>
                <w:bCs/>
                <w:color w:val="000000"/>
                <w:sz w:val="16"/>
                <w:szCs w:val="20"/>
                <w:lang w:val="es-CO" w:eastAsia="es-CO"/>
              </w:rPr>
            </w:pPr>
            <w:r w:rsidRPr="0045435C">
              <w:rPr>
                <w:rFonts w:ascii="Verdana" w:eastAsia="Times New Roman" w:hAnsi="Verdana"/>
                <w:b/>
                <w:bCs/>
                <w:color w:val="000000"/>
                <w:sz w:val="16"/>
                <w:szCs w:val="20"/>
                <w:lang w:val="es-CO" w:eastAsia="es-CO"/>
              </w:rPr>
              <w:t xml:space="preserve">Sede Dirección General </w:t>
            </w:r>
            <w:r w:rsidRPr="0045435C">
              <w:rPr>
                <w:rFonts w:ascii="Verdana" w:eastAsia="Times New Roman" w:hAnsi="Verdana"/>
                <w:b/>
                <w:bCs/>
                <w:color w:val="000000"/>
                <w:sz w:val="16"/>
                <w:szCs w:val="20"/>
                <w:lang w:val="es-CO" w:eastAsia="es-CO"/>
              </w:rPr>
              <w:br/>
              <w:t>30 de septiembre de 2016</w:t>
            </w:r>
          </w:p>
        </w:tc>
      </w:tr>
      <w:tr w:rsidR="0045435C" w:rsidRPr="0045435C" w:rsidTr="00D36105">
        <w:trPr>
          <w:trHeight w:val="254"/>
        </w:trPr>
        <w:tc>
          <w:tcPr>
            <w:tcW w:w="3397" w:type="dxa"/>
            <w:shd w:val="clear" w:color="auto" w:fill="76923C" w:themeFill="accent3" w:themeFillShade="BF"/>
            <w:vAlign w:val="center"/>
            <w:hideMark/>
          </w:tcPr>
          <w:p w:rsidR="0045435C" w:rsidRPr="00525626" w:rsidRDefault="0045435C"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Área</w:t>
            </w:r>
          </w:p>
        </w:tc>
        <w:tc>
          <w:tcPr>
            <w:tcW w:w="1418" w:type="dxa"/>
            <w:shd w:val="clear" w:color="auto" w:fill="76923C" w:themeFill="accent3" w:themeFillShade="BF"/>
            <w:vAlign w:val="center"/>
            <w:hideMark/>
          </w:tcPr>
          <w:p w:rsidR="0045435C" w:rsidRPr="00525626" w:rsidRDefault="0045435C" w:rsidP="00D36105">
            <w:pPr>
              <w:spacing w:after="0" w:line="240" w:lineRule="auto"/>
              <w:jc w:val="center"/>
              <w:rPr>
                <w:rFonts w:ascii="Verdana" w:eastAsia="Times New Roman" w:hAnsi="Verdana"/>
                <w:b/>
                <w:bCs/>
                <w:color w:val="FFFFFF" w:themeColor="background1"/>
                <w:sz w:val="16"/>
                <w:szCs w:val="20"/>
                <w:lang w:val="es-CO" w:eastAsia="es-CO"/>
              </w:rPr>
            </w:pPr>
            <w:r w:rsidRPr="00525626">
              <w:rPr>
                <w:rFonts w:ascii="Verdana" w:eastAsia="Times New Roman" w:hAnsi="Verdana"/>
                <w:b/>
                <w:bCs/>
                <w:color w:val="FFFFFF" w:themeColor="background1"/>
                <w:sz w:val="16"/>
                <w:szCs w:val="20"/>
                <w:lang w:val="es-CO" w:eastAsia="es-CO"/>
              </w:rPr>
              <w:t>Avance</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Administrativa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70.9%</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Contratación</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Familias y Comunidades</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Gestión Humana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89.2%</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Información y Tecnología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Niñez y Adolescencia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Nutrición</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Planeación y Control de Gestión</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98.2%</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Primera Infancia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 Protección</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del Sistema Nacional de Bienestar Familiar</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Dirección Financiera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97.6%</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Asesora Jurídica</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Aseguramiento a la Calidad</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254"/>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Control Interno</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100%</w:t>
            </w:r>
          </w:p>
        </w:tc>
      </w:tr>
      <w:tr w:rsidR="0045435C" w:rsidRPr="0045435C" w:rsidTr="00D36105">
        <w:trPr>
          <w:trHeight w:val="405"/>
        </w:trPr>
        <w:tc>
          <w:tcPr>
            <w:tcW w:w="3397" w:type="dxa"/>
            <w:shd w:val="clear" w:color="000000" w:fill="FDFDFD"/>
            <w:hideMark/>
          </w:tcPr>
          <w:p w:rsidR="0045435C" w:rsidRPr="0045435C" w:rsidRDefault="0045435C" w:rsidP="00D36105">
            <w:pPr>
              <w:spacing w:after="0" w:line="240" w:lineRule="auto"/>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Oficina de Control Interno Disciplinario</w:t>
            </w:r>
          </w:p>
        </w:tc>
        <w:tc>
          <w:tcPr>
            <w:tcW w:w="1418" w:type="dxa"/>
            <w:shd w:val="clear" w:color="000000" w:fill="FDFDFD"/>
            <w:hideMark/>
          </w:tcPr>
          <w:p w:rsidR="0045435C" w:rsidRPr="0045435C" w:rsidRDefault="0045435C" w:rsidP="00D36105">
            <w:pPr>
              <w:spacing w:after="0" w:line="240" w:lineRule="auto"/>
              <w:jc w:val="center"/>
              <w:rPr>
                <w:rFonts w:ascii="Verdana" w:eastAsia="Times New Roman" w:hAnsi="Verdana"/>
                <w:color w:val="000000"/>
                <w:sz w:val="16"/>
                <w:szCs w:val="20"/>
                <w:lang w:val="es-CO" w:eastAsia="es-CO"/>
              </w:rPr>
            </w:pPr>
            <w:r w:rsidRPr="0045435C">
              <w:rPr>
                <w:rFonts w:ascii="Verdana" w:eastAsia="Times New Roman" w:hAnsi="Verdana"/>
                <w:color w:val="000000"/>
                <w:sz w:val="16"/>
                <w:szCs w:val="20"/>
                <w:lang w:val="es-CO" w:eastAsia="es-CO"/>
              </w:rPr>
              <w:t>99%</w:t>
            </w:r>
          </w:p>
        </w:tc>
      </w:tr>
    </w:tbl>
    <w:p w:rsidR="00FF6F58" w:rsidRPr="00FF6F58" w:rsidRDefault="00FF6F58" w:rsidP="00015C71">
      <w:pPr>
        <w:autoSpaceDE w:val="0"/>
        <w:autoSpaceDN w:val="0"/>
        <w:adjustRightInd w:val="0"/>
        <w:spacing w:after="0" w:line="240" w:lineRule="auto"/>
        <w:jc w:val="both"/>
        <w:rPr>
          <w:rFonts w:cs="Arial"/>
        </w:rPr>
      </w:pPr>
    </w:p>
    <w:p w:rsidR="00015C71" w:rsidRPr="00EF73D7" w:rsidRDefault="00015C71" w:rsidP="00015C71">
      <w:pPr>
        <w:spacing w:after="0" w:line="240" w:lineRule="auto"/>
        <w:jc w:val="both"/>
        <w:rPr>
          <w:rFonts w:cs="Arial"/>
          <w:color w:val="0070C0"/>
        </w:rPr>
      </w:pPr>
    </w:p>
    <w:p w:rsidR="00015C71" w:rsidRDefault="00015C71" w:rsidP="00015C71">
      <w:pPr>
        <w:pStyle w:val="Default"/>
        <w:jc w:val="both"/>
        <w:rPr>
          <w:rFonts w:ascii="Arial" w:hAnsi="Arial" w:cs="Arial"/>
          <w:color w:val="FF0000"/>
          <w:sz w:val="20"/>
          <w:szCs w:val="20"/>
        </w:rPr>
      </w:pPr>
    </w:p>
    <w:p w:rsidR="0045435C" w:rsidRDefault="0045435C" w:rsidP="00015C71">
      <w:pPr>
        <w:pStyle w:val="Default"/>
        <w:jc w:val="both"/>
        <w:rPr>
          <w:rFonts w:ascii="Arial" w:hAnsi="Arial" w:cs="Arial"/>
          <w:color w:val="FF0000"/>
          <w:sz w:val="20"/>
          <w:szCs w:val="20"/>
        </w:rPr>
      </w:pPr>
    </w:p>
    <w:p w:rsidR="0045435C" w:rsidRDefault="0045435C"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p w:rsidR="002A0057" w:rsidRDefault="002A0057" w:rsidP="00015C71">
      <w:pPr>
        <w:pStyle w:val="Default"/>
        <w:jc w:val="both"/>
        <w:rPr>
          <w:rFonts w:ascii="Arial" w:hAnsi="Arial" w:cs="Arial"/>
          <w:color w:val="FF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0057" w:rsidTr="002A0057">
        <w:tc>
          <w:tcPr>
            <w:tcW w:w="4697" w:type="dxa"/>
          </w:tcPr>
          <w:p w:rsidR="002A0057" w:rsidRDefault="002A0057" w:rsidP="00015C71">
            <w:pPr>
              <w:pStyle w:val="Default"/>
              <w:jc w:val="both"/>
              <w:rPr>
                <w:rFonts w:ascii="Arial" w:hAnsi="Arial" w:cs="Arial"/>
                <w:color w:val="FF0000"/>
                <w:sz w:val="20"/>
                <w:szCs w:val="20"/>
              </w:rPr>
            </w:pPr>
            <w:r w:rsidRPr="00965CC3">
              <w:rPr>
                <w:noProof/>
                <w:color w:val="00B050"/>
              </w:rPr>
              <w:drawing>
                <wp:inline distT="0" distB="0" distL="0" distR="0" wp14:anchorId="233754D3" wp14:editId="1CBDF59A">
                  <wp:extent cx="2392680" cy="1744980"/>
                  <wp:effectExtent l="0" t="0" r="0"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tc>
        <w:tc>
          <w:tcPr>
            <w:tcW w:w="4698" w:type="dxa"/>
          </w:tcPr>
          <w:p w:rsidR="002A0057" w:rsidRDefault="002A0057" w:rsidP="00015C71">
            <w:pPr>
              <w:pStyle w:val="Default"/>
              <w:jc w:val="both"/>
              <w:rPr>
                <w:rFonts w:ascii="Arial" w:hAnsi="Arial" w:cs="Arial"/>
                <w:color w:val="FF0000"/>
                <w:sz w:val="20"/>
                <w:szCs w:val="20"/>
              </w:rPr>
            </w:pPr>
            <w:r w:rsidRPr="00EA58B9">
              <w:rPr>
                <w:noProof/>
                <w:color w:val="00B050"/>
                <w:shd w:val="clear" w:color="auto" w:fill="FFFFFF" w:themeFill="background1"/>
              </w:rPr>
              <w:drawing>
                <wp:inline distT="0" distB="0" distL="0" distR="0" wp14:anchorId="44E1925F" wp14:editId="2B971C2F">
                  <wp:extent cx="2383155" cy="1716405"/>
                  <wp:effectExtent l="0" t="0" r="0" b="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c>
      </w:tr>
      <w:tr w:rsidR="002A0057" w:rsidTr="002A0057">
        <w:tc>
          <w:tcPr>
            <w:tcW w:w="4697" w:type="dxa"/>
          </w:tcPr>
          <w:p w:rsidR="002A0057" w:rsidRPr="00965CC3" w:rsidRDefault="002A0057" w:rsidP="00015C71">
            <w:pPr>
              <w:pStyle w:val="Default"/>
              <w:jc w:val="both"/>
              <w:rPr>
                <w:noProof/>
                <w:color w:val="00B050"/>
              </w:rPr>
            </w:pPr>
          </w:p>
        </w:tc>
        <w:tc>
          <w:tcPr>
            <w:tcW w:w="4698" w:type="dxa"/>
          </w:tcPr>
          <w:p w:rsidR="002A0057" w:rsidRPr="00EA58B9" w:rsidRDefault="002A0057" w:rsidP="00015C71">
            <w:pPr>
              <w:pStyle w:val="Default"/>
              <w:jc w:val="both"/>
              <w:rPr>
                <w:noProof/>
                <w:color w:val="00B050"/>
                <w:shd w:val="clear" w:color="auto" w:fill="FFFFFF" w:themeFill="background1"/>
              </w:rPr>
            </w:pPr>
          </w:p>
        </w:tc>
      </w:tr>
    </w:tbl>
    <w:p w:rsidR="00015C71" w:rsidRPr="00FF6F58" w:rsidRDefault="00015C71" w:rsidP="00015C71">
      <w:pPr>
        <w:spacing w:after="0" w:line="240" w:lineRule="auto"/>
        <w:jc w:val="both"/>
        <w:rPr>
          <w:rFonts w:cs="Arial"/>
        </w:rPr>
      </w:pPr>
      <w:r w:rsidRPr="00FF6F58">
        <w:rPr>
          <w:rFonts w:cs="Arial"/>
        </w:rPr>
        <w:t xml:space="preserve">Para la vigencia 2016, la Contraloría General de la República dio apertura a la auditoría regular a la vigencia fiscal 2015 y entregó al ICBF el informe final donde hace un pronunciamiento sobre el fenecimiento de la cuenta y otorga un plazo para la presentación de un plan de mejoramiento. </w:t>
      </w:r>
    </w:p>
    <w:p w:rsidR="00015C71" w:rsidRPr="00FF6F58" w:rsidRDefault="00015C71" w:rsidP="00015C71">
      <w:pPr>
        <w:spacing w:after="0" w:line="240" w:lineRule="auto"/>
        <w:jc w:val="both"/>
        <w:rPr>
          <w:rFonts w:cs="Arial"/>
        </w:rPr>
      </w:pPr>
    </w:p>
    <w:p w:rsidR="00015C71" w:rsidRDefault="00015C71" w:rsidP="00015C71">
      <w:pPr>
        <w:spacing w:after="0" w:line="240" w:lineRule="auto"/>
        <w:jc w:val="both"/>
        <w:rPr>
          <w:rFonts w:cs="Arial"/>
        </w:rPr>
      </w:pPr>
      <w:r w:rsidRPr="00FF6F58">
        <w:rPr>
          <w:rFonts w:cs="Arial"/>
        </w:rPr>
        <w:t>En el desarrollo de la auditoría se establecieron 69 hallazgos, de los cuales dos tienen connotación fiscal por $27.7 millones, uno para indagación preliminar, 15 tienen presunto alcance disciplinario y dos con otras incidencias que serán trasladados por el ente de control al Archivo General de la Nación y a la Contaduría General de la Nación.</w:t>
      </w:r>
    </w:p>
    <w:p w:rsidR="001E4C56" w:rsidRDefault="001E4C56" w:rsidP="00015C71">
      <w:pPr>
        <w:spacing w:after="0" w:line="240" w:lineRule="auto"/>
        <w:jc w:val="both"/>
        <w:rPr>
          <w:rFonts w:cs="Arial"/>
        </w:rPr>
      </w:pPr>
    </w:p>
    <w:p w:rsidR="001E4C56" w:rsidRPr="00FF6F58" w:rsidRDefault="001E4C56" w:rsidP="00015C71">
      <w:pPr>
        <w:spacing w:after="0" w:line="240" w:lineRule="auto"/>
        <w:jc w:val="both"/>
        <w:rPr>
          <w:rFonts w:cs="Arial"/>
        </w:rPr>
      </w:pPr>
    </w:p>
    <w:p w:rsidR="00FF6F58" w:rsidRDefault="00FF6F58" w:rsidP="00015C71">
      <w:pPr>
        <w:pStyle w:val="Default"/>
        <w:jc w:val="both"/>
        <w:rPr>
          <w:rFonts w:ascii="Arial" w:hAnsi="Arial" w:cs="Arial"/>
          <w:color w:val="auto"/>
          <w:sz w:val="22"/>
          <w:szCs w:val="22"/>
        </w:rPr>
      </w:pPr>
    </w:p>
    <w:p w:rsidR="0045435C" w:rsidRDefault="0045435C" w:rsidP="0045435C">
      <w:pPr>
        <w:spacing w:after="0" w:line="240" w:lineRule="auto"/>
        <w:jc w:val="center"/>
        <w:rPr>
          <w:rFonts w:cs="Arial"/>
          <w:b/>
        </w:rPr>
      </w:pPr>
      <w:r w:rsidRPr="0045435C">
        <w:rPr>
          <w:rFonts w:cs="Arial"/>
          <w:b/>
        </w:rPr>
        <w:t xml:space="preserve">Matriz de Evaluación de Gestión y Resultados vigencia 2015 </w:t>
      </w:r>
      <w:r w:rsidR="002A0057">
        <w:rPr>
          <w:rFonts w:cs="Arial"/>
          <w:b/>
        </w:rPr>
        <w:t>–</w:t>
      </w:r>
      <w:r w:rsidRPr="0045435C">
        <w:rPr>
          <w:rFonts w:cs="Arial"/>
          <w:b/>
        </w:rPr>
        <w:t>ICBF</w:t>
      </w:r>
    </w:p>
    <w:p w:rsidR="002A0057" w:rsidRDefault="002A0057" w:rsidP="0045435C">
      <w:pPr>
        <w:spacing w:after="0" w:line="240" w:lineRule="auto"/>
        <w:jc w:val="center"/>
        <w:rPr>
          <w:rFonts w:cs="Arial"/>
          <w:b/>
        </w:rPr>
      </w:pPr>
    </w:p>
    <w:tbl>
      <w:tblPr>
        <w:tblpPr w:leftFromText="141" w:rightFromText="141" w:vertAnchor="text" w:horzAnchor="page" w:tblpXSpec="center" w:tblpY="24"/>
        <w:tblW w:w="9395"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821"/>
        <w:gridCol w:w="3285"/>
        <w:gridCol w:w="2242"/>
        <w:gridCol w:w="1588"/>
        <w:gridCol w:w="1459"/>
      </w:tblGrid>
      <w:tr w:rsidR="007861D1" w:rsidRPr="00B432C1" w:rsidTr="00B432C1">
        <w:trPr>
          <w:trHeight w:val="254"/>
        </w:trPr>
        <w:tc>
          <w:tcPr>
            <w:tcW w:w="821" w:type="dxa"/>
            <w:vMerge w:val="restart"/>
            <w:shd w:val="clear" w:color="auto" w:fill="76923C" w:themeFill="accent3" w:themeFillShade="BF"/>
            <w:textDirection w:val="btLr"/>
            <w:vAlign w:val="center"/>
          </w:tcPr>
          <w:p w:rsidR="007861D1" w:rsidRPr="00B432C1" w:rsidRDefault="007861D1" w:rsidP="007861D1">
            <w:pPr>
              <w:spacing w:after="0" w:line="240" w:lineRule="auto"/>
              <w:ind w:left="113" w:right="113"/>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EVALUACIÓN DE GESTIÓN Y RESULTADOS</w:t>
            </w:r>
          </w:p>
        </w:tc>
        <w:tc>
          <w:tcPr>
            <w:tcW w:w="3285" w:type="dxa"/>
            <w:shd w:val="clear" w:color="auto" w:fill="76923C" w:themeFill="accent3" w:themeFillShade="BF"/>
            <w:vAlign w:val="center"/>
            <w:hideMark/>
          </w:tcPr>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Componente</w:t>
            </w:r>
          </w:p>
        </w:tc>
        <w:tc>
          <w:tcPr>
            <w:tcW w:w="2242" w:type="dxa"/>
            <w:shd w:val="clear" w:color="auto" w:fill="76923C" w:themeFill="accent3" w:themeFillShade="BF"/>
            <w:vAlign w:val="center"/>
            <w:hideMark/>
          </w:tcPr>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Factores Mínimos</w:t>
            </w:r>
          </w:p>
        </w:tc>
        <w:tc>
          <w:tcPr>
            <w:tcW w:w="1588" w:type="dxa"/>
            <w:shd w:val="clear" w:color="auto" w:fill="76923C" w:themeFill="accent3" w:themeFillShade="BF"/>
          </w:tcPr>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Ponderación</w:t>
            </w:r>
          </w:p>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Subcomponente %</w:t>
            </w:r>
          </w:p>
        </w:tc>
        <w:tc>
          <w:tcPr>
            <w:tcW w:w="1459" w:type="dxa"/>
            <w:shd w:val="clear" w:color="auto" w:fill="76923C" w:themeFill="accent3" w:themeFillShade="BF"/>
          </w:tcPr>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Calificación</w:t>
            </w:r>
          </w:p>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Equipo Auditor</w:t>
            </w:r>
          </w:p>
          <w:p w:rsidR="007861D1" w:rsidRPr="00B432C1" w:rsidRDefault="007861D1" w:rsidP="00EF5280">
            <w:pPr>
              <w:spacing w:after="0" w:line="240" w:lineRule="auto"/>
              <w:jc w:val="center"/>
              <w:rPr>
                <w:rFonts w:eastAsia="Times New Roman" w:cs="Arial"/>
                <w:b/>
                <w:bCs/>
                <w:color w:val="FFFFFF" w:themeColor="background1"/>
                <w:sz w:val="18"/>
                <w:szCs w:val="18"/>
                <w:lang w:val="es-CO" w:eastAsia="es-CO"/>
              </w:rPr>
            </w:pPr>
            <w:r w:rsidRPr="00B432C1">
              <w:rPr>
                <w:rFonts w:eastAsia="Times New Roman" w:cs="Arial"/>
                <w:b/>
                <w:bCs/>
                <w:color w:val="FFFFFF" w:themeColor="background1"/>
                <w:sz w:val="18"/>
                <w:szCs w:val="18"/>
                <w:lang w:val="es-CO" w:eastAsia="es-CO"/>
              </w:rPr>
              <w:t>2015</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val="restart"/>
            <w:shd w:val="clear" w:color="000000" w:fill="FDFDFD"/>
            <w:vAlign w:val="center"/>
            <w:hideMark/>
          </w:tcPr>
          <w:p w:rsidR="007861D1" w:rsidRPr="00B432C1" w:rsidRDefault="007861D1" w:rsidP="00EF528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Control de Gestión 20%</w:t>
            </w:r>
          </w:p>
        </w:tc>
        <w:tc>
          <w:tcPr>
            <w:tcW w:w="2242" w:type="dxa"/>
            <w:shd w:val="clear" w:color="000000" w:fill="FDFDFD"/>
            <w:hideMark/>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Procesos Administrativos</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15%</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78.9</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shd w:val="clear" w:color="000000" w:fill="FDFDFD"/>
            <w:vAlign w:val="center"/>
            <w:hideMark/>
          </w:tcPr>
          <w:p w:rsidR="007861D1" w:rsidRPr="00B432C1" w:rsidRDefault="007861D1" w:rsidP="00EF5280">
            <w:pPr>
              <w:spacing w:after="0" w:line="240" w:lineRule="auto"/>
              <w:rPr>
                <w:rFonts w:eastAsia="Times New Roman" w:cs="Arial"/>
                <w:color w:val="000000"/>
                <w:sz w:val="18"/>
                <w:szCs w:val="18"/>
                <w:lang w:val="es-CO" w:eastAsia="es-CO"/>
              </w:rPr>
            </w:pPr>
          </w:p>
        </w:tc>
        <w:tc>
          <w:tcPr>
            <w:tcW w:w="2242" w:type="dxa"/>
            <w:shd w:val="clear" w:color="000000" w:fill="FDFDFD"/>
            <w:hideMark/>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Indicadores</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25%</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80.3</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shd w:val="clear" w:color="000000" w:fill="FDFDFD"/>
            <w:vAlign w:val="center"/>
            <w:hideMark/>
          </w:tcPr>
          <w:p w:rsidR="007861D1" w:rsidRPr="00B432C1" w:rsidRDefault="007861D1" w:rsidP="00EF5280">
            <w:pPr>
              <w:spacing w:after="0" w:line="240" w:lineRule="auto"/>
              <w:rPr>
                <w:rFonts w:eastAsia="Times New Roman" w:cs="Arial"/>
                <w:color w:val="000000"/>
                <w:sz w:val="18"/>
                <w:szCs w:val="18"/>
                <w:lang w:val="es-CO" w:eastAsia="es-CO"/>
              </w:rPr>
            </w:pPr>
          </w:p>
        </w:tc>
        <w:tc>
          <w:tcPr>
            <w:tcW w:w="2242" w:type="dxa"/>
            <w:shd w:val="clear" w:color="000000" w:fill="FDFDFD"/>
            <w:hideMark/>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Gestión Presupuestal y Contractual</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35%</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79.6</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shd w:val="clear" w:color="000000" w:fill="FDFDFD"/>
            <w:vAlign w:val="center"/>
            <w:hideMark/>
          </w:tcPr>
          <w:p w:rsidR="007861D1" w:rsidRPr="00B432C1" w:rsidRDefault="007861D1" w:rsidP="00CD7160">
            <w:pPr>
              <w:spacing w:after="0" w:line="240" w:lineRule="auto"/>
              <w:rPr>
                <w:rFonts w:eastAsia="Times New Roman" w:cs="Arial"/>
                <w:color w:val="000000"/>
                <w:sz w:val="18"/>
                <w:szCs w:val="18"/>
                <w:lang w:val="es-CO" w:eastAsia="es-CO"/>
              </w:rPr>
            </w:pPr>
          </w:p>
        </w:tc>
        <w:tc>
          <w:tcPr>
            <w:tcW w:w="2242" w:type="dxa"/>
            <w:shd w:val="clear" w:color="000000" w:fill="FDFDFD"/>
            <w:hideMark/>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Prestación del Bien o Servicio</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25%</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77.2</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shd w:val="clear" w:color="000000" w:fill="FDFDFD"/>
            <w:vAlign w:val="center"/>
          </w:tcPr>
          <w:p w:rsidR="007861D1" w:rsidRPr="00B432C1" w:rsidRDefault="007861D1" w:rsidP="00CD7160">
            <w:pPr>
              <w:spacing w:after="0" w:line="240" w:lineRule="auto"/>
              <w:rPr>
                <w:rFonts w:eastAsia="Times New Roman" w:cs="Arial"/>
                <w:b/>
                <w:color w:val="000000"/>
                <w:sz w:val="18"/>
                <w:szCs w:val="18"/>
                <w:lang w:val="es-CO" w:eastAsia="es-CO"/>
              </w:rPr>
            </w:pPr>
            <w:r w:rsidRPr="00B432C1">
              <w:rPr>
                <w:rFonts w:eastAsia="Times New Roman" w:cs="Arial"/>
                <w:b/>
                <w:color w:val="000000"/>
                <w:sz w:val="18"/>
                <w:szCs w:val="18"/>
                <w:lang w:val="es-CO" w:eastAsia="es-CO"/>
              </w:rPr>
              <w:t>CALIFICACIÓN COMPONENTE CONTROL DE GESTIÓN</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78.95</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val="restart"/>
            <w:shd w:val="clear" w:color="000000" w:fill="FDFDFD"/>
            <w:vAlign w:val="center"/>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Control de Resultados 30%</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Objetivos Misionales</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50%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78.1</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vMerge/>
            <w:shd w:val="clear" w:color="000000" w:fill="FDFDFD"/>
            <w:vAlign w:val="center"/>
          </w:tcPr>
          <w:p w:rsidR="007861D1" w:rsidRPr="00B432C1" w:rsidRDefault="007861D1" w:rsidP="00CD7160">
            <w:pPr>
              <w:spacing w:after="0" w:line="240" w:lineRule="auto"/>
              <w:rPr>
                <w:rFonts w:eastAsia="Times New Roman" w:cs="Arial"/>
                <w:color w:val="000000"/>
                <w:sz w:val="18"/>
                <w:szCs w:val="18"/>
                <w:lang w:val="es-CO" w:eastAsia="es-CO"/>
              </w:rPr>
            </w:pP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Cumplimiento e impacto de Políticas Públicas, Planes, Programas y Proyectos</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50%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79.3</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5527" w:type="dxa"/>
            <w:gridSpan w:val="2"/>
            <w:shd w:val="clear" w:color="000000" w:fill="FDFDFD"/>
            <w:vAlign w:val="center"/>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b/>
                <w:color w:val="000000"/>
                <w:sz w:val="18"/>
                <w:szCs w:val="18"/>
                <w:lang w:val="es-CO" w:eastAsia="es-CO"/>
              </w:rPr>
              <w:t>CALIFICACIÓN COMPONENTE CONTROL DE RESULTADOS</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78.71</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shd w:val="clear" w:color="000000" w:fill="FDFDFD"/>
            <w:vAlign w:val="center"/>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Control de Legalidad 10%</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Cumplimiento de normatividad aplicable al ente o asunto auditado</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80.2</w:t>
            </w:r>
          </w:p>
        </w:tc>
      </w:tr>
      <w:tr w:rsidR="007861D1" w:rsidRPr="00B432C1" w:rsidTr="00B432C1">
        <w:trPr>
          <w:trHeight w:val="254"/>
        </w:trPr>
        <w:tc>
          <w:tcPr>
            <w:tcW w:w="821" w:type="dxa"/>
            <w:vMerge/>
            <w:shd w:val="clear" w:color="auto" w:fill="76923C" w:themeFill="accent3" w:themeFillShade="BF"/>
            <w:vAlign w:val="center"/>
          </w:tcPr>
          <w:p w:rsidR="007861D1" w:rsidRPr="00B432C1" w:rsidRDefault="007861D1" w:rsidP="00EF5280">
            <w:pPr>
              <w:spacing w:after="0" w:line="240" w:lineRule="auto"/>
              <w:rPr>
                <w:rFonts w:eastAsia="Times New Roman" w:cs="Arial"/>
                <w:color w:val="000000"/>
                <w:sz w:val="18"/>
                <w:szCs w:val="18"/>
                <w:lang w:val="es-CO" w:eastAsia="es-CO"/>
              </w:rPr>
            </w:pPr>
          </w:p>
        </w:tc>
        <w:tc>
          <w:tcPr>
            <w:tcW w:w="5527" w:type="dxa"/>
            <w:gridSpan w:val="2"/>
            <w:shd w:val="clear" w:color="000000" w:fill="FDFDFD"/>
            <w:vAlign w:val="center"/>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b/>
                <w:color w:val="000000"/>
                <w:sz w:val="18"/>
                <w:szCs w:val="18"/>
                <w:lang w:val="es-CO" w:eastAsia="es-CO"/>
              </w:rPr>
              <w:t>CALIFICACIÓN COMPONENTE LEGALIDAD</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78.71</w:t>
            </w:r>
          </w:p>
        </w:tc>
      </w:tr>
      <w:tr w:rsidR="007861D1" w:rsidRPr="00B432C1" w:rsidTr="00B432C1">
        <w:trPr>
          <w:trHeight w:val="254"/>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Control Financiero 30%</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Razonabilidad o Evaluación Financiera</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90</w:t>
            </w:r>
          </w:p>
        </w:tc>
      </w:tr>
      <w:tr w:rsidR="007861D1" w:rsidRPr="00B432C1" w:rsidTr="00B432C1">
        <w:trPr>
          <w:trHeight w:val="254"/>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Evaluación del Control Interno 10%</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Calidad y Confianza</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70.3</w:t>
            </w:r>
          </w:p>
        </w:tc>
      </w:tr>
      <w:tr w:rsidR="007861D1" w:rsidRPr="00B432C1" w:rsidTr="00B432C1">
        <w:trPr>
          <w:trHeight w:val="254"/>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5527" w:type="dxa"/>
            <w:gridSpan w:val="2"/>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b/>
                <w:color w:val="000000"/>
                <w:sz w:val="18"/>
                <w:szCs w:val="18"/>
                <w:lang w:val="es-CO" w:eastAsia="es-CO"/>
              </w:rPr>
              <w:t>CALIFICACIÓN COMPONENTE FINANCIERO</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90</w:t>
            </w:r>
          </w:p>
        </w:tc>
      </w:tr>
      <w:tr w:rsidR="007861D1" w:rsidRPr="00B432C1" w:rsidTr="00B432C1">
        <w:trPr>
          <w:trHeight w:val="254"/>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3285" w:type="dxa"/>
            <w:shd w:val="clear" w:color="000000" w:fill="FDFDFD"/>
          </w:tcPr>
          <w:p w:rsidR="007861D1" w:rsidRPr="00B432C1" w:rsidRDefault="007861D1" w:rsidP="00CD7160">
            <w:pPr>
              <w:spacing w:after="0" w:line="240" w:lineRule="auto"/>
              <w:rPr>
                <w:rFonts w:eastAsia="Times New Roman" w:cs="Arial"/>
                <w:b/>
                <w:color w:val="000000"/>
                <w:sz w:val="18"/>
                <w:szCs w:val="18"/>
                <w:lang w:val="es-CO" w:eastAsia="es-CO"/>
              </w:rPr>
            </w:pPr>
            <w:r w:rsidRPr="00B432C1">
              <w:rPr>
                <w:rFonts w:eastAsia="Times New Roman" w:cs="Arial"/>
                <w:b/>
                <w:color w:val="000000"/>
                <w:sz w:val="18"/>
                <w:szCs w:val="18"/>
                <w:lang w:val="es-CO" w:eastAsia="es-CO"/>
              </w:rPr>
              <w:t>Evaluación del Control Interno 10%</w:t>
            </w:r>
          </w:p>
        </w:tc>
        <w:tc>
          <w:tcPr>
            <w:tcW w:w="2242" w:type="dxa"/>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color w:val="000000"/>
                <w:sz w:val="18"/>
                <w:szCs w:val="18"/>
                <w:lang w:val="es-CO" w:eastAsia="es-CO"/>
              </w:rPr>
              <w:t>Calidad y Confianza</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70.3</w:t>
            </w:r>
          </w:p>
        </w:tc>
      </w:tr>
      <w:tr w:rsidR="007861D1" w:rsidRPr="00B432C1" w:rsidTr="00B432C1">
        <w:trPr>
          <w:trHeight w:val="254"/>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5527" w:type="dxa"/>
            <w:gridSpan w:val="2"/>
            <w:shd w:val="clear" w:color="000000" w:fill="FDFDFD"/>
          </w:tcPr>
          <w:p w:rsidR="007861D1" w:rsidRPr="00B432C1" w:rsidRDefault="007861D1" w:rsidP="00CD7160">
            <w:pPr>
              <w:spacing w:after="0" w:line="240" w:lineRule="auto"/>
              <w:rPr>
                <w:rFonts w:eastAsia="Times New Roman" w:cs="Arial"/>
                <w:color w:val="000000"/>
                <w:sz w:val="18"/>
                <w:szCs w:val="18"/>
                <w:lang w:val="es-CO" w:eastAsia="es-CO"/>
              </w:rPr>
            </w:pPr>
            <w:r w:rsidRPr="00B432C1">
              <w:rPr>
                <w:rFonts w:eastAsia="Times New Roman" w:cs="Arial"/>
                <w:b/>
                <w:color w:val="000000"/>
                <w:sz w:val="18"/>
                <w:szCs w:val="18"/>
                <w:lang w:val="es-CO" w:eastAsia="es-CO"/>
              </w:rPr>
              <w:t>CALIFICACIÓN COMPONENTE SISTEMA DE CONTROL INTERNO</w:t>
            </w:r>
          </w:p>
        </w:tc>
        <w:tc>
          <w:tcPr>
            <w:tcW w:w="1588"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100%</w:t>
            </w:r>
          </w:p>
        </w:tc>
        <w:tc>
          <w:tcPr>
            <w:tcW w:w="1459" w:type="dxa"/>
            <w:shd w:val="clear" w:color="000000" w:fill="FDFDFD"/>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70.3</w:t>
            </w:r>
          </w:p>
        </w:tc>
      </w:tr>
      <w:tr w:rsidR="007861D1" w:rsidRPr="00B432C1" w:rsidTr="00B432C1">
        <w:trPr>
          <w:trHeight w:val="387"/>
        </w:trPr>
        <w:tc>
          <w:tcPr>
            <w:tcW w:w="821" w:type="dxa"/>
            <w:vMerge/>
            <w:shd w:val="clear" w:color="auto" w:fill="76923C" w:themeFill="accent3" w:themeFillShade="BF"/>
          </w:tcPr>
          <w:p w:rsidR="007861D1" w:rsidRPr="00B432C1" w:rsidRDefault="007861D1" w:rsidP="00EF5280">
            <w:pPr>
              <w:spacing w:after="0" w:line="240" w:lineRule="auto"/>
              <w:rPr>
                <w:rFonts w:eastAsia="Times New Roman" w:cs="Arial"/>
                <w:color w:val="000000"/>
                <w:sz w:val="18"/>
                <w:szCs w:val="18"/>
                <w:lang w:val="es-CO" w:eastAsia="es-CO"/>
              </w:rPr>
            </w:pPr>
          </w:p>
        </w:tc>
        <w:tc>
          <w:tcPr>
            <w:tcW w:w="7115" w:type="dxa"/>
            <w:gridSpan w:val="3"/>
            <w:shd w:val="clear" w:color="auto" w:fill="E2EFDA"/>
            <w:vAlign w:val="center"/>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b/>
                <w:color w:val="000000"/>
                <w:sz w:val="18"/>
                <w:szCs w:val="18"/>
                <w:lang w:val="es-CO" w:eastAsia="es-CO"/>
              </w:rPr>
              <w:t>CALIFICACIÓN FINAL DE LA GESTIÓN Y RESULTADOS PONDERADA</w:t>
            </w:r>
          </w:p>
        </w:tc>
        <w:tc>
          <w:tcPr>
            <w:tcW w:w="1459" w:type="dxa"/>
            <w:shd w:val="clear" w:color="auto" w:fill="E2EFDA"/>
            <w:vAlign w:val="center"/>
          </w:tcPr>
          <w:p w:rsidR="007861D1" w:rsidRPr="00B432C1" w:rsidRDefault="007861D1" w:rsidP="00EF5280">
            <w:pPr>
              <w:spacing w:after="0" w:line="240" w:lineRule="auto"/>
              <w:jc w:val="center"/>
              <w:rPr>
                <w:rFonts w:eastAsia="Times New Roman" w:cs="Arial"/>
                <w:color w:val="000000"/>
                <w:sz w:val="18"/>
                <w:szCs w:val="18"/>
                <w:lang w:val="es-CO" w:eastAsia="es-CO"/>
              </w:rPr>
            </w:pPr>
            <w:r w:rsidRPr="00B432C1">
              <w:rPr>
                <w:rFonts w:eastAsia="Times New Roman" w:cs="Arial"/>
                <w:color w:val="000000"/>
                <w:sz w:val="18"/>
                <w:szCs w:val="18"/>
                <w:lang w:val="es-CO" w:eastAsia="es-CO"/>
              </w:rPr>
              <w:t>81.46</w:t>
            </w:r>
          </w:p>
        </w:tc>
      </w:tr>
    </w:tbl>
    <w:p w:rsidR="0045435C" w:rsidRPr="00B432C1" w:rsidRDefault="0045435C" w:rsidP="0045435C">
      <w:pPr>
        <w:spacing w:after="0" w:line="240" w:lineRule="auto"/>
        <w:jc w:val="both"/>
        <w:rPr>
          <w:rFonts w:cs="Arial"/>
          <w:sz w:val="16"/>
          <w:szCs w:val="16"/>
        </w:rPr>
      </w:pPr>
      <w:r w:rsidRPr="00B432C1">
        <w:rPr>
          <w:rFonts w:cs="Arial"/>
          <w:b/>
          <w:sz w:val="16"/>
          <w:szCs w:val="16"/>
        </w:rPr>
        <w:t xml:space="preserve"> Fuente:</w:t>
      </w:r>
      <w:r w:rsidRPr="00B432C1">
        <w:rPr>
          <w:rFonts w:cs="Arial"/>
          <w:sz w:val="16"/>
          <w:szCs w:val="16"/>
        </w:rPr>
        <w:t xml:space="preserve"> Informe de Auditoria Regular vigencia fiscal 2015- CGR</w:t>
      </w:r>
    </w:p>
    <w:p w:rsidR="0045435C" w:rsidRPr="0045435C" w:rsidRDefault="0045435C" w:rsidP="0045435C">
      <w:pPr>
        <w:spacing w:after="0" w:line="240" w:lineRule="auto"/>
        <w:jc w:val="center"/>
        <w:rPr>
          <w:rFonts w:cs="Arial"/>
          <w:color w:val="0070C0"/>
        </w:rPr>
      </w:pPr>
    </w:p>
    <w:p w:rsidR="00B82210" w:rsidRPr="00B82210" w:rsidRDefault="00B82210" w:rsidP="00B82210">
      <w:pPr>
        <w:spacing w:after="0" w:line="240" w:lineRule="auto"/>
        <w:jc w:val="both"/>
        <w:rPr>
          <w:rFonts w:cs="Arial"/>
          <w:b/>
        </w:rPr>
      </w:pPr>
      <w:r w:rsidRPr="00B82210">
        <w:rPr>
          <w:rFonts w:cs="Arial"/>
        </w:rPr>
        <w:t xml:space="preserve">Con base en la calificación de los componentes obtenida en la evaluación de la Gestión y Resultados, el ente de control </w:t>
      </w:r>
      <w:r w:rsidRPr="00B82210">
        <w:rPr>
          <w:rFonts w:cs="Arial"/>
          <w:b/>
        </w:rPr>
        <w:t xml:space="preserve">FENECE </w:t>
      </w:r>
      <w:r w:rsidRPr="00B82210">
        <w:rPr>
          <w:rFonts w:cs="Arial"/>
        </w:rPr>
        <w:t xml:space="preserve">la cuenta de la entidad por la vigencia fiscal 2015 y la calificación final consolidada de gestión y resultados del ICBF queda en </w:t>
      </w:r>
      <w:r w:rsidRPr="00B82210">
        <w:rPr>
          <w:rFonts w:cs="Arial"/>
          <w:b/>
        </w:rPr>
        <w:t xml:space="preserve">81,46, </w:t>
      </w:r>
      <w:r w:rsidRPr="00B82210">
        <w:rPr>
          <w:rFonts w:cs="Arial"/>
        </w:rPr>
        <w:t xml:space="preserve">puntaje que la ubica en el rango </w:t>
      </w:r>
      <w:r w:rsidRPr="00B82210">
        <w:rPr>
          <w:rFonts w:cs="Arial"/>
          <w:b/>
        </w:rPr>
        <w:t>FAVORABLE.</w:t>
      </w:r>
    </w:p>
    <w:p w:rsidR="00B82210" w:rsidRPr="00B82210" w:rsidRDefault="00B82210" w:rsidP="00B82210">
      <w:pPr>
        <w:spacing w:after="0" w:line="240" w:lineRule="auto"/>
        <w:jc w:val="both"/>
        <w:rPr>
          <w:rFonts w:cs="Arial"/>
        </w:rPr>
      </w:pPr>
    </w:p>
    <w:p w:rsidR="00B82210" w:rsidRDefault="00B82210" w:rsidP="00B82210">
      <w:pPr>
        <w:spacing w:after="0" w:line="240" w:lineRule="auto"/>
        <w:jc w:val="both"/>
        <w:rPr>
          <w:rFonts w:cs="Arial"/>
        </w:rPr>
      </w:pPr>
      <w:r w:rsidRPr="00B82210">
        <w:rPr>
          <w:rFonts w:cs="Arial"/>
        </w:rPr>
        <w:t xml:space="preserve">En desarrollo de la auditoría se establecieron 69 hallazgos, de los cuales dos tienen connotación fiscal por $27.7 millones, uno para indagación preliminar, 15 tienen presunto alcance disciplinario y dos con otras incidencias que serán trasladados por el ente de control al Archivo General de la Nación y a la Contaduría General de la Nación, para lo de su competencia. Frente al informe la entidad formuló plan de mejoramiento. A continuación se relacionan los hallazgos con su connotación respectiva: </w:t>
      </w:r>
    </w:p>
    <w:p w:rsidR="00B82210" w:rsidRPr="00B82210" w:rsidRDefault="00B82210" w:rsidP="00B82210">
      <w:pPr>
        <w:spacing w:after="0" w:line="240" w:lineRule="auto"/>
        <w:rPr>
          <w:rFonts w:cs="Arial"/>
          <w:color w:val="FF0000"/>
        </w:rPr>
      </w:pPr>
    </w:p>
    <w:p w:rsidR="00B82210" w:rsidRDefault="00B82210" w:rsidP="00B82210">
      <w:pPr>
        <w:spacing w:after="0" w:line="240" w:lineRule="auto"/>
        <w:jc w:val="center"/>
        <w:rPr>
          <w:rFonts w:cs="Arial"/>
          <w:b/>
        </w:rPr>
      </w:pPr>
      <w:r w:rsidRPr="00B82210">
        <w:rPr>
          <w:rFonts w:cs="Arial"/>
          <w:b/>
        </w:rPr>
        <w:t>Tabla. Mat</w:t>
      </w:r>
      <w:r w:rsidR="00AA55E0">
        <w:rPr>
          <w:rFonts w:cs="Arial"/>
          <w:b/>
        </w:rPr>
        <w:t>riz de Hallazgos con Incidencia</w:t>
      </w:r>
    </w:p>
    <w:tbl>
      <w:tblPr>
        <w:tblStyle w:val="Tablaconcuadrcula1"/>
        <w:tblW w:w="9497"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992"/>
        <w:gridCol w:w="2450"/>
        <w:gridCol w:w="523"/>
        <w:gridCol w:w="438"/>
        <w:gridCol w:w="1417"/>
        <w:gridCol w:w="549"/>
        <w:gridCol w:w="444"/>
        <w:gridCol w:w="567"/>
        <w:gridCol w:w="842"/>
        <w:gridCol w:w="708"/>
        <w:gridCol w:w="567"/>
      </w:tblGrid>
      <w:tr w:rsidR="00901F64" w:rsidRPr="00074C6D" w:rsidTr="008D4EBD">
        <w:trPr>
          <w:trHeight w:val="20"/>
          <w:tblHeader/>
          <w:jc w:val="center"/>
        </w:trPr>
        <w:tc>
          <w:tcPr>
            <w:tcW w:w="992" w:type="dxa"/>
            <w:vMerge w:val="restart"/>
            <w:shd w:val="clear" w:color="auto" w:fill="76923C" w:themeFill="accent3" w:themeFillShade="BF"/>
            <w:vAlign w:val="center"/>
          </w:tcPr>
          <w:p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Hallazgo</w:t>
            </w:r>
          </w:p>
        </w:tc>
        <w:tc>
          <w:tcPr>
            <w:tcW w:w="2450" w:type="dxa"/>
            <w:vMerge w:val="restart"/>
            <w:shd w:val="clear" w:color="auto" w:fill="76923C" w:themeFill="accent3" w:themeFillShade="BF"/>
            <w:vAlign w:val="center"/>
          </w:tcPr>
          <w:p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Título</w:t>
            </w:r>
          </w:p>
        </w:tc>
        <w:tc>
          <w:tcPr>
            <w:tcW w:w="6055" w:type="dxa"/>
            <w:gridSpan w:val="9"/>
            <w:shd w:val="clear" w:color="auto" w:fill="76923C" w:themeFill="accent3" w:themeFillShade="BF"/>
            <w:vAlign w:val="center"/>
          </w:tcPr>
          <w:p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r w:rsidRPr="00EC2216">
              <w:rPr>
                <w:rFonts w:eastAsia="Times New Roman" w:cs="Arial"/>
                <w:b/>
                <w:bCs/>
                <w:color w:val="FFFFFF" w:themeColor="background1"/>
                <w:sz w:val="14"/>
                <w:szCs w:val="18"/>
                <w:lang w:val="es-CO" w:eastAsia="es-CO"/>
              </w:rPr>
              <w:t>Incidencia</w:t>
            </w:r>
          </w:p>
        </w:tc>
      </w:tr>
      <w:tr w:rsidR="00901F64" w:rsidRPr="00074C6D" w:rsidTr="008D4EBD">
        <w:trPr>
          <w:trHeight w:val="20"/>
          <w:tblHeader/>
          <w:jc w:val="center"/>
        </w:trPr>
        <w:tc>
          <w:tcPr>
            <w:tcW w:w="992" w:type="dxa"/>
            <w:vMerge/>
            <w:shd w:val="clear" w:color="auto" w:fill="76923C" w:themeFill="accent3" w:themeFillShade="BF"/>
            <w:vAlign w:val="center"/>
          </w:tcPr>
          <w:p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p>
        </w:tc>
        <w:tc>
          <w:tcPr>
            <w:tcW w:w="2450" w:type="dxa"/>
            <w:vMerge/>
            <w:shd w:val="clear" w:color="auto" w:fill="76923C" w:themeFill="accent3" w:themeFillShade="BF"/>
            <w:vAlign w:val="center"/>
          </w:tcPr>
          <w:p w:rsidR="00901F64" w:rsidRPr="00EC2216" w:rsidRDefault="00901F64" w:rsidP="00B524DF">
            <w:pPr>
              <w:spacing w:after="0" w:line="240" w:lineRule="auto"/>
              <w:jc w:val="center"/>
              <w:rPr>
                <w:rFonts w:eastAsia="Times New Roman" w:cs="Arial"/>
                <w:b/>
                <w:bCs/>
                <w:color w:val="FFFFFF" w:themeColor="background1"/>
                <w:sz w:val="14"/>
                <w:szCs w:val="18"/>
                <w:lang w:val="es-CO" w:eastAsia="es-CO"/>
              </w:rPr>
            </w:pPr>
          </w:p>
        </w:tc>
        <w:tc>
          <w:tcPr>
            <w:tcW w:w="523" w:type="dxa"/>
            <w:shd w:val="clear" w:color="auto" w:fill="76923C" w:themeFill="accent3" w:themeFillShade="BF"/>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A</w:t>
            </w:r>
            <w:r w:rsidRPr="00AA55E0">
              <w:rPr>
                <w:rFonts w:ascii="Calibri" w:eastAsia="Times New Roman" w:hAnsi="Calibri" w:cs="Arial"/>
                <w:b/>
                <w:bCs/>
                <w:color w:val="FFFFFF" w:themeColor="background1"/>
                <w:sz w:val="14"/>
                <w:szCs w:val="18"/>
                <w:lang w:val="es-CO" w:eastAsia="es-CO"/>
              </w:rPr>
              <w:t>*</w:t>
            </w:r>
          </w:p>
        </w:tc>
        <w:tc>
          <w:tcPr>
            <w:tcW w:w="438" w:type="dxa"/>
            <w:shd w:val="clear" w:color="auto" w:fill="76923C" w:themeFill="accent3" w:themeFillShade="BF"/>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F</w:t>
            </w:r>
            <w:r w:rsidRPr="00AA55E0">
              <w:rPr>
                <w:rFonts w:ascii="Calibri" w:eastAsia="Times New Roman" w:hAnsi="Calibri" w:cs="Arial"/>
                <w:b/>
                <w:bCs/>
                <w:color w:val="FFFFFF" w:themeColor="background1"/>
                <w:sz w:val="14"/>
                <w:szCs w:val="18"/>
                <w:lang w:val="es-CO" w:eastAsia="es-CO"/>
              </w:rPr>
              <w:t>*</w:t>
            </w:r>
          </w:p>
        </w:tc>
        <w:tc>
          <w:tcPr>
            <w:tcW w:w="1417" w:type="dxa"/>
            <w:shd w:val="clear" w:color="auto" w:fill="76923C" w:themeFill="accent3" w:themeFillShade="BF"/>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Cuantía en millones de $</w:t>
            </w:r>
          </w:p>
        </w:tc>
        <w:tc>
          <w:tcPr>
            <w:tcW w:w="549"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IP</w:t>
            </w:r>
            <w:r w:rsidRPr="00AA55E0">
              <w:rPr>
                <w:rFonts w:ascii="Calibri" w:eastAsia="Times New Roman" w:hAnsi="Calibri" w:cs="Arial"/>
                <w:b/>
                <w:bCs/>
                <w:color w:val="FFFFFF" w:themeColor="background1"/>
                <w:sz w:val="14"/>
                <w:szCs w:val="18"/>
                <w:lang w:val="es-CO" w:eastAsia="es-CO"/>
              </w:rPr>
              <w:t>*</w:t>
            </w:r>
          </w:p>
        </w:tc>
        <w:tc>
          <w:tcPr>
            <w:tcW w:w="444"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D</w:t>
            </w:r>
            <w:r w:rsidRPr="00AA55E0">
              <w:rPr>
                <w:rFonts w:ascii="Calibri" w:eastAsia="Times New Roman" w:hAnsi="Calibri" w:cs="Arial"/>
                <w:b/>
                <w:bCs/>
                <w:color w:val="FFFFFF" w:themeColor="background1"/>
                <w:sz w:val="14"/>
                <w:szCs w:val="18"/>
                <w:lang w:val="es-CO" w:eastAsia="es-CO"/>
              </w:rPr>
              <w:t>*</w:t>
            </w:r>
          </w:p>
        </w:tc>
        <w:tc>
          <w:tcPr>
            <w:tcW w:w="567"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P</w:t>
            </w:r>
            <w:r w:rsidRPr="00AA55E0">
              <w:rPr>
                <w:rFonts w:ascii="Calibri" w:eastAsia="Times New Roman" w:hAnsi="Calibri" w:cs="Arial"/>
                <w:b/>
                <w:bCs/>
                <w:color w:val="FFFFFF" w:themeColor="background1"/>
                <w:sz w:val="14"/>
                <w:szCs w:val="18"/>
                <w:lang w:val="es-CO" w:eastAsia="es-CO"/>
              </w:rPr>
              <w:t>*</w:t>
            </w:r>
          </w:p>
        </w:tc>
        <w:tc>
          <w:tcPr>
            <w:tcW w:w="842"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OI</w:t>
            </w:r>
            <w:r w:rsidRPr="00AA55E0">
              <w:rPr>
                <w:rFonts w:ascii="Calibri" w:eastAsia="Times New Roman" w:hAnsi="Calibri" w:cs="Arial"/>
                <w:b/>
                <w:bCs/>
                <w:color w:val="FFFFFF" w:themeColor="background1"/>
                <w:sz w:val="14"/>
                <w:szCs w:val="18"/>
                <w:lang w:val="es-CO" w:eastAsia="es-CO"/>
              </w:rPr>
              <w:t>*</w:t>
            </w:r>
          </w:p>
        </w:tc>
        <w:tc>
          <w:tcPr>
            <w:tcW w:w="708"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PAS</w:t>
            </w:r>
            <w:r w:rsidRPr="00AA55E0">
              <w:rPr>
                <w:rFonts w:ascii="Calibri" w:eastAsia="Times New Roman" w:hAnsi="Calibri" w:cs="Arial"/>
                <w:b/>
                <w:bCs/>
                <w:color w:val="FFFFFF" w:themeColor="background1"/>
                <w:sz w:val="14"/>
                <w:szCs w:val="18"/>
                <w:lang w:val="es-CO" w:eastAsia="es-CO"/>
              </w:rPr>
              <w:t>*</w:t>
            </w:r>
          </w:p>
        </w:tc>
        <w:tc>
          <w:tcPr>
            <w:tcW w:w="567" w:type="dxa"/>
            <w:shd w:val="clear" w:color="auto" w:fill="76923C" w:themeFill="accent3" w:themeFillShade="BF"/>
            <w:noWrap/>
            <w:vAlign w:val="center"/>
            <w:hideMark/>
          </w:tcPr>
          <w:p w:rsidR="00901F64" w:rsidRPr="00AA55E0" w:rsidRDefault="00901F64" w:rsidP="00B524DF">
            <w:pPr>
              <w:spacing w:after="0" w:line="240" w:lineRule="auto"/>
              <w:jc w:val="center"/>
              <w:rPr>
                <w:rFonts w:eastAsia="Times New Roman" w:cs="Arial"/>
                <w:b/>
                <w:bCs/>
                <w:color w:val="FFFFFF" w:themeColor="background1"/>
                <w:sz w:val="14"/>
                <w:szCs w:val="18"/>
                <w:lang w:val="es-CO" w:eastAsia="es-CO"/>
              </w:rPr>
            </w:pPr>
            <w:r w:rsidRPr="00AA55E0">
              <w:rPr>
                <w:rFonts w:eastAsia="Times New Roman" w:cs="Arial"/>
                <w:b/>
                <w:bCs/>
                <w:color w:val="FFFFFF" w:themeColor="background1"/>
                <w:sz w:val="14"/>
                <w:szCs w:val="18"/>
                <w:lang w:val="es-CO" w:eastAsia="es-CO"/>
              </w:rPr>
              <w:t>BA</w:t>
            </w:r>
            <w:r w:rsidRPr="00AA55E0">
              <w:rPr>
                <w:rFonts w:ascii="Calibri" w:eastAsia="Times New Roman" w:hAnsi="Calibri" w:cs="Arial"/>
                <w:b/>
                <w:bCs/>
                <w:color w:val="FFFFFF" w:themeColor="background1"/>
                <w:sz w:val="14"/>
                <w:szCs w:val="18"/>
                <w:lang w:val="es-CO" w:eastAsia="es-CO"/>
              </w:rPr>
              <w:t>*</w:t>
            </w: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b/>
                <w:bCs/>
                <w:sz w:val="14"/>
                <w:szCs w:val="18"/>
                <w:lang w:val="es-CO" w:eastAsia="es-CO"/>
              </w:rPr>
            </w:pPr>
          </w:p>
        </w:tc>
        <w:tc>
          <w:tcPr>
            <w:tcW w:w="2450" w:type="dxa"/>
            <w:vAlign w:val="center"/>
            <w:hideMark/>
          </w:tcPr>
          <w:p w:rsidR="00901F64" w:rsidRPr="0090436C" w:rsidRDefault="00901F64" w:rsidP="00B524DF">
            <w:pPr>
              <w:spacing w:after="0" w:line="240" w:lineRule="auto"/>
              <w:jc w:val="center"/>
              <w:rPr>
                <w:rFonts w:eastAsia="Times New Roman" w:cs="Arial"/>
                <w:b/>
                <w:bCs/>
                <w:sz w:val="14"/>
                <w:szCs w:val="18"/>
                <w:lang w:val="es-CO" w:eastAsia="es-CO"/>
              </w:rPr>
            </w:pP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Constitución de cuentas por pagar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Inejecución, descuentos y reducciones presupuestal en contratos de aporte</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Liberación de saldos presupuestales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Cuentas bancarias contratos de aporte</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Control de inventarios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Oportunidad en la prestación del servicio público de bienestar en el Convenio 686 de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Contratos de aportes y valoración de aporte en especie (Bienestarina)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Registro de inventarios del ICBF y aseguramiento de bienes adquiridos con cargo a recursos del Instituto en el marco del Contrato de Aportes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Contratos de comodato y pago de servicios públicos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16,7</w:t>
            </w: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Requisitos de inicio de la ejecución contractual</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Supervisión de contratos de aporte 305, 397, 278, 339, 437, 456, 499, 606, 350, 627, 347, 616, 1237 y 689 de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Publicación SECOP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Cuota de participación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Atención a niños y niñas por contrato 117 de 2015 - Nariño</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Fase de alistamiento modalidad CDI Institucional y familiar (A-D)</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Seguimiento y control de la prestación del servicio modalidad Familiar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Cumplimiento de las cláusulas contractuales de contratos de aporte de los CDI y Desarrollo Infantil en medio familiar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Sistema de información, seguimiento y evaluación - agentes educativos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Tránsito a modalidad Integral regional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Articulación SNBF para garantizar derechos de los niños y niñas del pueblo Wayuu de La Guajira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Oferta de respuesta articulada bajo el principio de la corresponsabilidad</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ICBF como gestor del SNBF</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 de acción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del plan de acción - Programas de Nutrición, Protección y promoción y prevención para la niñez y la adolescencia regional Bogotá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Metas Vs indicador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Planificación de metas sociales y financieras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 metas sociales y financieras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29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Registros SIM - Programas de Primera infancia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Cumplimiento de metas y calidad de la información SIM - Programas de Primera infancia y Protección</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Metas regional Atlántico</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del plan de acción de Protección - regional Bogotá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Formación cuidadores Ley 1618 de 2013 -  población con discapacidad</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Programa Unidades de Apoyo y Fortalecimiento Familiar (UNAFA)  - población con discapacidad</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de las fases del programa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Ejecución y medición de recursos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Lineamientos, procedimientos y soportes del programa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Planificación de la estrategia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39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Origen de las y los beneficiarios de la estrategia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Actividades por fase del programa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Transporte de facilitadoras UNAFA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11,07</w:t>
            </w: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Gestión ambiental - regionales La Guajira y Guainía</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servicios públicos: agua y luz</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servicios públicos: energía –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Consumo de papel -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Pago de intereses moratorios - sentencias judiciales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Asignación de procesos apoderados - regional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Sobregiros bancarios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CGN</w:t>
            </w:r>
            <w:r w:rsidRPr="0090436C">
              <w:rPr>
                <w:rFonts w:ascii="Calibri" w:eastAsia="Times New Roman" w:hAnsi="Calibri" w:cs="Arial"/>
                <w:b/>
                <w:bCs/>
                <w:sz w:val="14"/>
                <w:szCs w:val="18"/>
                <w:lang w:val="es-CO" w:eastAsia="es-CO"/>
              </w:rPr>
              <w:t>*</w:t>
            </w: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49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Embargos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Construcciones en curso</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Bienes pendientes de legalizar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Contrato 130 de 2010</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Avalúos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Propiedad intelectual</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Constitución de cuentas por pagar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56</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Recaudos por clasificar – 290580</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57</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Litigios 531401</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58</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Saldos terceros - cuentas por cobrar</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59</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Compensación de auxiliares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60</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Saldos contrarios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61</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Armamento y equipo aéreo</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62</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Consistencia de la información</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63</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Manejo de terceros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64</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Servicios públicos</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65</w:t>
            </w:r>
          </w:p>
        </w:tc>
        <w:tc>
          <w:tcPr>
            <w:tcW w:w="2450" w:type="dxa"/>
            <w:vAlign w:val="center"/>
            <w:hideMark/>
          </w:tcPr>
          <w:p w:rsidR="00901F64" w:rsidRPr="0090436C" w:rsidRDefault="00901F64" w:rsidP="00AA55E0">
            <w:pPr>
              <w:spacing w:after="0" w:line="240" w:lineRule="auto"/>
              <w:rPr>
                <w:rFonts w:eastAsia="Times New Roman" w:cs="Arial"/>
                <w:sz w:val="14"/>
                <w:szCs w:val="18"/>
                <w:lang w:val="es-CO" w:eastAsia="es-CO"/>
              </w:rPr>
            </w:pPr>
            <w:r w:rsidRPr="0090436C">
              <w:rPr>
                <w:rFonts w:eastAsia="Times New Roman" w:cs="Arial"/>
                <w:sz w:val="14"/>
                <w:szCs w:val="18"/>
                <w:lang w:val="es-CO" w:eastAsia="es-CO"/>
              </w:rPr>
              <w:t>Contribuciones de cuentas 512026</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66</w:t>
            </w:r>
          </w:p>
        </w:tc>
        <w:tc>
          <w:tcPr>
            <w:tcW w:w="2450"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Asignación de bienes y servicios cuenta 550706</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67</w:t>
            </w:r>
          </w:p>
        </w:tc>
        <w:tc>
          <w:tcPr>
            <w:tcW w:w="2450"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Gestión documental</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AGN</w:t>
            </w:r>
            <w:r w:rsidRPr="0090436C">
              <w:rPr>
                <w:rFonts w:ascii="Calibri" w:eastAsia="Times New Roman" w:hAnsi="Calibri" w:cs="Arial"/>
                <w:b/>
                <w:bCs/>
                <w:sz w:val="14"/>
                <w:szCs w:val="18"/>
                <w:lang w:val="es-CO" w:eastAsia="es-CO"/>
              </w:rPr>
              <w:t>*</w:t>
            </w: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68</w:t>
            </w:r>
          </w:p>
        </w:tc>
        <w:tc>
          <w:tcPr>
            <w:tcW w:w="2450"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Plan de bienestar - Bogotá</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99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69</w:t>
            </w:r>
          </w:p>
        </w:tc>
        <w:tc>
          <w:tcPr>
            <w:tcW w:w="2450"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Obligaciones laborales contratos de aporte 689 y 212 de 2015</w:t>
            </w:r>
          </w:p>
        </w:tc>
        <w:tc>
          <w:tcPr>
            <w:tcW w:w="523" w:type="dxa"/>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43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141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49"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444"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r w:rsidRPr="0090436C">
              <w:rPr>
                <w:rFonts w:eastAsia="Times New Roman" w:cs="Arial"/>
                <w:sz w:val="14"/>
                <w:szCs w:val="18"/>
                <w:lang w:val="es-CO" w:eastAsia="es-CO"/>
              </w:rPr>
              <w:t>X</w:t>
            </w: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842"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708"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c>
          <w:tcPr>
            <w:tcW w:w="567" w:type="dxa"/>
            <w:noWrap/>
            <w:vAlign w:val="center"/>
            <w:hideMark/>
          </w:tcPr>
          <w:p w:rsidR="00901F64" w:rsidRPr="0090436C" w:rsidRDefault="00901F64" w:rsidP="00B524DF">
            <w:pPr>
              <w:spacing w:after="0" w:line="240" w:lineRule="auto"/>
              <w:jc w:val="center"/>
              <w:rPr>
                <w:rFonts w:eastAsia="Times New Roman" w:cs="Arial"/>
                <w:sz w:val="14"/>
                <w:szCs w:val="18"/>
                <w:lang w:val="es-CO" w:eastAsia="es-CO"/>
              </w:rPr>
            </w:pPr>
          </w:p>
        </w:tc>
      </w:tr>
      <w:tr w:rsidR="00901F64" w:rsidRPr="00074C6D" w:rsidTr="00AA55E0">
        <w:trPr>
          <w:trHeight w:val="20"/>
          <w:jc w:val="center"/>
        </w:trPr>
        <w:tc>
          <w:tcPr>
            <w:tcW w:w="3442" w:type="dxa"/>
            <w:gridSpan w:val="2"/>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TOTAL HALLAZGOS</w:t>
            </w:r>
          </w:p>
        </w:tc>
        <w:tc>
          <w:tcPr>
            <w:tcW w:w="523"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69</w:t>
            </w:r>
          </w:p>
        </w:tc>
        <w:tc>
          <w:tcPr>
            <w:tcW w:w="438"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w:t>
            </w:r>
          </w:p>
        </w:tc>
        <w:tc>
          <w:tcPr>
            <w:tcW w:w="1417"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27,7</w:t>
            </w:r>
          </w:p>
        </w:tc>
        <w:tc>
          <w:tcPr>
            <w:tcW w:w="549"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1</w:t>
            </w:r>
          </w:p>
        </w:tc>
        <w:tc>
          <w:tcPr>
            <w:tcW w:w="444"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15</w:t>
            </w:r>
          </w:p>
        </w:tc>
        <w:tc>
          <w:tcPr>
            <w:tcW w:w="567"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c>
          <w:tcPr>
            <w:tcW w:w="842"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2</w:t>
            </w:r>
          </w:p>
        </w:tc>
        <w:tc>
          <w:tcPr>
            <w:tcW w:w="708"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c>
          <w:tcPr>
            <w:tcW w:w="567" w:type="dxa"/>
            <w:shd w:val="clear" w:color="auto" w:fill="E2EFDA"/>
            <w:noWrap/>
            <w:vAlign w:val="center"/>
            <w:hideMark/>
          </w:tcPr>
          <w:p w:rsidR="00901F64" w:rsidRPr="0090436C" w:rsidRDefault="00901F64" w:rsidP="00B524DF">
            <w:pPr>
              <w:spacing w:after="0" w:line="240" w:lineRule="auto"/>
              <w:jc w:val="center"/>
              <w:rPr>
                <w:rFonts w:eastAsia="Times New Roman" w:cs="Arial"/>
                <w:b/>
                <w:sz w:val="14"/>
                <w:szCs w:val="18"/>
                <w:lang w:val="es-CO" w:eastAsia="es-CO"/>
              </w:rPr>
            </w:pPr>
            <w:r w:rsidRPr="0090436C">
              <w:rPr>
                <w:rFonts w:eastAsia="Times New Roman" w:cs="Arial"/>
                <w:b/>
                <w:sz w:val="14"/>
                <w:szCs w:val="18"/>
                <w:lang w:val="es-CO" w:eastAsia="es-CO"/>
              </w:rPr>
              <w:t>0</w:t>
            </w:r>
          </w:p>
        </w:tc>
      </w:tr>
    </w:tbl>
    <w:p w:rsidR="00901F64" w:rsidRPr="00AA55E0" w:rsidRDefault="00901F64" w:rsidP="00901F64">
      <w:pPr>
        <w:spacing w:after="0" w:line="240" w:lineRule="auto"/>
        <w:jc w:val="both"/>
        <w:rPr>
          <w:rFonts w:cs="Arial"/>
          <w:sz w:val="16"/>
          <w:szCs w:val="16"/>
        </w:rPr>
      </w:pPr>
      <w:r w:rsidRPr="00AA55E0">
        <w:rPr>
          <w:rFonts w:cs="Arial"/>
          <w:b/>
          <w:sz w:val="16"/>
          <w:szCs w:val="16"/>
        </w:rPr>
        <w:t xml:space="preserve">Fuente: </w:t>
      </w:r>
      <w:r w:rsidRPr="00AA55E0">
        <w:rPr>
          <w:rFonts w:cs="Arial"/>
          <w:sz w:val="16"/>
          <w:szCs w:val="16"/>
        </w:rPr>
        <w:t>Informe de Auditoria Regular vigencia fiscal 2015- CGR</w:t>
      </w:r>
    </w:p>
    <w:p w:rsidR="00901F64" w:rsidRPr="00AA55E0" w:rsidRDefault="00901F64" w:rsidP="00901F64">
      <w:pPr>
        <w:spacing w:after="0" w:line="240" w:lineRule="auto"/>
        <w:jc w:val="both"/>
        <w:rPr>
          <w:rFonts w:cs="Arial"/>
          <w:sz w:val="18"/>
          <w:szCs w:val="18"/>
        </w:rPr>
      </w:pPr>
    </w:p>
    <w:p w:rsidR="006C03BD" w:rsidRDefault="00901F64" w:rsidP="00901F64">
      <w:pPr>
        <w:spacing w:after="0" w:line="240" w:lineRule="auto"/>
        <w:jc w:val="both"/>
        <w:rPr>
          <w:rFonts w:cs="Arial"/>
          <w:sz w:val="18"/>
          <w:szCs w:val="18"/>
        </w:rPr>
      </w:pPr>
      <w:r w:rsidRPr="008751C6">
        <w:rPr>
          <w:rFonts w:ascii="Calibri" w:eastAsia="Times New Roman" w:hAnsi="Calibri" w:cs="Arial"/>
          <w:b/>
          <w:bCs/>
          <w:sz w:val="18"/>
          <w:szCs w:val="18"/>
          <w:lang w:val="es-CO" w:eastAsia="es-CO"/>
        </w:rPr>
        <w:t xml:space="preserve">* </w:t>
      </w:r>
      <w:r w:rsidRPr="008751C6">
        <w:rPr>
          <w:rFonts w:cs="Arial"/>
          <w:sz w:val="18"/>
          <w:szCs w:val="18"/>
        </w:rPr>
        <w:t xml:space="preserve">A: Administrativo, D: Disciplinario, F: Fiscal, P: Penal, IP: Indagación preliminar, PAS: Proceso Administrativo Sancionatorio, BA: Beneficio de auditoria, OI: Otra Incidencia y AGN: Archivo General de la Nación.    </w:t>
      </w:r>
    </w:p>
    <w:p w:rsidR="00901F64" w:rsidRPr="008751C6" w:rsidRDefault="00901F64" w:rsidP="00901F64">
      <w:pPr>
        <w:spacing w:after="0" w:line="240" w:lineRule="auto"/>
        <w:jc w:val="both"/>
        <w:rPr>
          <w:rFonts w:cs="Arial"/>
          <w:sz w:val="18"/>
          <w:szCs w:val="18"/>
        </w:rPr>
      </w:pPr>
      <w:r w:rsidRPr="008751C6">
        <w:rPr>
          <w:rFonts w:cs="Arial"/>
          <w:sz w:val="18"/>
          <w:szCs w:val="18"/>
        </w:rPr>
        <w:t xml:space="preserve"> </w:t>
      </w:r>
    </w:p>
    <w:p w:rsidR="00F51C47" w:rsidRPr="00D222ED" w:rsidRDefault="00015C71" w:rsidP="00D222ED">
      <w:pPr>
        <w:ind w:left="708"/>
        <w:rPr>
          <w:b/>
        </w:rPr>
      </w:pPr>
      <w:r w:rsidRPr="00D222ED">
        <w:rPr>
          <w:b/>
        </w:rPr>
        <w:t>Información y comunicación</w:t>
      </w:r>
    </w:p>
    <w:p w:rsidR="00015C71" w:rsidRPr="00F51C47" w:rsidRDefault="00015C71" w:rsidP="008D4EBD">
      <w:pPr>
        <w:ind w:firstLine="708"/>
        <w:rPr>
          <w:rFonts w:cs="Arial"/>
          <w:b/>
        </w:rPr>
      </w:pPr>
      <w:r w:rsidRPr="00F51C47">
        <w:rPr>
          <w:rFonts w:cs="Arial"/>
          <w:b/>
        </w:rPr>
        <w:t>Información y comunicación interna y externa</w:t>
      </w:r>
    </w:p>
    <w:p w:rsidR="00015C71" w:rsidRPr="00AB6213" w:rsidRDefault="00015C71" w:rsidP="00015C71">
      <w:pPr>
        <w:autoSpaceDE w:val="0"/>
        <w:autoSpaceDN w:val="0"/>
        <w:adjustRightInd w:val="0"/>
        <w:spacing w:after="0" w:line="240" w:lineRule="auto"/>
        <w:jc w:val="both"/>
        <w:rPr>
          <w:rFonts w:cs="Arial"/>
          <w:color w:val="0070C0"/>
        </w:rPr>
      </w:pPr>
      <w:r w:rsidRPr="008751C6">
        <w:rPr>
          <w:rFonts w:cs="Arial"/>
        </w:rPr>
        <w:t>La Dirección de Servicios y Atención actualizó la normatividad interna y expidió y socializó con directores regionales y coordinadores de centros zonales la Resolución 3962 de 2016, mediante la cual se adopta la Guía de Gestión de Peticiones, Quejas, Reclamos, Denuncias y Sugerencias del ICBF que incluye oficialmente el establecimiento único de horario de atención de 8 am a 5 pm en todo el país (Ver 5.1.1.1 Canal Presencial. • Parámetros para l</w:t>
      </w:r>
      <w:r w:rsidR="00BE783F">
        <w:rPr>
          <w:rFonts w:cs="Arial"/>
        </w:rPr>
        <w:t>a Atención del Canal Presencial.</w:t>
      </w:r>
    </w:p>
    <w:p w:rsidR="00015C71" w:rsidRPr="00AB6213" w:rsidRDefault="00015C71" w:rsidP="00015C71">
      <w:pPr>
        <w:autoSpaceDE w:val="0"/>
        <w:autoSpaceDN w:val="0"/>
        <w:adjustRightInd w:val="0"/>
        <w:spacing w:after="0" w:line="240" w:lineRule="auto"/>
        <w:jc w:val="both"/>
        <w:rPr>
          <w:rFonts w:cs="Arial"/>
          <w:color w:val="0070C0"/>
        </w:rPr>
      </w:pPr>
    </w:p>
    <w:p w:rsidR="00015C71" w:rsidRPr="001D64B5" w:rsidRDefault="00015C71" w:rsidP="00015C71">
      <w:pPr>
        <w:autoSpaceDE w:val="0"/>
        <w:autoSpaceDN w:val="0"/>
        <w:adjustRightInd w:val="0"/>
        <w:spacing w:after="0" w:line="240" w:lineRule="auto"/>
        <w:jc w:val="both"/>
        <w:rPr>
          <w:rFonts w:cs="Arial"/>
        </w:rPr>
      </w:pPr>
      <w:r w:rsidRPr="001D64B5">
        <w:rPr>
          <w:rFonts w:cs="Arial"/>
        </w:rPr>
        <w:t>Igualmente, se publicó el PR5.MPA5.P2 Procedimiento para la Atención de Presuntos Actos de Corrupción V1, cuyo objetivo es recibir, atender, clasificar, registrar, direccionar y asegurar el trámite oportuno de las denuncias de hechos que podrían ser considerados un presunto acto de corrupción, recibidos por cualquier canal de interacción de la entidad.</w:t>
      </w:r>
    </w:p>
    <w:p w:rsidR="00015C71" w:rsidRPr="001D64B5" w:rsidRDefault="00015C71" w:rsidP="00015C71">
      <w:pPr>
        <w:spacing w:after="0" w:line="240" w:lineRule="auto"/>
        <w:jc w:val="both"/>
        <w:rPr>
          <w:rFonts w:cs="Arial"/>
        </w:rPr>
      </w:pPr>
    </w:p>
    <w:p w:rsidR="00015C71" w:rsidRPr="001D64B5" w:rsidRDefault="00015C71" w:rsidP="00015C71">
      <w:pPr>
        <w:spacing w:after="0" w:line="240" w:lineRule="auto"/>
        <w:jc w:val="both"/>
        <w:rPr>
          <w:rFonts w:eastAsia="Times New Roman" w:cs="Arial"/>
          <w:lang w:val="es-CO" w:eastAsia="es-CO"/>
        </w:rPr>
      </w:pPr>
      <w:r w:rsidRPr="001D64B5">
        <w:rPr>
          <w:rFonts w:cs="Arial"/>
        </w:rPr>
        <w:t xml:space="preserve">En cuanto a la </w:t>
      </w:r>
      <w:r w:rsidRPr="001D64B5">
        <w:rPr>
          <w:rFonts w:eastAsia="Times New Roman" w:cs="Arial"/>
          <w:lang w:val="es-CO" w:eastAsia="es-CO"/>
        </w:rPr>
        <w:t>Identificación de las fuentes de información externa, existen mecanismos como el aplicativo SIM para la recepción, registro y seguimiento de las Peticiones, Quejas, Reclamos y/o Denuncias; existen buzones de sugerencias en todas las regionales y los centros zonales de la entidad; y se aplican encuestas de satisfacción, entre otras.</w:t>
      </w:r>
    </w:p>
    <w:p w:rsidR="00015C71" w:rsidRPr="001D64B5" w:rsidRDefault="00015C71" w:rsidP="00015C71">
      <w:pPr>
        <w:spacing w:after="0" w:line="240" w:lineRule="auto"/>
        <w:jc w:val="both"/>
        <w:rPr>
          <w:rFonts w:cs="Arial"/>
          <w:highlight w:val="yellow"/>
          <w:lang w:val="es-CO"/>
        </w:rPr>
      </w:pPr>
    </w:p>
    <w:p w:rsidR="00015C71" w:rsidRPr="001D64B5" w:rsidRDefault="00015C71" w:rsidP="00015C71">
      <w:pPr>
        <w:spacing w:after="0" w:line="240" w:lineRule="auto"/>
        <w:jc w:val="both"/>
        <w:rPr>
          <w:rFonts w:cs="Arial"/>
          <w:lang w:val="es-CO"/>
        </w:rPr>
      </w:pPr>
      <w:r w:rsidRPr="001D64B5">
        <w:rPr>
          <w:rFonts w:cs="Arial"/>
          <w:lang w:val="es-CO"/>
        </w:rPr>
        <w:t>Así mismo, con el fin de garantizar el respeto a los derechos de los niños, niñas y adolescentes y sus familias, el ICBF ha establecido diferentes canales de atención en todo el país, dentro de los cuales se encuentran la Línea Nacional 018000918080, la línea de atención de Violencia Sexual (línea 106) y la Línea RUB, las cuales soportan funcionalmente los aplicativos informáticos que maneja la entidad para la atención de beneficiarios y beneficiarias. Además, se presta atención a través de los servicios de chat, video llamada, correo electrónico y Portal Web.</w:t>
      </w:r>
    </w:p>
    <w:p w:rsidR="00015C71" w:rsidRDefault="00015C71" w:rsidP="00015C71">
      <w:pPr>
        <w:spacing w:after="0" w:line="240" w:lineRule="auto"/>
        <w:jc w:val="both"/>
        <w:rPr>
          <w:rFonts w:cs="Arial"/>
          <w:lang w:val="es-CO"/>
        </w:rPr>
      </w:pPr>
    </w:p>
    <w:p w:rsidR="00015C71" w:rsidRPr="001D64B5" w:rsidRDefault="00015C71" w:rsidP="00015C71">
      <w:pPr>
        <w:spacing w:after="0" w:line="240" w:lineRule="auto"/>
        <w:jc w:val="both"/>
        <w:rPr>
          <w:rFonts w:cs="Arial"/>
          <w:lang w:val="es-CO"/>
        </w:rPr>
      </w:pPr>
      <w:r w:rsidRPr="001D64B5">
        <w:rPr>
          <w:rFonts w:cs="Arial"/>
          <w:lang w:val="es-CO"/>
        </w:rPr>
        <w:t xml:space="preserve">En esta misma vigencia, la Comisión de Regulación de Comunicaciones asignó al ICBF la línea 141 para la atención integral de los niños, niñas y adolescentes, lo que permitirá que la  población objetivo se comunique de manera más expedita con la entidad. Para ello, se trabaja con la Oficina Asesora de Comunicaciones y la Dirección de Protección, con el fin de desarrollar una campaña de publicidad en todo el país y a través de los principales medios de comunicación para promocionarla como una línea que escucha a los niños, niñas y adolescentes y a través de ella actuar de manera preventiva a partir de un ejercicio de divulgación de los  derechos. </w:t>
      </w:r>
    </w:p>
    <w:p w:rsidR="00015C71" w:rsidRPr="001D64B5" w:rsidRDefault="00015C71" w:rsidP="00015C71">
      <w:pPr>
        <w:spacing w:after="0" w:line="240" w:lineRule="auto"/>
        <w:jc w:val="both"/>
        <w:rPr>
          <w:rFonts w:cs="Arial"/>
          <w:lang w:val="es-CO"/>
        </w:rPr>
      </w:pPr>
    </w:p>
    <w:p w:rsidR="00015C71" w:rsidRPr="001D64B5" w:rsidRDefault="00015C71" w:rsidP="00015C71">
      <w:pPr>
        <w:spacing w:after="0" w:line="240" w:lineRule="auto"/>
        <w:jc w:val="both"/>
        <w:rPr>
          <w:rFonts w:cs="Arial"/>
          <w:lang w:val="es-CO"/>
        </w:rPr>
      </w:pPr>
      <w:r w:rsidRPr="001D64B5">
        <w:rPr>
          <w:rFonts w:cs="Arial"/>
          <w:lang w:val="es-CO"/>
        </w:rPr>
        <w:t>En la actualidad los niños, niñas y adolescentes se comunican a través de la línea 106, la cual se ha hecho acreedora a  dos premios nacionales a la Excelencia como “Mejor estrategia de escucha a la ciudadanía (niños, niñas y adolescentes)” y “Mejor operación de centro de contacto”, y está en concurso para el premio latinoamericano en estas dos categorías.</w:t>
      </w:r>
    </w:p>
    <w:p w:rsidR="00D8710A" w:rsidRDefault="00D8710A" w:rsidP="008D4EBD">
      <w:pPr>
        <w:ind w:firstLine="708"/>
        <w:rPr>
          <w:b/>
        </w:rPr>
      </w:pPr>
    </w:p>
    <w:p w:rsidR="00015C71" w:rsidRPr="00F51C47" w:rsidRDefault="00015C71" w:rsidP="008D4EBD">
      <w:pPr>
        <w:ind w:firstLine="708"/>
        <w:rPr>
          <w:b/>
        </w:rPr>
      </w:pPr>
      <w:r w:rsidRPr="00F51C47">
        <w:rPr>
          <w:b/>
        </w:rPr>
        <w:t>Sistemas de información y comunicación</w:t>
      </w:r>
    </w:p>
    <w:p w:rsidR="00015C71" w:rsidRPr="001D64B5" w:rsidRDefault="00015C71" w:rsidP="00015C71">
      <w:pPr>
        <w:pStyle w:val="Default"/>
        <w:jc w:val="both"/>
        <w:rPr>
          <w:rFonts w:ascii="Arial" w:hAnsi="Arial" w:cs="Arial"/>
          <w:color w:val="auto"/>
          <w:sz w:val="22"/>
          <w:szCs w:val="22"/>
        </w:rPr>
      </w:pPr>
      <w:r w:rsidRPr="001D64B5">
        <w:rPr>
          <w:rFonts w:ascii="Arial" w:hAnsi="Arial" w:cs="Arial"/>
          <w:color w:val="auto"/>
          <w:sz w:val="22"/>
          <w:szCs w:val="22"/>
        </w:rPr>
        <w:t xml:space="preserve">La Dirección de Información y Tecnología (DIT) atiende las necesidades en TIC (tecnologías de información y las comunicaciones) de los procesos y colaboradores del ICBF, a través del suministro, desarrollo o adquisición de soluciones informáticas, las cuales requieren desarrollos adaptativos y/o evolutivos, a medida que crecen o surgen nuevas necesidades en las y los usuarios, y la incorporación de nuevas soluciones en tecnología para reemplazar las que han cumplido su ciclo. </w:t>
      </w:r>
    </w:p>
    <w:p w:rsidR="00015C71" w:rsidRPr="001D64B5" w:rsidRDefault="00015C71" w:rsidP="00015C71">
      <w:pPr>
        <w:pStyle w:val="Default"/>
        <w:jc w:val="both"/>
        <w:rPr>
          <w:rFonts w:ascii="Arial" w:hAnsi="Arial" w:cs="Arial"/>
          <w:color w:val="auto"/>
          <w:sz w:val="22"/>
          <w:szCs w:val="22"/>
        </w:rPr>
      </w:pPr>
    </w:p>
    <w:p w:rsidR="00015C71" w:rsidRPr="00A46C16" w:rsidRDefault="00015C71" w:rsidP="00015C71">
      <w:pPr>
        <w:pStyle w:val="Default"/>
        <w:jc w:val="both"/>
        <w:rPr>
          <w:rFonts w:ascii="Arial" w:hAnsi="Arial" w:cs="Arial"/>
          <w:color w:val="auto"/>
          <w:sz w:val="22"/>
          <w:szCs w:val="22"/>
          <w:lang w:val="es-ES" w:eastAsia="en-US"/>
        </w:rPr>
      </w:pPr>
      <w:r w:rsidRPr="001D64B5">
        <w:rPr>
          <w:rFonts w:ascii="Arial" w:hAnsi="Arial" w:cs="Arial"/>
          <w:color w:val="auto"/>
          <w:sz w:val="22"/>
          <w:szCs w:val="22"/>
        </w:rPr>
        <w:t xml:space="preserve">La Dirección se ha focalizado en el </w:t>
      </w:r>
      <w:r w:rsidRPr="001D64B5">
        <w:rPr>
          <w:rFonts w:ascii="Arial" w:hAnsi="Arial" w:cs="Arial"/>
          <w:color w:val="auto"/>
          <w:sz w:val="22"/>
          <w:szCs w:val="22"/>
          <w:lang w:val="es-ES" w:eastAsia="en-US"/>
        </w:rPr>
        <w:t>fortalecimiento de</w:t>
      </w:r>
      <w:r w:rsidRPr="001D64B5">
        <w:rPr>
          <w:rFonts w:ascii="Arial" w:hAnsi="Arial" w:cs="Arial"/>
          <w:color w:val="auto"/>
          <w:sz w:val="22"/>
          <w:szCs w:val="22"/>
        </w:rPr>
        <w:t xml:space="preserve"> los </w:t>
      </w:r>
      <w:r w:rsidRPr="001D64B5">
        <w:rPr>
          <w:rFonts w:ascii="Arial" w:hAnsi="Arial" w:cs="Arial"/>
          <w:color w:val="auto"/>
          <w:sz w:val="22"/>
          <w:szCs w:val="22"/>
          <w:lang w:val="es-ES" w:eastAsia="en-US"/>
        </w:rPr>
        <w:t xml:space="preserve">sistemas de información, </w:t>
      </w:r>
      <w:r w:rsidRPr="001D64B5">
        <w:rPr>
          <w:rFonts w:ascii="Arial" w:hAnsi="Arial" w:cs="Arial"/>
          <w:color w:val="auto"/>
          <w:sz w:val="22"/>
          <w:szCs w:val="22"/>
        </w:rPr>
        <w:t xml:space="preserve">a partir de una </w:t>
      </w:r>
      <w:r w:rsidRPr="001D64B5">
        <w:rPr>
          <w:rFonts w:ascii="Arial" w:hAnsi="Arial" w:cs="Arial"/>
          <w:color w:val="auto"/>
          <w:sz w:val="22"/>
          <w:szCs w:val="22"/>
          <w:lang w:val="es-ES" w:eastAsia="en-US"/>
        </w:rPr>
        <w:t xml:space="preserve">fuente única de datos para soportar decisiones y operaciones institucionales, por ello sus esfuerzos los ha </w:t>
      </w:r>
      <w:r w:rsidRPr="001D64B5">
        <w:rPr>
          <w:rFonts w:ascii="Arial" w:hAnsi="Arial" w:cs="Arial"/>
          <w:color w:val="auto"/>
          <w:sz w:val="22"/>
          <w:szCs w:val="22"/>
        </w:rPr>
        <w:t xml:space="preserve">centrado en </w:t>
      </w:r>
      <w:r w:rsidRPr="001D64B5">
        <w:rPr>
          <w:rFonts w:ascii="Arial" w:hAnsi="Arial" w:cs="Arial"/>
          <w:color w:val="auto"/>
          <w:sz w:val="22"/>
          <w:szCs w:val="22"/>
          <w:lang w:val="es-ES" w:eastAsia="en-US"/>
        </w:rPr>
        <w:t xml:space="preserve">acciones para transformar los sistemas existentes o migrar a nuevos, según resulte del análisis oportunidad/costo/beneficio, propendiendo por sistemas de información flexibles, escalables, interoperables y sostenibles financiera y técnicamente. En cuanto a la infraestructura de comunicaciones, el ICBF mantiene el esquema tercerizado de los </w:t>
      </w:r>
      <w:r w:rsidRPr="00A46C16">
        <w:rPr>
          <w:rFonts w:ascii="Arial" w:hAnsi="Arial" w:cs="Arial"/>
          <w:color w:val="auto"/>
          <w:sz w:val="22"/>
          <w:szCs w:val="22"/>
          <w:lang w:val="es-ES" w:eastAsia="en-US"/>
        </w:rPr>
        <w:t xml:space="preserve">servicios complementarios que se derivan de la prestación de servicios de conectividad, junto con los de administración de los recursos (correo, Internet, seguridad, administración de servidores, mesa de ayuda, provisión de repuestos, entre otros). </w:t>
      </w:r>
    </w:p>
    <w:p w:rsidR="00015C71" w:rsidRPr="00A46C16" w:rsidRDefault="00015C71" w:rsidP="00015C71">
      <w:pPr>
        <w:pStyle w:val="Default"/>
        <w:jc w:val="both"/>
        <w:rPr>
          <w:rFonts w:ascii="Arial" w:hAnsi="Arial" w:cs="Arial"/>
          <w:color w:val="auto"/>
          <w:sz w:val="22"/>
          <w:szCs w:val="22"/>
        </w:rPr>
      </w:pPr>
    </w:p>
    <w:p w:rsidR="00015C71" w:rsidRPr="00A46C16" w:rsidRDefault="00015C71" w:rsidP="00015C71">
      <w:pPr>
        <w:pStyle w:val="Default"/>
        <w:jc w:val="both"/>
        <w:rPr>
          <w:rFonts w:ascii="Arial" w:hAnsi="Arial" w:cs="Arial"/>
          <w:color w:val="auto"/>
          <w:sz w:val="22"/>
          <w:szCs w:val="22"/>
        </w:rPr>
      </w:pPr>
      <w:r w:rsidRPr="00A46C16">
        <w:rPr>
          <w:rFonts w:ascii="Arial" w:hAnsi="Arial" w:cs="Arial"/>
          <w:color w:val="auto"/>
          <w:sz w:val="22"/>
          <w:szCs w:val="22"/>
        </w:rPr>
        <w:t>Los Sistemas de Información Misional – SIM (versión 4.7.42) y CUÉNTAME (versión 2.3.13) son los componentes estructurales que soportan la misión del ICBF y que apoyan la gestión de los datos e información de los procesos misionales, al igual que las modalidades de atención de la entidad, particularmente, aquellas dirigidas a los entornos Familiar, Comunitario e Institucional, donde se tiene como objetivo principal atender integralmente a los niños y niñas menores de 5 años, prioritariamente aquellos que se encuentren en los niveles I y II del SISBEN o en situación de desplazamiento.</w:t>
      </w:r>
    </w:p>
    <w:p w:rsidR="00015C71" w:rsidRPr="00A46C16" w:rsidRDefault="00015C71" w:rsidP="00015C71">
      <w:pPr>
        <w:pStyle w:val="Default"/>
        <w:jc w:val="both"/>
        <w:rPr>
          <w:rFonts w:ascii="Arial" w:hAnsi="Arial" w:cs="Arial"/>
          <w:color w:val="auto"/>
          <w:sz w:val="22"/>
          <w:szCs w:val="22"/>
        </w:rPr>
      </w:pPr>
    </w:p>
    <w:p w:rsidR="00015C71" w:rsidRPr="00A46C16" w:rsidRDefault="00015C71" w:rsidP="00015C71">
      <w:pPr>
        <w:pStyle w:val="Default"/>
        <w:jc w:val="both"/>
        <w:rPr>
          <w:rFonts w:ascii="Arial" w:hAnsi="Arial" w:cs="Arial"/>
          <w:color w:val="auto"/>
          <w:sz w:val="22"/>
          <w:szCs w:val="22"/>
        </w:rPr>
      </w:pPr>
      <w:r w:rsidRPr="00A46C16">
        <w:rPr>
          <w:rFonts w:ascii="Arial" w:hAnsi="Arial" w:cs="Arial"/>
          <w:color w:val="auto"/>
          <w:sz w:val="22"/>
          <w:szCs w:val="22"/>
        </w:rPr>
        <w:t xml:space="preserve">Los sistemas de información en el marco de su mantenimiento, evolución y adaptación, tuvieron dentro de su alcance ajustes y modificaciones que respondieron a requerimientos de tipo normativo y legal, así como solicitudes y necesidades identificadas por los procesos, con las cuales se buscó la mejora en la operación de estos, así como contribuir a la satisfacción de las y los usuarios de los servicios del ICBF. Durante la vigencia  2016, se desplegaron en producción los siguientes sistemas de información, módulos y mejoras: </w:t>
      </w:r>
    </w:p>
    <w:p w:rsidR="00015C71" w:rsidRPr="004B0C7F" w:rsidRDefault="00015C71" w:rsidP="00015C71">
      <w:pPr>
        <w:pStyle w:val="Prrafodelista"/>
        <w:spacing w:after="0" w:line="240" w:lineRule="auto"/>
        <w:jc w:val="both"/>
        <w:rPr>
          <w:rFonts w:cs="Arial"/>
          <w:color w:val="0070C0"/>
          <w:lang w:val="es-CO" w:eastAsia="es-CO"/>
        </w:rPr>
      </w:pPr>
    </w:p>
    <w:p w:rsidR="00B432C1" w:rsidRDefault="00015C71" w:rsidP="00B432C1">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Mejoras en las funcionalidades del sistema SIM que permiten la liquidación de servicios de protección, control de programación de entregas de Bienestarina, rediseñó e implementación de las pantallas para el registro del resultado de audiencias de control de garantías y conocimiento, y mejora del desempeño del sistema con su implementación en la plataforma de hiperconvergencia.</w:t>
      </w:r>
    </w:p>
    <w:p w:rsidR="00B432C1" w:rsidRPr="00B432C1" w:rsidRDefault="00B432C1" w:rsidP="00B432C1">
      <w:pPr>
        <w:pStyle w:val="Prrafodelista"/>
        <w:spacing w:after="0" w:line="240" w:lineRule="auto"/>
        <w:ind w:left="360"/>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Mejoras y nuevas funcionalidades en el sistema CUÉNTAME relacionadas con el módulo de talento humano, la funcionalidad de contratos y la actualización de datos duplicados y generación del reporte de duplicidad.</w:t>
      </w:r>
    </w:p>
    <w:p w:rsidR="00AA55E0" w:rsidRPr="00A46C16" w:rsidRDefault="00AA55E0" w:rsidP="00AA55E0">
      <w:pPr>
        <w:pStyle w:val="Prrafodelista"/>
        <w:spacing w:after="0" w:line="240" w:lineRule="auto"/>
        <w:ind w:left="360"/>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Módulos de cajas menores (justificación y constitución de la caja menor), tributario, acciones y sabanas contables del Nuevo Modelo Financiero.</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Módulo de Comparador Financiero Jurídico en SIA (Sistema de Información de Apoyo), que permite realizar una clasificación y conciliación, con el fin de apoyar la toma de decisiones en los procesos a favor y en contra del ICBF.</w:t>
      </w:r>
    </w:p>
    <w:p w:rsidR="00AA55E0" w:rsidRPr="00AA55E0" w:rsidRDefault="00AA55E0" w:rsidP="00AA55E0">
      <w:pPr>
        <w:spacing w:after="0" w:line="240" w:lineRule="auto"/>
        <w:contextualSpacing/>
        <w:jc w:val="both"/>
        <w:rPr>
          <w:rFonts w:cs="Arial"/>
          <w:lang w:val="es-CO" w:eastAsia="es-CO"/>
        </w:rPr>
      </w:pPr>
    </w:p>
    <w:p w:rsidR="00AA55E0"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Sistema de Contratos para las fases contractual, ejecución y postcontractual.</w:t>
      </w:r>
    </w:p>
    <w:p w:rsidR="00015C71" w:rsidRPr="00AA55E0" w:rsidRDefault="00015C71" w:rsidP="00AA55E0">
      <w:pPr>
        <w:spacing w:after="0" w:line="240" w:lineRule="auto"/>
        <w:contextualSpacing/>
        <w:jc w:val="both"/>
        <w:rPr>
          <w:rFonts w:cs="Arial"/>
          <w:lang w:val="es-CO" w:eastAsia="es-CO"/>
        </w:rPr>
      </w:pPr>
      <w:r w:rsidRPr="00AA55E0">
        <w:rPr>
          <w:rFonts w:cs="Arial"/>
          <w:lang w:val="es-CO" w:eastAsia="es-CO"/>
        </w:rPr>
        <w:t xml:space="preserve"> </w:t>
      </w: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Sistema SIRILI (Sistema integrado de reportes inmediatos, libros e información) del SNBF.</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 xml:space="preserve">Implementación de la solución de BI </w:t>
      </w:r>
      <w:r w:rsidR="001C38C2" w:rsidRPr="001C38C2">
        <w:rPr>
          <w:rFonts w:cs="Arial"/>
          <w:lang w:val="es-CO" w:eastAsia="es-CO"/>
        </w:rPr>
        <w:t>(Business Intelligence</w:t>
      </w:r>
      <w:r w:rsidR="001C38C2">
        <w:rPr>
          <w:rFonts w:cs="Arial"/>
          <w:lang w:val="es-CO" w:eastAsia="es-CO"/>
        </w:rPr>
        <w:t>)</w:t>
      </w:r>
      <w:r>
        <w:rPr>
          <w:rFonts w:cs="Arial"/>
          <w:color w:val="0070C0"/>
          <w:lang w:val="es-CO" w:eastAsia="es-CO"/>
        </w:rPr>
        <w:t xml:space="preserve"> </w:t>
      </w:r>
      <w:r w:rsidRPr="00A46C16">
        <w:rPr>
          <w:rFonts w:cs="Arial"/>
          <w:lang w:val="es-CO" w:eastAsia="es-CO"/>
        </w:rPr>
        <w:t>para cuatro indicadores de la Dirección de Servicios y Atención.</w:t>
      </w:r>
    </w:p>
    <w:p w:rsidR="00AA55E0" w:rsidRPr="00A46C16" w:rsidRDefault="00AA55E0" w:rsidP="00AA55E0">
      <w:pPr>
        <w:pStyle w:val="Prrafodelista"/>
        <w:spacing w:after="0" w:line="240" w:lineRule="auto"/>
        <w:ind w:left="360"/>
        <w:contextualSpacing/>
        <w:jc w:val="both"/>
        <w:rPr>
          <w:rFonts w:cs="Arial"/>
          <w:lang w:val="es-CO" w:eastAsia="es-CO"/>
        </w:rPr>
      </w:pPr>
    </w:p>
    <w:p w:rsidR="00AA55E0" w:rsidRDefault="00015C71" w:rsidP="00D712DC">
      <w:pPr>
        <w:pStyle w:val="Prrafodelista"/>
        <w:numPr>
          <w:ilvl w:val="0"/>
          <w:numId w:val="113"/>
        </w:numPr>
        <w:spacing w:after="0" w:line="240" w:lineRule="auto"/>
        <w:contextualSpacing/>
        <w:jc w:val="both"/>
        <w:rPr>
          <w:rFonts w:cs="Arial"/>
          <w:lang w:val="es-CO" w:eastAsia="es-CO"/>
        </w:rPr>
      </w:pPr>
      <w:r w:rsidRPr="00AA55E0">
        <w:rPr>
          <w:rFonts w:cs="Arial"/>
          <w:lang w:val="es-CO" w:eastAsia="es-CO"/>
        </w:rPr>
        <w:t>Implementación del servicio WEB Services (interoperabilidad) con Migración Colombia que permite reportar las resoluciones de permiso de salida del país de menores de edad expedidas por los defensores de familia al sistema de Migración Colombia; en paralelo se adelantaron las acciones para implantar el servicio Web Services con la Gobernación de Antioquía, que permite reportar la información de los beneficiarios atendidos de primera infancia registrados en el sistema CUÉNTAME.</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A55E0">
        <w:rPr>
          <w:rFonts w:cs="Arial"/>
          <w:lang w:val="es-CO" w:eastAsia="es-CO"/>
        </w:rPr>
        <w:t>Culminación de los ajustes de la consulta Web del estado de cuenta de aportes parafiscales, que permiten descargar el certificado de pagos PILA a todos los aportantes registrados en el aplicativo PILA WEB, y se implementó el módulo de SIGEPCYP fase de Pago a Contratistas en Sede Nacional y regionales Bogotá y Cundinamarca.</w:t>
      </w:r>
    </w:p>
    <w:p w:rsidR="00AA55E0" w:rsidRPr="00AA55E0" w:rsidRDefault="00AA55E0" w:rsidP="00AA55E0">
      <w:pPr>
        <w:spacing w:after="0" w:line="240" w:lineRule="auto"/>
        <w:contextualSpacing/>
        <w:jc w:val="both"/>
        <w:rPr>
          <w:rFonts w:cs="Arial"/>
          <w:lang w:val="es-CO" w:eastAsia="es-CO"/>
        </w:rPr>
      </w:pPr>
    </w:p>
    <w:p w:rsidR="00015C71" w:rsidRPr="00AA55E0"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Desarrollo d</w:t>
      </w:r>
      <w:r w:rsidR="007F741B">
        <w:rPr>
          <w:rFonts w:cs="Arial"/>
          <w:lang w:val="es-CO" w:eastAsia="es-CO"/>
        </w:rPr>
        <w:t xml:space="preserve">el 60% de </w:t>
      </w:r>
      <w:r w:rsidR="00680C47">
        <w:rPr>
          <w:rFonts w:cs="Arial"/>
          <w:lang w:val="es-CO" w:eastAsia="es-CO"/>
        </w:rPr>
        <w:t>newsle</w:t>
      </w:r>
      <w:r w:rsidRPr="001C38C2">
        <w:rPr>
          <w:rFonts w:cs="Arial"/>
          <w:lang w:val="es-CO" w:eastAsia="es-CO"/>
        </w:rPr>
        <w:t>tter</w:t>
      </w:r>
      <w:r w:rsidR="007F741B">
        <w:rPr>
          <w:rFonts w:cs="Arial"/>
          <w:lang w:val="es-CO" w:eastAsia="es-CO"/>
        </w:rPr>
        <w:t xml:space="preserve"> </w:t>
      </w:r>
      <w:r w:rsidRPr="00A46C16">
        <w:rPr>
          <w:rFonts w:cs="Arial"/>
          <w:lang w:val="es-CO" w:eastAsia="es-CO"/>
        </w:rPr>
        <w:t xml:space="preserve">que permite la suscripción de la ciudadanía para recibir información de interés </w:t>
      </w:r>
      <w:r w:rsidRPr="001C38C2">
        <w:rPr>
          <w:rFonts w:cs="Arial"/>
          <w:lang w:val="es-CO" w:eastAsia="es-CO"/>
        </w:rPr>
        <w:t>del Instituto.</w:t>
      </w:r>
    </w:p>
    <w:p w:rsidR="00AA55E0" w:rsidRPr="00AA55E0" w:rsidRDefault="00AA55E0" w:rsidP="00AA55E0">
      <w:pPr>
        <w:spacing w:after="0" w:line="240" w:lineRule="auto"/>
        <w:contextualSpacing/>
        <w:jc w:val="both"/>
        <w:rPr>
          <w:rFonts w:cs="Arial"/>
          <w:color w:val="0070C0"/>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Reestructuración de la información de transparencia contenida en el portal web en cumplimiento de la Resolución 3564 de 2015, con lo que se respondió a los compromisos FURAG e índice de transparencia.</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 xml:space="preserve">Implementación del micrositio </w:t>
      </w:r>
      <w:r w:rsidRPr="001C38C2">
        <w:rPr>
          <w:rFonts w:cs="Arial"/>
          <w:lang w:val="es-CO" w:eastAsia="es-CO"/>
        </w:rPr>
        <w:t xml:space="preserve">web del ICBF con un </w:t>
      </w:r>
      <w:r w:rsidRPr="00A46C16">
        <w:rPr>
          <w:rFonts w:cs="Arial"/>
          <w:lang w:val="es-CO" w:eastAsia="es-CO"/>
        </w:rPr>
        <w:t>árbol de contenido organizado y actualizado de la Dirección de Protección, que le permite a la ciudadanía consultar información de manera ágil y oportuna.</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3"/>
        </w:numPr>
        <w:spacing w:after="0" w:line="240" w:lineRule="auto"/>
        <w:contextualSpacing/>
        <w:jc w:val="both"/>
        <w:rPr>
          <w:rFonts w:cs="Arial"/>
          <w:lang w:val="es-CO" w:eastAsia="es-CO"/>
        </w:rPr>
      </w:pPr>
      <w:r w:rsidRPr="00A46C16">
        <w:rPr>
          <w:rFonts w:cs="Arial"/>
          <w:lang w:val="es-CO" w:eastAsia="es-CO"/>
        </w:rPr>
        <w:t xml:space="preserve">Adquisición del servicio en la nube de la nueva plataforma Oracle Site Cloud para soportar el portal web, intranet y micrositios del Instituto, lo cual permite cumplir la normatividad de </w:t>
      </w:r>
      <w:r w:rsidRPr="001C38C2">
        <w:rPr>
          <w:rFonts w:cs="Arial"/>
          <w:lang w:val="es-CO" w:eastAsia="es-CO"/>
        </w:rPr>
        <w:t>Gobierno en Línea y otros aspectos relacionados con seguridad, accesibilidad y disponibilidad de la información.</w:t>
      </w:r>
    </w:p>
    <w:p w:rsidR="00AA55E0" w:rsidRPr="00AA55E0" w:rsidRDefault="00AA55E0" w:rsidP="00AA55E0">
      <w:pPr>
        <w:pStyle w:val="Prrafodelista"/>
        <w:rPr>
          <w:rFonts w:cs="Arial"/>
          <w:lang w:val="es-CO" w:eastAsia="es-CO"/>
        </w:rPr>
      </w:pPr>
    </w:p>
    <w:p w:rsidR="001C38C2" w:rsidRDefault="001C38C2" w:rsidP="00D712DC">
      <w:pPr>
        <w:pStyle w:val="Prrafodelista"/>
        <w:numPr>
          <w:ilvl w:val="0"/>
          <w:numId w:val="113"/>
        </w:numPr>
        <w:spacing w:after="0" w:line="240" w:lineRule="auto"/>
        <w:contextualSpacing/>
        <w:jc w:val="both"/>
        <w:rPr>
          <w:rFonts w:cs="Arial"/>
          <w:lang w:val="es-CO" w:eastAsia="es-CO"/>
        </w:rPr>
      </w:pPr>
      <w:r w:rsidRPr="001C38C2">
        <w:rPr>
          <w:rFonts w:cs="Arial"/>
          <w:lang w:val="es-CO" w:eastAsia="es-CO"/>
        </w:rPr>
        <w:t>Se desplegó en producción el ajuste de 20 funcionalidades correspondientes al nivel de conformidad AA de la Norma Técnica de accesibilidad - NTC 5854. Lo cual se aplicó en la plantilla del portal y en la página de inicio.</w:t>
      </w:r>
    </w:p>
    <w:p w:rsidR="00AA55E0" w:rsidRPr="001C38C2" w:rsidRDefault="00AA55E0" w:rsidP="00AA55E0">
      <w:pPr>
        <w:pStyle w:val="Prrafodelista"/>
        <w:spacing w:after="0" w:line="240" w:lineRule="auto"/>
        <w:ind w:left="360"/>
        <w:contextualSpacing/>
        <w:jc w:val="both"/>
        <w:rPr>
          <w:rFonts w:cs="Arial"/>
          <w:lang w:val="es-CO" w:eastAsia="es-CO"/>
        </w:rPr>
      </w:pPr>
    </w:p>
    <w:p w:rsidR="001C38C2" w:rsidRDefault="001C38C2" w:rsidP="00D712DC">
      <w:pPr>
        <w:pStyle w:val="Prrafodelista"/>
        <w:numPr>
          <w:ilvl w:val="0"/>
          <w:numId w:val="113"/>
        </w:numPr>
        <w:spacing w:after="0" w:line="240" w:lineRule="auto"/>
        <w:contextualSpacing/>
        <w:jc w:val="both"/>
        <w:rPr>
          <w:rFonts w:cs="Arial"/>
          <w:lang w:val="es-CO" w:eastAsia="es-CO"/>
        </w:rPr>
      </w:pPr>
      <w:r w:rsidRPr="001C38C2">
        <w:rPr>
          <w:rFonts w:cs="Arial"/>
          <w:lang w:val="es-CO" w:eastAsia="es-CO"/>
        </w:rPr>
        <w:t>Se despliega en producción el módulo transversal de seguridad.</w:t>
      </w:r>
    </w:p>
    <w:p w:rsidR="00AA55E0" w:rsidRPr="00AA55E0" w:rsidRDefault="00AA55E0" w:rsidP="00AA55E0">
      <w:pPr>
        <w:spacing w:after="0" w:line="240" w:lineRule="auto"/>
        <w:contextualSpacing/>
        <w:jc w:val="both"/>
        <w:rPr>
          <w:rFonts w:cs="Arial"/>
          <w:lang w:val="es-CO" w:eastAsia="es-CO"/>
        </w:rPr>
      </w:pPr>
    </w:p>
    <w:p w:rsidR="001C38C2" w:rsidRPr="001C38C2" w:rsidRDefault="001C38C2" w:rsidP="00D712DC">
      <w:pPr>
        <w:pStyle w:val="Prrafodelista"/>
        <w:numPr>
          <w:ilvl w:val="0"/>
          <w:numId w:val="113"/>
        </w:numPr>
        <w:spacing w:after="0" w:line="240" w:lineRule="auto"/>
        <w:contextualSpacing/>
        <w:jc w:val="both"/>
        <w:rPr>
          <w:rFonts w:cs="Arial"/>
          <w:lang w:val="es-CO" w:eastAsia="es-CO"/>
        </w:rPr>
      </w:pPr>
      <w:r w:rsidRPr="001C38C2">
        <w:rPr>
          <w:rFonts w:cs="Arial"/>
          <w:lang w:val="es-CO" w:eastAsia="es-CO"/>
        </w:rPr>
        <w:t>Se realizó el proceso de diseño, construcción y llenado del ambiente transaccional, con estructuras estandarizadas del beneficiario único, mediante la construcción de una ETL («extraer, transformar y cargar), que permite llevar las variables transversales del beneficiario de SIM y Cuéntame al ambiente transaccional.  El módulo se desplegó en ambiente de soporte.</w:t>
      </w:r>
    </w:p>
    <w:p w:rsidR="00015C71" w:rsidRPr="004B0C7F" w:rsidRDefault="00015C71" w:rsidP="00015C71">
      <w:pPr>
        <w:spacing w:after="0" w:line="240" w:lineRule="auto"/>
        <w:jc w:val="both"/>
        <w:rPr>
          <w:rFonts w:cs="Arial"/>
          <w:color w:val="0070C0"/>
          <w:lang w:val="es-CO" w:eastAsia="es-CO"/>
        </w:rPr>
      </w:pPr>
    </w:p>
    <w:p w:rsidR="00015C71" w:rsidRPr="00A46C16" w:rsidRDefault="00015C71" w:rsidP="00015C71">
      <w:pPr>
        <w:spacing w:after="0" w:line="240" w:lineRule="auto"/>
        <w:jc w:val="both"/>
        <w:rPr>
          <w:rFonts w:cs="Arial"/>
          <w:lang w:val="es-CO" w:eastAsia="es-CO"/>
        </w:rPr>
      </w:pPr>
      <w:r w:rsidRPr="00A46C16">
        <w:rPr>
          <w:rFonts w:cs="Arial"/>
          <w:lang w:val="es-CO" w:eastAsia="es-CO"/>
        </w:rPr>
        <w:t xml:space="preserve">En cuanto a la Infraestructura tecnológica utilizada para soportar la operación misional y administrativa del ICBF, se hizo necesario en 2016 crecer, fortalecer y evolucionar la infraestructura tecnológica hacia estrategias de virtualización, plataformas integrales de seguridad, crecimiento y actualización de equipos de cómputo, y crecimiento y actualización de licenciamiento. </w:t>
      </w:r>
      <w:r w:rsidR="00000302">
        <w:rPr>
          <w:rFonts w:cs="Arial"/>
          <w:lang w:val="es-CO" w:eastAsia="es-CO"/>
        </w:rPr>
        <w:t>Para esto se realizaron las siguientes actividades</w:t>
      </w:r>
      <w:r w:rsidRPr="00A46C16">
        <w:rPr>
          <w:rFonts w:cs="Arial"/>
          <w:lang w:val="es-CO" w:eastAsia="es-CO"/>
        </w:rPr>
        <w:t xml:space="preserve">: </w:t>
      </w:r>
    </w:p>
    <w:p w:rsidR="00015C71" w:rsidRPr="00A46C16" w:rsidRDefault="00015C71" w:rsidP="00015C71">
      <w:pPr>
        <w:spacing w:after="0" w:line="240" w:lineRule="auto"/>
        <w:jc w:val="both"/>
        <w:rPr>
          <w:rFonts w:cs="Arial"/>
          <w:lang w:val="es-CO" w:eastAsia="es-CO"/>
        </w:rPr>
      </w:pPr>
    </w:p>
    <w:p w:rsidR="00015C71" w:rsidRPr="00AA55E0" w:rsidRDefault="00015C71" w:rsidP="00D712DC">
      <w:pPr>
        <w:pStyle w:val="Prrafodelista"/>
        <w:numPr>
          <w:ilvl w:val="0"/>
          <w:numId w:val="114"/>
        </w:numPr>
        <w:spacing w:after="0" w:line="240" w:lineRule="auto"/>
        <w:contextualSpacing/>
        <w:jc w:val="both"/>
        <w:rPr>
          <w:rFonts w:cs="Arial"/>
          <w:color w:val="0070C0"/>
          <w:lang w:val="es-CO" w:eastAsia="es-CO"/>
        </w:rPr>
      </w:pPr>
      <w:r w:rsidRPr="007F741B">
        <w:rPr>
          <w:rFonts w:cs="Arial"/>
          <w:lang w:val="es-CO" w:eastAsia="es-CO"/>
        </w:rPr>
        <w:t>Adquisición de</w:t>
      </w:r>
      <w:r w:rsidR="00C80F86">
        <w:rPr>
          <w:rFonts w:cs="Arial"/>
          <w:lang w:val="es-CO" w:eastAsia="es-CO"/>
        </w:rPr>
        <w:t xml:space="preserve"> </w:t>
      </w:r>
      <w:r w:rsidRPr="007F741B">
        <w:rPr>
          <w:rFonts w:cs="Arial"/>
          <w:lang w:val="es-CO" w:eastAsia="es-CO"/>
        </w:rPr>
        <w:t>696 computadores personales, 200 portátiles, 180 impresoras multifuncionales, 60 impresoras sencillas, ocho impresoras de etiquetas, tres impresoras de código de barras, 120 escáneres de escritorio y un escáner portátil</w:t>
      </w:r>
      <w:r w:rsidR="007F741B">
        <w:rPr>
          <w:rFonts w:cs="Arial"/>
          <w:lang w:val="es-CO" w:eastAsia="es-CO"/>
        </w:rPr>
        <w:t xml:space="preserve"> </w:t>
      </w:r>
      <w:r w:rsidR="001C38C2">
        <w:rPr>
          <w:rFonts w:cs="Arial"/>
          <w:lang w:val="es-CO" w:eastAsia="es-CO"/>
        </w:rPr>
        <w:t>a nivel nacional</w:t>
      </w:r>
      <w:r w:rsidR="001C38C2" w:rsidRPr="001C38C2">
        <w:rPr>
          <w:rFonts w:cs="Arial"/>
          <w:lang w:val="es-CO" w:eastAsia="es-CO"/>
        </w:rPr>
        <w:t>.</w:t>
      </w:r>
    </w:p>
    <w:p w:rsidR="00AA55E0" w:rsidRPr="004B0C7F" w:rsidRDefault="00AA55E0" w:rsidP="00AA55E0">
      <w:pPr>
        <w:pStyle w:val="Prrafodelista"/>
        <w:spacing w:after="0" w:line="240" w:lineRule="auto"/>
        <w:ind w:left="360"/>
        <w:contextualSpacing/>
        <w:jc w:val="both"/>
        <w:rPr>
          <w:rFonts w:cs="Arial"/>
          <w:color w:val="0070C0"/>
          <w:lang w:val="es-CO" w:eastAsia="es-CO"/>
        </w:rPr>
      </w:pPr>
    </w:p>
    <w:p w:rsidR="00AA55E0"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 xml:space="preserve">Renovación de 34.438 licencias de desarrollo, productividad y estandarización, y adquisición de 104 licencias </w:t>
      </w:r>
      <w:r w:rsidR="001C38C2" w:rsidRPr="001C38C2">
        <w:rPr>
          <w:rFonts w:cs="Arial"/>
          <w:lang w:val="es-CO" w:eastAsia="es-CO"/>
        </w:rPr>
        <w:t>(Servicios Cloud para El Portal Web, Crystal Report, Linux Red Hat, Argis Geocodificador)</w:t>
      </w:r>
      <w:r w:rsidR="001C38C2">
        <w:rPr>
          <w:rFonts w:cs="Arial"/>
          <w:lang w:val="es-CO" w:eastAsia="es-CO"/>
        </w:rPr>
        <w:t xml:space="preserve">, </w:t>
      </w:r>
      <w:r w:rsidRPr="007F741B">
        <w:rPr>
          <w:rFonts w:cs="Arial"/>
          <w:lang w:val="es-CO" w:eastAsia="es-CO"/>
        </w:rPr>
        <w:t>para un total de 34.542.</w:t>
      </w:r>
    </w:p>
    <w:p w:rsidR="00015C71" w:rsidRPr="00AA55E0" w:rsidRDefault="00015C71" w:rsidP="00AA55E0">
      <w:pPr>
        <w:spacing w:after="0" w:line="240" w:lineRule="auto"/>
        <w:contextualSpacing/>
        <w:jc w:val="both"/>
        <w:rPr>
          <w:rFonts w:cs="Arial"/>
          <w:lang w:val="es-CO" w:eastAsia="es-CO"/>
        </w:rPr>
      </w:pPr>
      <w:r w:rsidRPr="00AA55E0">
        <w:rPr>
          <w:rFonts w:cs="Arial"/>
          <w:lang w:val="es-CO" w:eastAsia="es-CO"/>
        </w:rPr>
        <w:t xml:space="preserve"> </w:t>
      </w: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Adquisición, instalación y puesta en funcionamiento de canales de comunicación para tres centros zonales nuevos (Nazareth - Guajira; Piendamó - Cauca y Cartagena - Bolivar).</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Ampliación del ancho de banda para 204 canales de comunicación en todo el país.</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 xml:space="preserve">Adquisición, configuración y puesta en funcionamiento de 100 switches de última generación para 33 regionales, los cuales permiten optimizar el rendimiento de los servicios de conectividad </w:t>
      </w:r>
      <w:r w:rsidR="00AA55E0">
        <w:rPr>
          <w:rFonts w:cs="Arial"/>
          <w:lang w:val="es-CO" w:eastAsia="es-CO"/>
        </w:rPr>
        <w:t>y facilitar su administración.</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Adquisición, configuración y puesta en funcionamiento de 40 acces points para brindar conectividad inalámbrica a las 33 regionales del ICBF.</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Adquisición del soporte de la aplicación Networker hasta 31 de marzo de 2017 y el cambio de versión 8.2 a la versión 9.0.</w:t>
      </w:r>
    </w:p>
    <w:p w:rsidR="00AA55E0" w:rsidRPr="00AA55E0" w:rsidRDefault="00AA55E0" w:rsidP="00AA55E0">
      <w:pPr>
        <w:spacing w:after="0" w:line="240" w:lineRule="auto"/>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Realización de la migración de la data de la plataforma AVAMAR hacia Networker.</w:t>
      </w:r>
    </w:p>
    <w:p w:rsidR="00AA55E0" w:rsidRPr="00AA55E0" w:rsidRDefault="00AA55E0" w:rsidP="00AA55E0">
      <w:pPr>
        <w:spacing w:after="0" w:line="240" w:lineRule="auto"/>
        <w:contextualSpacing/>
        <w:jc w:val="both"/>
        <w:rPr>
          <w:rFonts w:cs="Arial"/>
          <w:lang w:val="es-CO" w:eastAsia="es-CO"/>
        </w:rPr>
      </w:pPr>
    </w:p>
    <w:p w:rsidR="00015C71" w:rsidRPr="007F741B"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Migración de los repositorios (archivos) de las regionales ubicadas en la NAS para descentralizar a los servidores de convergencia, obteniendo mejor performance y administración.</w:t>
      </w: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Aumento de la capacidad de procesamiento del servidor de HELPEOPLE para poder escanear diariamente la red de ICBF y lograr la actualización constante de equipos activos en ICBF.</w:t>
      </w:r>
    </w:p>
    <w:p w:rsidR="00AA55E0" w:rsidRPr="007F741B" w:rsidRDefault="00AA55E0" w:rsidP="00AA55E0">
      <w:pPr>
        <w:pStyle w:val="Prrafodelista"/>
        <w:spacing w:after="0" w:line="240" w:lineRule="auto"/>
        <w:ind w:left="360"/>
        <w:contextualSpacing/>
        <w:jc w:val="both"/>
        <w:rPr>
          <w:rFonts w:cs="Arial"/>
          <w:lang w:val="es-CO" w:eastAsia="es-CO"/>
        </w:rPr>
      </w:pPr>
    </w:p>
    <w:p w:rsidR="00015C71" w:rsidRDefault="00015C71" w:rsidP="00D712DC">
      <w:pPr>
        <w:pStyle w:val="Prrafodelista"/>
        <w:numPr>
          <w:ilvl w:val="0"/>
          <w:numId w:val="114"/>
        </w:numPr>
        <w:spacing w:after="0" w:line="240" w:lineRule="auto"/>
        <w:contextualSpacing/>
        <w:jc w:val="both"/>
        <w:rPr>
          <w:rFonts w:cs="Arial"/>
          <w:lang w:val="es-CO" w:eastAsia="es-CO"/>
        </w:rPr>
      </w:pPr>
      <w:r w:rsidRPr="007F741B">
        <w:rPr>
          <w:rFonts w:cs="Arial"/>
          <w:lang w:val="es-CO" w:eastAsia="es-CO"/>
        </w:rPr>
        <w:t xml:space="preserve">Con la certificación de la norma ISO 27001:2013, mejora de la implementación de controles de seguridad de la información tanto físicos como lógicos sobre los activos de información de los niños, niñas, adolescentes y familias colombianas beneficiarias de los programas del ICBF; temas que se han escalado y llevado hasta las regionales del ICBF, realizando </w:t>
      </w:r>
      <w:r w:rsidRPr="00E76FCC">
        <w:rPr>
          <w:rFonts w:cs="Arial"/>
          <w:lang w:val="es-CO" w:eastAsia="es-CO"/>
        </w:rPr>
        <w:t xml:space="preserve">mantenimiento al SGSI del ICBF y depurando la información al proceso de Gestión Tecnológica para el mantenimiento de la Certificación. </w:t>
      </w:r>
    </w:p>
    <w:p w:rsidR="00F51C47" w:rsidRPr="00E76FCC" w:rsidRDefault="00F51C47" w:rsidP="006D4C4F">
      <w:pPr>
        <w:ind w:left="708"/>
        <w:rPr>
          <w:lang w:val="es-CO" w:eastAsia="es-CO"/>
        </w:rPr>
      </w:pPr>
    </w:p>
    <w:p w:rsidR="005B32F2" w:rsidRDefault="00A365F0" w:rsidP="007342CF">
      <w:pPr>
        <w:pStyle w:val="Ttulo2"/>
        <w:numPr>
          <w:ilvl w:val="2"/>
          <w:numId w:val="244"/>
        </w:numPr>
        <w:spacing w:before="120"/>
        <w:rPr>
          <w:rFonts w:eastAsia="Calibri" w:cs="Times New Roman"/>
          <w:b/>
          <w:szCs w:val="22"/>
        </w:rPr>
      </w:pPr>
      <w:bookmarkStart w:id="267" w:name="_Toc473581467"/>
      <w:r w:rsidRPr="00B8532B">
        <w:rPr>
          <w:rFonts w:eastAsia="Calibri" w:cs="Times New Roman"/>
          <w:b/>
          <w:szCs w:val="22"/>
        </w:rPr>
        <w:t>L</w:t>
      </w:r>
      <w:r w:rsidR="00F51C47" w:rsidRPr="00B8532B">
        <w:rPr>
          <w:rFonts w:eastAsia="Calibri" w:cs="Times New Roman"/>
          <w:b/>
          <w:szCs w:val="22"/>
        </w:rPr>
        <w:t>ogros 2016</w:t>
      </w:r>
      <w:bookmarkEnd w:id="267"/>
    </w:p>
    <w:p w:rsidR="00B8532B" w:rsidRPr="00B8532B" w:rsidRDefault="00B8532B" w:rsidP="00B8532B"/>
    <w:p w:rsidR="00A365F0" w:rsidRDefault="00A365F0" w:rsidP="00D712DC">
      <w:pPr>
        <w:pStyle w:val="Prrafodelista"/>
        <w:numPr>
          <w:ilvl w:val="0"/>
          <w:numId w:val="114"/>
        </w:numPr>
        <w:spacing w:after="0" w:line="240" w:lineRule="auto"/>
        <w:contextualSpacing/>
        <w:jc w:val="both"/>
        <w:rPr>
          <w:rFonts w:cs="Arial"/>
          <w:lang w:val="es-CO" w:eastAsia="es-CO"/>
        </w:rPr>
      </w:pPr>
      <w:r w:rsidRPr="00AC043C">
        <w:rPr>
          <w:rFonts w:cs="Arial"/>
          <w:lang w:val="es-CO" w:eastAsia="es-CO"/>
        </w:rPr>
        <w:t xml:space="preserve">Mejora funcional del SIM mediante la puesta en producción de la funcionalidad de liquidación de servicios de protección, el rediseño e implementación de las pantallas para el registro del resultado de audiencias control de Garantías y Conocimiento, el mejoramiento al control de programación de entregas de Bienestarina, el fortalecimiento de su desempeño con su implementación en la plataforma de hiperconvergencia y el </w:t>
      </w:r>
      <w:r>
        <w:rPr>
          <w:rFonts w:cs="Arial"/>
          <w:lang w:val="es-CO" w:eastAsia="es-CO"/>
        </w:rPr>
        <w:t>a</w:t>
      </w:r>
      <w:r w:rsidRPr="00AC043C">
        <w:rPr>
          <w:rFonts w:cs="Arial"/>
          <w:lang w:val="es-CO" w:eastAsia="es-CO"/>
        </w:rPr>
        <w:t xml:space="preserve">juste al módulo de adopciones de acuerdo </w:t>
      </w:r>
      <w:r>
        <w:rPr>
          <w:rFonts w:cs="Arial"/>
          <w:lang w:val="es-CO" w:eastAsia="es-CO"/>
        </w:rPr>
        <w:t>con e</w:t>
      </w:r>
      <w:r w:rsidRPr="00AC043C">
        <w:rPr>
          <w:rFonts w:cs="Arial"/>
          <w:lang w:val="es-CO" w:eastAsia="es-CO"/>
        </w:rPr>
        <w:t>l nuevo lineamiento técnico.</w:t>
      </w:r>
    </w:p>
    <w:p w:rsidR="00AA55E0" w:rsidRDefault="00AA55E0" w:rsidP="00AA55E0">
      <w:pPr>
        <w:pStyle w:val="Prrafodelista"/>
        <w:spacing w:after="0" w:line="240" w:lineRule="auto"/>
        <w:ind w:left="360"/>
        <w:contextualSpacing/>
        <w:jc w:val="both"/>
        <w:rPr>
          <w:rFonts w:cs="Arial"/>
          <w:lang w:val="es-CO" w:eastAsia="es-CO"/>
        </w:rPr>
      </w:pPr>
    </w:p>
    <w:p w:rsidR="00A365F0" w:rsidRDefault="00A365F0" w:rsidP="00D712DC">
      <w:pPr>
        <w:pStyle w:val="Prrafodelista"/>
        <w:numPr>
          <w:ilvl w:val="0"/>
          <w:numId w:val="114"/>
        </w:numPr>
        <w:spacing w:after="0" w:line="240" w:lineRule="auto"/>
        <w:contextualSpacing/>
        <w:jc w:val="both"/>
        <w:rPr>
          <w:rFonts w:cs="Arial"/>
          <w:lang w:val="es-CO" w:eastAsia="es-CO"/>
        </w:rPr>
      </w:pPr>
      <w:r w:rsidRPr="00AC043C">
        <w:rPr>
          <w:rFonts w:cs="Arial"/>
          <w:lang w:val="es-CO" w:eastAsia="es-CO"/>
        </w:rPr>
        <w:t>Mejora funcional del CUÉNTAME a partir del rediseño e implementación del módulo de talento humano</w:t>
      </w:r>
      <w:r>
        <w:rPr>
          <w:rFonts w:cs="Arial"/>
          <w:lang w:val="es-CO" w:eastAsia="es-CO"/>
        </w:rPr>
        <w:t>;</w:t>
      </w:r>
      <w:r w:rsidRPr="00AC043C">
        <w:rPr>
          <w:rFonts w:cs="Arial"/>
          <w:lang w:val="es-CO" w:eastAsia="es-CO"/>
        </w:rPr>
        <w:t xml:space="preserve"> el fortalecimiento de la funcionalidad de contratos</w:t>
      </w:r>
      <w:r>
        <w:rPr>
          <w:rFonts w:cs="Arial"/>
          <w:lang w:val="es-CO" w:eastAsia="es-CO"/>
        </w:rPr>
        <w:t>;</w:t>
      </w:r>
      <w:r w:rsidRPr="00AC043C">
        <w:rPr>
          <w:rFonts w:cs="Arial"/>
          <w:lang w:val="es-CO" w:eastAsia="es-CO"/>
        </w:rPr>
        <w:t xml:space="preserve"> la actualización de datos duplicados y la generación de reporte duplicidad</w:t>
      </w:r>
      <w:r>
        <w:rPr>
          <w:rFonts w:cs="Arial"/>
          <w:lang w:val="es-CO" w:eastAsia="es-CO"/>
        </w:rPr>
        <w:t>;</w:t>
      </w:r>
      <w:r w:rsidRPr="00AC043C">
        <w:rPr>
          <w:rFonts w:cs="Arial"/>
          <w:lang w:val="es-CO" w:eastAsia="es-CO"/>
        </w:rPr>
        <w:t xml:space="preserve"> la unificación de la pantalla de beneficiario y edición de datos básicos, proceso de focalización y </w:t>
      </w:r>
      <w:r>
        <w:rPr>
          <w:rFonts w:cs="Arial"/>
          <w:lang w:val="es-CO" w:eastAsia="es-CO"/>
        </w:rPr>
        <w:t xml:space="preserve">la </w:t>
      </w:r>
      <w:r w:rsidRPr="00AC043C">
        <w:rPr>
          <w:rFonts w:cs="Arial"/>
          <w:lang w:val="es-CO" w:eastAsia="es-CO"/>
        </w:rPr>
        <w:t>parametrización de los servicios de concurrencia</w:t>
      </w:r>
      <w:r>
        <w:rPr>
          <w:rFonts w:cs="Arial"/>
          <w:lang w:val="es-CO" w:eastAsia="es-CO"/>
        </w:rPr>
        <w:t>.</w:t>
      </w:r>
    </w:p>
    <w:p w:rsidR="00AA55E0" w:rsidRPr="00AA55E0" w:rsidRDefault="00AA55E0" w:rsidP="00AA55E0">
      <w:pPr>
        <w:spacing w:after="0" w:line="240" w:lineRule="auto"/>
        <w:contextualSpacing/>
        <w:jc w:val="both"/>
        <w:rPr>
          <w:rFonts w:cs="Arial"/>
          <w:lang w:val="es-CO" w:eastAsia="es-CO"/>
        </w:rPr>
      </w:pPr>
    </w:p>
    <w:p w:rsidR="00A365F0" w:rsidRPr="00AA55E0" w:rsidRDefault="00A365F0" w:rsidP="00D712DC">
      <w:pPr>
        <w:pStyle w:val="Prrafodelista"/>
        <w:numPr>
          <w:ilvl w:val="0"/>
          <w:numId w:val="114"/>
        </w:numPr>
        <w:spacing w:after="0" w:line="240" w:lineRule="auto"/>
        <w:contextualSpacing/>
        <w:jc w:val="both"/>
        <w:rPr>
          <w:rFonts w:cs="Arial"/>
          <w:lang w:val="es-CO" w:eastAsia="es-CO"/>
        </w:rPr>
      </w:pPr>
      <w:r>
        <w:rPr>
          <w:rFonts w:cs="Arial"/>
          <w:lang w:val="es-CO" w:eastAsia="es-CO"/>
        </w:rPr>
        <w:t xml:space="preserve">Construcción de módulos y sistemas de SIGEPCYP Fase 2 y 3, contratos y SIRILI </w:t>
      </w:r>
      <w:r w:rsidRPr="00AC043C">
        <w:rPr>
          <w:rFonts w:cs="Arial"/>
          <w:bCs/>
          <w:lang w:val="es-CO" w:eastAsia="es-CO"/>
        </w:rPr>
        <w:t>(</w:t>
      </w:r>
      <w:r w:rsidRPr="00AC043C">
        <w:rPr>
          <w:rFonts w:cs="Arial"/>
          <w:lang w:val="es-CO" w:eastAsia="es-CO"/>
        </w:rPr>
        <w:t>Sistema integrado de reportes inmediatos, libros e información)</w:t>
      </w:r>
      <w:r>
        <w:rPr>
          <w:rFonts w:cs="Arial"/>
          <w:lang w:val="es-CO" w:eastAsia="es-CO"/>
        </w:rPr>
        <w:t xml:space="preserve"> e </w:t>
      </w:r>
      <w:r w:rsidRPr="00AC043C">
        <w:rPr>
          <w:rFonts w:cs="Arial"/>
          <w:bCs/>
          <w:lang w:val="es-CO" w:eastAsia="es-CO"/>
        </w:rPr>
        <w:t>integración del Sistema de Análisis y Seguimiento Presupuestal al NMF.</w:t>
      </w:r>
    </w:p>
    <w:p w:rsidR="00AA55E0" w:rsidRPr="00AA55E0" w:rsidRDefault="00AA55E0" w:rsidP="00AA55E0">
      <w:pPr>
        <w:spacing w:after="0" w:line="240" w:lineRule="auto"/>
        <w:contextualSpacing/>
        <w:jc w:val="both"/>
        <w:rPr>
          <w:rFonts w:cs="Arial"/>
          <w:lang w:val="es-CO" w:eastAsia="es-CO"/>
        </w:rPr>
      </w:pPr>
    </w:p>
    <w:p w:rsidR="00A365F0" w:rsidRDefault="00A365F0" w:rsidP="00D712DC">
      <w:pPr>
        <w:pStyle w:val="Prrafodelista"/>
        <w:numPr>
          <w:ilvl w:val="0"/>
          <w:numId w:val="114"/>
        </w:numPr>
        <w:spacing w:after="0" w:line="240" w:lineRule="auto"/>
        <w:contextualSpacing/>
        <w:jc w:val="both"/>
        <w:rPr>
          <w:rFonts w:cs="Arial"/>
          <w:lang w:val="es-CO" w:eastAsia="es-CO"/>
        </w:rPr>
      </w:pPr>
      <w:r w:rsidRPr="00AC043C">
        <w:rPr>
          <w:rFonts w:cs="Arial"/>
          <w:bCs/>
          <w:lang w:val="es-CO" w:eastAsia="es-CO"/>
        </w:rPr>
        <w:t xml:space="preserve">Mejoramiento de la seguridad informática y de la información con </w:t>
      </w:r>
      <w:r w:rsidRPr="00AC043C">
        <w:rPr>
          <w:rFonts w:cs="Arial"/>
          <w:lang w:val="es-CO" w:eastAsia="es-CO"/>
        </w:rPr>
        <w:t>la recertificación en la norma ISO 27001:2013, sin tener no conformidades, y el fortaleci</w:t>
      </w:r>
      <w:r>
        <w:rPr>
          <w:rFonts w:cs="Arial"/>
          <w:lang w:val="es-CO" w:eastAsia="es-CO"/>
        </w:rPr>
        <w:t>miento de</w:t>
      </w:r>
      <w:r w:rsidRPr="00AC043C">
        <w:rPr>
          <w:rFonts w:cs="Arial"/>
          <w:lang w:val="es-CO" w:eastAsia="es-CO"/>
        </w:rPr>
        <w:t xml:space="preserve"> las características técnicas de seguridad a los Servicios TIC en el área de Seguridad Informática.</w:t>
      </w:r>
    </w:p>
    <w:p w:rsidR="00AA55E0" w:rsidRPr="00AA55E0" w:rsidRDefault="00AA55E0" w:rsidP="00AA55E0">
      <w:pPr>
        <w:spacing w:after="0" w:line="240" w:lineRule="auto"/>
        <w:contextualSpacing/>
        <w:jc w:val="both"/>
        <w:rPr>
          <w:rFonts w:cs="Arial"/>
          <w:lang w:val="es-CO" w:eastAsia="es-CO"/>
        </w:rPr>
      </w:pPr>
    </w:p>
    <w:p w:rsidR="00A365F0" w:rsidRPr="006831CC" w:rsidRDefault="00A365F0" w:rsidP="00D712DC">
      <w:pPr>
        <w:pStyle w:val="Prrafodelista"/>
        <w:numPr>
          <w:ilvl w:val="0"/>
          <w:numId w:val="114"/>
        </w:numPr>
        <w:spacing w:after="0" w:line="240" w:lineRule="auto"/>
        <w:contextualSpacing/>
        <w:jc w:val="both"/>
        <w:rPr>
          <w:rFonts w:cs="Arial"/>
          <w:lang w:val="es-CO" w:eastAsia="es-CO"/>
        </w:rPr>
      </w:pPr>
      <w:r w:rsidRPr="00AC043C">
        <w:rPr>
          <w:rFonts w:cs="Arial"/>
          <w:lang w:val="es-CO" w:eastAsia="es-CO"/>
        </w:rPr>
        <w:t xml:space="preserve">Fortalecimiento de la </w:t>
      </w:r>
      <w:r w:rsidRPr="00AC043C">
        <w:rPr>
          <w:rFonts w:cs="Arial"/>
          <w:bCs/>
          <w:lang w:val="es-CO" w:eastAsia="es-CO"/>
        </w:rPr>
        <w:t xml:space="preserve">infraestructura tecnológica por medio de la ampliación </w:t>
      </w:r>
      <w:r w:rsidRPr="00AC043C">
        <w:rPr>
          <w:rFonts w:cs="Arial"/>
          <w:lang w:val="es-CO" w:eastAsia="es-CO"/>
        </w:rPr>
        <w:t>de los anchos de banda de los enlaces de comunicaciones en 204 canales de comunicación en todo el país, el fortaleci</w:t>
      </w:r>
      <w:r>
        <w:rPr>
          <w:rFonts w:cs="Arial"/>
          <w:lang w:val="es-CO" w:eastAsia="es-CO"/>
        </w:rPr>
        <w:t>miento de</w:t>
      </w:r>
      <w:r w:rsidRPr="00AC043C">
        <w:rPr>
          <w:rFonts w:cs="Arial"/>
          <w:lang w:val="es-CO" w:eastAsia="es-CO"/>
        </w:rPr>
        <w:t xml:space="preserve"> la configuración de la infraestructura de comunicaciones LAN y WLAN, así como Telefonía IP</w:t>
      </w:r>
      <w:r>
        <w:rPr>
          <w:rFonts w:cs="Arial"/>
          <w:lang w:val="es-CO" w:eastAsia="es-CO"/>
        </w:rPr>
        <w:t xml:space="preserve">, y la ampliación de </w:t>
      </w:r>
      <w:r w:rsidRPr="006831CC">
        <w:rPr>
          <w:rFonts w:cs="Arial"/>
          <w:lang w:val="es-CO" w:eastAsia="es-CO"/>
        </w:rPr>
        <w:t>la plataforma de hyperconvergencia y migraron los fileserver a los servidores de convergencia de las regionales.</w:t>
      </w:r>
    </w:p>
    <w:p w:rsidR="00A365F0" w:rsidRDefault="00A365F0" w:rsidP="006D4C4F">
      <w:pPr>
        <w:ind w:left="708"/>
        <w:rPr>
          <w:b/>
          <w:lang w:val="es-CO" w:eastAsia="es-CO"/>
        </w:rPr>
      </w:pPr>
    </w:p>
    <w:p w:rsidR="00FD2E87" w:rsidRPr="006D4C4F" w:rsidRDefault="00FD2E87" w:rsidP="006D4C4F">
      <w:pPr>
        <w:ind w:left="708"/>
        <w:rPr>
          <w:b/>
          <w:lang w:val="es-CO" w:eastAsia="es-CO"/>
        </w:rPr>
      </w:pPr>
    </w:p>
    <w:p w:rsidR="00F608BE" w:rsidRDefault="00A365F0" w:rsidP="007342CF">
      <w:pPr>
        <w:pStyle w:val="Ttulo2"/>
        <w:numPr>
          <w:ilvl w:val="2"/>
          <w:numId w:val="244"/>
        </w:numPr>
        <w:spacing w:before="120"/>
        <w:rPr>
          <w:rFonts w:eastAsia="Calibri" w:cs="Times New Roman"/>
          <w:b/>
          <w:szCs w:val="22"/>
        </w:rPr>
      </w:pPr>
      <w:bookmarkStart w:id="268" w:name="_Toc473581468"/>
      <w:r w:rsidRPr="00B8532B">
        <w:rPr>
          <w:rFonts w:eastAsia="Calibri" w:cs="Times New Roman"/>
          <w:b/>
          <w:szCs w:val="22"/>
        </w:rPr>
        <w:t>R</w:t>
      </w:r>
      <w:r w:rsidR="00F51C47" w:rsidRPr="00B8532B">
        <w:rPr>
          <w:rFonts w:eastAsia="Calibri" w:cs="Times New Roman"/>
          <w:b/>
          <w:szCs w:val="22"/>
        </w:rPr>
        <w:t>etos 2017</w:t>
      </w:r>
      <w:bookmarkEnd w:id="268"/>
    </w:p>
    <w:p w:rsidR="00B8532B" w:rsidRPr="00B8532B" w:rsidRDefault="00B8532B" w:rsidP="00B8532B"/>
    <w:p w:rsidR="00F608BE" w:rsidRDefault="00F608BE" w:rsidP="00470DCA">
      <w:pPr>
        <w:pStyle w:val="Prrafodelista"/>
        <w:numPr>
          <w:ilvl w:val="0"/>
          <w:numId w:val="210"/>
        </w:numPr>
        <w:spacing w:after="0" w:line="240" w:lineRule="auto"/>
        <w:contextualSpacing/>
        <w:jc w:val="both"/>
        <w:rPr>
          <w:rFonts w:cs="Arial"/>
          <w:lang w:val="es-CO" w:eastAsia="es-CO"/>
        </w:rPr>
      </w:pPr>
      <w:r w:rsidRPr="00000302">
        <w:rPr>
          <w:rFonts w:cs="Arial"/>
          <w:lang w:val="es-CO" w:eastAsia="es-CO"/>
        </w:rPr>
        <w:t>Fortalecer el nivel de cumplimiento de las fechas de entrega de los desarrollos y despliegue en producción de los ajustes a los sistemas de información de la Subdirección de Sistemas Integrados de Información, de acuerdo con la programación establecida.</w:t>
      </w:r>
    </w:p>
    <w:p w:rsidR="00AA55E0" w:rsidRPr="00000302" w:rsidRDefault="00AA55E0" w:rsidP="00AA55E0">
      <w:pPr>
        <w:pStyle w:val="Prrafodelista"/>
        <w:spacing w:after="0" w:line="240" w:lineRule="auto"/>
        <w:ind w:left="360"/>
        <w:contextualSpacing/>
        <w:jc w:val="both"/>
        <w:rPr>
          <w:rFonts w:cs="Arial"/>
          <w:lang w:val="es-CO" w:eastAsia="es-CO"/>
        </w:rPr>
      </w:pPr>
    </w:p>
    <w:p w:rsidR="00000302" w:rsidRDefault="00000302" w:rsidP="00D712DC">
      <w:pPr>
        <w:pStyle w:val="Prrafodelista"/>
        <w:numPr>
          <w:ilvl w:val="0"/>
          <w:numId w:val="114"/>
        </w:numPr>
        <w:spacing w:after="0" w:line="240" w:lineRule="auto"/>
        <w:contextualSpacing/>
        <w:jc w:val="both"/>
        <w:rPr>
          <w:rFonts w:cs="Arial"/>
          <w:lang w:val="es-CO" w:eastAsia="es-CO"/>
        </w:rPr>
      </w:pPr>
      <w:r>
        <w:rPr>
          <w:rFonts w:cs="Arial"/>
          <w:lang w:val="es-CO" w:eastAsia="es-CO"/>
        </w:rPr>
        <w:t xml:space="preserve">Fortalecer la provisión de </w:t>
      </w:r>
      <w:r w:rsidRPr="00C7075D">
        <w:rPr>
          <w:rFonts w:cs="Arial"/>
          <w:lang w:val="es-CO" w:eastAsia="es-CO"/>
        </w:rPr>
        <w:t xml:space="preserve">recursos tecnológicos </w:t>
      </w:r>
      <w:r>
        <w:rPr>
          <w:rFonts w:cs="Arial"/>
          <w:lang w:val="es-CO" w:eastAsia="es-CO"/>
        </w:rPr>
        <w:t xml:space="preserve">por parte de la </w:t>
      </w:r>
      <w:r w:rsidRPr="00000302">
        <w:rPr>
          <w:rFonts w:cs="Arial"/>
          <w:lang w:val="es-CO" w:eastAsia="es-CO"/>
        </w:rPr>
        <w:t>Subdirección de Recursos Tecnológicos</w:t>
      </w:r>
      <w:r>
        <w:rPr>
          <w:rFonts w:cs="Arial"/>
          <w:lang w:val="es-CO" w:eastAsia="es-CO"/>
        </w:rPr>
        <w:t>, en lo correspondiente a</w:t>
      </w:r>
      <w:r w:rsidRPr="00C7075D">
        <w:rPr>
          <w:rFonts w:cs="Arial"/>
          <w:lang w:val="es-CO" w:eastAsia="es-CO"/>
        </w:rPr>
        <w:t xml:space="preserve"> parque computacional (equipos), conectividad (capacidad de los canales de datos, internet, telefonía)</w:t>
      </w:r>
      <w:r>
        <w:rPr>
          <w:rFonts w:cs="Arial"/>
          <w:lang w:val="es-CO" w:eastAsia="es-CO"/>
        </w:rPr>
        <w:t>,</w:t>
      </w:r>
      <w:r w:rsidRPr="00C7075D">
        <w:rPr>
          <w:rFonts w:cs="Arial"/>
          <w:lang w:val="es-CO" w:eastAsia="es-CO"/>
        </w:rPr>
        <w:t xml:space="preserve"> servidores, almacenamiento, licenciamiento y demás componentes de la infraestructura tecnológica</w:t>
      </w:r>
      <w:r>
        <w:rPr>
          <w:rFonts w:cs="Arial"/>
          <w:lang w:val="es-CO" w:eastAsia="es-CO"/>
        </w:rPr>
        <w:t>,</w:t>
      </w:r>
      <w:r w:rsidRPr="00C7075D">
        <w:rPr>
          <w:rFonts w:cs="Arial"/>
          <w:lang w:val="es-CO" w:eastAsia="es-CO"/>
        </w:rPr>
        <w:t xml:space="preserve"> para so</w:t>
      </w:r>
      <w:r w:rsidR="00AA55E0">
        <w:rPr>
          <w:rFonts w:cs="Arial"/>
          <w:lang w:val="es-CO" w:eastAsia="es-CO"/>
        </w:rPr>
        <w:t>portar demandas no programadas.</w:t>
      </w:r>
    </w:p>
    <w:p w:rsidR="00AA55E0" w:rsidRPr="00C7075D" w:rsidRDefault="00AA55E0" w:rsidP="00AA55E0">
      <w:pPr>
        <w:pStyle w:val="Prrafodelista"/>
        <w:spacing w:after="0" w:line="240" w:lineRule="auto"/>
        <w:ind w:left="360"/>
        <w:contextualSpacing/>
        <w:jc w:val="both"/>
        <w:rPr>
          <w:rFonts w:cs="Arial"/>
          <w:lang w:val="es-CO" w:eastAsia="es-CO"/>
        </w:rPr>
      </w:pPr>
    </w:p>
    <w:p w:rsidR="00000302" w:rsidRPr="00C7075D" w:rsidRDefault="00000302" w:rsidP="00D712DC">
      <w:pPr>
        <w:pStyle w:val="Prrafodelista"/>
        <w:numPr>
          <w:ilvl w:val="0"/>
          <w:numId w:val="114"/>
        </w:numPr>
        <w:spacing w:after="0" w:line="240" w:lineRule="auto"/>
        <w:contextualSpacing/>
        <w:jc w:val="both"/>
        <w:rPr>
          <w:rFonts w:cs="Arial"/>
          <w:lang w:val="es-CO" w:eastAsia="es-CO"/>
        </w:rPr>
      </w:pPr>
      <w:r>
        <w:rPr>
          <w:rFonts w:cs="Arial"/>
          <w:lang w:val="es-CO" w:eastAsia="es-CO"/>
        </w:rPr>
        <w:t>Promover entre las y</w:t>
      </w:r>
      <w:r w:rsidRPr="00C7075D">
        <w:rPr>
          <w:rFonts w:cs="Arial"/>
          <w:lang w:val="es-CO" w:eastAsia="es-CO"/>
        </w:rPr>
        <w:t xml:space="preserve"> los colaboradores </w:t>
      </w:r>
      <w:r>
        <w:rPr>
          <w:rFonts w:cs="Arial"/>
          <w:lang w:val="es-CO" w:eastAsia="es-CO"/>
        </w:rPr>
        <w:t>l</w:t>
      </w:r>
      <w:r w:rsidRPr="00C7075D">
        <w:rPr>
          <w:rFonts w:cs="Arial"/>
          <w:lang w:val="es-CO" w:eastAsia="es-CO"/>
        </w:rPr>
        <w:t>a incorpora</w:t>
      </w:r>
      <w:r>
        <w:rPr>
          <w:rFonts w:cs="Arial"/>
          <w:lang w:val="es-CO" w:eastAsia="es-CO"/>
        </w:rPr>
        <w:t>ción de</w:t>
      </w:r>
      <w:r w:rsidRPr="00C7075D">
        <w:rPr>
          <w:rFonts w:cs="Arial"/>
          <w:lang w:val="es-CO" w:eastAsia="es-CO"/>
        </w:rPr>
        <w:t xml:space="preserve"> la cultu</w:t>
      </w:r>
      <w:r>
        <w:rPr>
          <w:rFonts w:cs="Arial"/>
          <w:lang w:val="es-CO" w:eastAsia="es-CO"/>
        </w:rPr>
        <w:t>ra de solicitar mediante ticket</w:t>
      </w:r>
      <w:r w:rsidRPr="00C7075D">
        <w:rPr>
          <w:rFonts w:cs="Arial"/>
          <w:lang w:val="es-CO" w:eastAsia="es-CO"/>
        </w:rPr>
        <w:t>.</w:t>
      </w:r>
    </w:p>
    <w:p w:rsidR="005B32F2" w:rsidRDefault="005B32F2" w:rsidP="005B32F2">
      <w:pPr>
        <w:spacing w:after="0" w:line="240" w:lineRule="auto"/>
        <w:contextualSpacing/>
        <w:jc w:val="both"/>
        <w:rPr>
          <w:rFonts w:cs="Arial"/>
          <w:color w:val="FF0000"/>
          <w:lang w:val="es-CO" w:eastAsia="es-CO"/>
        </w:rPr>
      </w:pPr>
    </w:p>
    <w:p w:rsidR="00B8532B" w:rsidRPr="005B32F2" w:rsidRDefault="00B8532B" w:rsidP="005B32F2">
      <w:pPr>
        <w:spacing w:after="0" w:line="240" w:lineRule="auto"/>
        <w:contextualSpacing/>
        <w:jc w:val="both"/>
        <w:rPr>
          <w:rFonts w:cs="Arial"/>
          <w:color w:val="FF0000"/>
          <w:lang w:val="es-CO" w:eastAsia="es-CO"/>
        </w:rPr>
      </w:pPr>
    </w:p>
    <w:p w:rsidR="00015C71" w:rsidRPr="00F51C47" w:rsidRDefault="00015C71" w:rsidP="007342CF">
      <w:pPr>
        <w:pStyle w:val="Ttulo2"/>
        <w:numPr>
          <w:ilvl w:val="1"/>
          <w:numId w:val="244"/>
        </w:numPr>
        <w:spacing w:before="0" w:line="240" w:lineRule="auto"/>
        <w:jc w:val="both"/>
        <w:rPr>
          <w:rFonts w:cs="Arial"/>
          <w:b/>
          <w:szCs w:val="22"/>
        </w:rPr>
      </w:pPr>
      <w:bookmarkStart w:id="269" w:name="_Toc473581469"/>
      <w:r w:rsidRPr="00F51C47">
        <w:rPr>
          <w:rFonts w:cs="Arial"/>
          <w:b/>
          <w:szCs w:val="22"/>
        </w:rPr>
        <w:t>Gestión regional</w:t>
      </w:r>
      <w:bookmarkEnd w:id="269"/>
      <w:r w:rsidRPr="00F51C47">
        <w:rPr>
          <w:rFonts w:cs="Arial"/>
          <w:b/>
          <w:szCs w:val="22"/>
        </w:rPr>
        <w:t xml:space="preserve"> </w:t>
      </w:r>
    </w:p>
    <w:p w:rsidR="0049702C" w:rsidRPr="00E76FCC" w:rsidRDefault="0049702C" w:rsidP="00015C71">
      <w:pPr>
        <w:spacing w:after="0" w:line="240" w:lineRule="auto"/>
        <w:jc w:val="both"/>
        <w:rPr>
          <w:rFonts w:cs="Arial"/>
          <w:b/>
        </w:rPr>
      </w:pPr>
    </w:p>
    <w:p w:rsidR="00015C71" w:rsidRPr="00E76FCC" w:rsidRDefault="00015C71" w:rsidP="00015C71">
      <w:pPr>
        <w:spacing w:after="0" w:line="240" w:lineRule="auto"/>
        <w:jc w:val="both"/>
        <w:rPr>
          <w:rFonts w:cs="Arial"/>
        </w:rPr>
      </w:pPr>
      <w:r w:rsidRPr="00E76FCC">
        <w:rPr>
          <w:rFonts w:cs="Arial"/>
        </w:rPr>
        <w:t>La Oficina de Gestión Regional (OGR), durante la vigencia 2016, desarrollo actividades orientadas a brindar asesoría, asistencia y acompañamiento a la gestión regional y contribuir adecuadamente a la coordinación y articulación con las oficinas de la sede nacional. De esta forma, se lideraron acciones desde la sede nacional en el territorio y viceversas, optimizando la gestión regional y permitiendo la mejora continua.</w:t>
      </w:r>
    </w:p>
    <w:p w:rsidR="00015C71" w:rsidRPr="00E76FCC" w:rsidRDefault="00015C71" w:rsidP="00015C71">
      <w:pPr>
        <w:spacing w:after="0" w:line="240" w:lineRule="auto"/>
        <w:jc w:val="both"/>
        <w:rPr>
          <w:rFonts w:cs="Arial"/>
        </w:rPr>
      </w:pPr>
    </w:p>
    <w:p w:rsidR="00015C71" w:rsidRDefault="00015C71" w:rsidP="00015C71">
      <w:pPr>
        <w:spacing w:after="0" w:line="240" w:lineRule="auto"/>
        <w:jc w:val="both"/>
        <w:rPr>
          <w:rFonts w:cs="Arial"/>
        </w:rPr>
      </w:pPr>
      <w:r w:rsidRPr="00E76FCC">
        <w:rPr>
          <w:rFonts w:cs="Arial"/>
        </w:rPr>
        <w:t>Las principales actividades realizadas por el equipo de la OGR se presentan a continuación:</w:t>
      </w:r>
    </w:p>
    <w:p w:rsidR="00B84E79" w:rsidRPr="00E76FCC" w:rsidRDefault="00B84E79" w:rsidP="00015C71">
      <w:pPr>
        <w:spacing w:after="0" w:line="240" w:lineRule="auto"/>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Diseño del Modelo de Acompañamiento a la Gestión Regional: el Modelo</w:t>
      </w:r>
      <w:r w:rsidRPr="00E76FCC">
        <w:t xml:space="preserve"> </w:t>
      </w:r>
      <w:r w:rsidRPr="00E76FCC">
        <w:rPr>
          <w:rFonts w:cs="Arial"/>
        </w:rPr>
        <w:t xml:space="preserve">desarrolla el procedimiento y los instrumentos que utiliza la OGR para brindar asesoría, asistencia y acompañamiento a la gestión regional y contribuir adecuadamente a la coordinación y articulación con las oficinas de la sede nacional. </w:t>
      </w:r>
      <w:r w:rsidRPr="00E76FCC">
        <w:t xml:space="preserve"> </w:t>
      </w:r>
      <w:r w:rsidRPr="00E76FCC">
        <w:rPr>
          <w:rFonts w:cs="Arial"/>
        </w:rPr>
        <w:t xml:space="preserve">El modelo describe, contextualiza, analiza y explica los procesos tendientes a asesorar, asistir y acompañar la gestión regional a través de coordinación y articulación con la sede nacional. </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015C71">
      <w:pPr>
        <w:pStyle w:val="Prrafodelista"/>
        <w:spacing w:after="0" w:line="240" w:lineRule="auto"/>
        <w:ind w:left="360"/>
        <w:contextualSpacing/>
        <w:jc w:val="both"/>
        <w:rPr>
          <w:rFonts w:cs="Arial"/>
        </w:rPr>
      </w:pPr>
      <w:r w:rsidRPr="00E76FCC">
        <w:rPr>
          <w:rFonts w:cs="Arial"/>
        </w:rPr>
        <w:t>La aplicación del modelo permite determinar que se quiere alcanzar y en qué forma se quiere brindar asesoría, asistencia y acompañamiento en cada una de las direcciones regionales que integran el ICBF, a partir de la aplicación de diagnósticos y la elaboración de planes de trabajo que establecen las regionales y a los cuales la OGR les hace seguimiento. Asimismo, el modelo brinda elementos para actuar en situación de alerta o crisis de carácter coyuntural, lo que fortalece los mecanismos de coordinación y articulación.</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Ejecución y cierre de las rutas de intervención en cada una de las regionales: se implementaron planes de trabajo a través de rutas de intervención en cada una de las regionales que permitieron la coordinación y articulación de actividades entre las direcciones regionales y áreas involucradas con el seguimiento permanente de la OGR. Al finalizar el año, se realizó el cierre de estas rutas y con los insumos de este proceso se construirán los planes del próximo año para la adecuada implementación del modelo de acompañamiento.</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48"/>
        <w:contextualSpacing/>
        <w:jc w:val="both"/>
        <w:rPr>
          <w:rFonts w:cs="Arial"/>
        </w:rPr>
      </w:pPr>
      <w:r w:rsidRPr="00E76FCC">
        <w:rPr>
          <w:rFonts w:cs="Arial"/>
        </w:rPr>
        <w:t>Seguimiento a los procesos de contratación de cada dirección regional: se construyó una matriz de alerta de estado de contratos de seguimiento mensual. A partir, de este insumo se elabora un informe que remite a la Dirección General con observaciones, alertas y en algunos casos solicitud de ajustes.</w:t>
      </w:r>
    </w:p>
    <w:p w:rsidR="00EF2715" w:rsidRPr="00E76FCC" w:rsidRDefault="00EF2715" w:rsidP="00EF2715">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Seguimiento a la ejecución presupuestal de las regionales: mediante el análisis de recursos de inversión y saldos de CDP en las regionales con más de 30 días de constitución, se generaron alertas en los Comités de Ejecución Presupuestal de la sede nacional del ICBF. Este seguimiento, contempló el monitoreo del rezago presupuestal constituido en las regionales, con el fin de liberar o pagar estos recursos en el menor tiempo posible. Durante los últimos meses del año se reforzó este seguimiento para garantizar un adecuado cierre de la ejecución presupuestal 2016.</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 xml:space="preserve">Participación en la elaboración de propuesta del acuerdo de gestión de 2016: La OGR participó en la coordinación de los acuerdos de gestión bajo el liderazgo de la Dirección de Gestión Humana. Por ello, una vez suscrito el Acuerdo de Gestión, la OGR realizará seguimiento permanente para verificar el cumplimiento de los compromisos pactados y en su evaluación. Además, la OGR acompañó el diseño metodológico de evaluación. </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Realización del encuentro de directores regionales: En mayo de 2016 se realizó el Encuentro con el propósito de realizar un proceso de alineamiento a los fines estratégicos de cada misional y áreas transversales con la participación de las y los directores y las y los coordinadores técnicos, de planeación y de centros zonales.</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Atención especial al proceso de alistamiento de contratación de las EAS de Primera Infancia – (Actualización de Banco de Oferentes): Durante todo el año los profesionales de la OGR apoyaron a los directores regionales en esta temática. Con este seguimiento se pudo mejorar la respuesta e identificar desactualización en el ranking realizado por la Dirección, buscando con ello agilizar el proceso y evitar alteraciones en la dinámica normal de los servicios.</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Seguimiento y consolidación del informe de delegaciones: Con el fin de alertar a la Dirección General sobre situaciones que afecten la debida ejecución de las direcciones regionales respecto de las funciones delegadas por la directora general, la OGR solicitó a cada director regional la información para analizar y consolidar las alertas, a fin de enviarlas a la Dirección General durante los 15 primeros días de cada mes. Estas solicitudes fueron gestionadas con cada área responsable de la sede nacional y se monitoreó su cumplimiento.</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 xml:space="preserve">Legalización de comisiones de las regionales: Teniendo en cuenta el llamado que efectúa constantemente la Dirección Financiera en los Comités Directivos, y por solicitud expresa de la Dirección General respecto de la legalización extemporánea de resoluciones de viáticos en las regionales, la OGR sensibilizó a los directores regionales y gestionó actividades en territorio para efectuar la legalización puntual de las comisiones y viáticos. </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Seguimiento a licencias de funcionamiento: Se acompañó a las y los directores regionales en el proceso de tramitación y/o expedición de estas licencias por parte de la Oficina de Aseguramiento a la Calidad y la Dirección Protección.</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 xml:space="preserve">Fortalecimiento de la prestación del servicio de protección en territorio: Desarrollo de un plan de trabajo para mejorar el servicio de las defensorías de familia en nueve regionales. </w:t>
      </w:r>
    </w:p>
    <w:p w:rsidR="00EF2715" w:rsidRPr="00E76FCC" w:rsidRDefault="00EF2715" w:rsidP="00EF2715">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Comisión Intersectorial de Alertas Tempranas (CIAT): se consolidó el procedimiento para la participación en la sesiones de seguimiento y reporte de información ante la CIAT, lo cual mejoró la respuesta de las regionales involucradas.</w:t>
      </w:r>
    </w:p>
    <w:p w:rsidR="00015C71" w:rsidRPr="00E76FCC" w:rsidRDefault="00015C71" w:rsidP="00015C71">
      <w:pPr>
        <w:pStyle w:val="Prrafodelista"/>
        <w:spacing w:after="0" w:line="240" w:lineRule="auto"/>
        <w:ind w:left="360"/>
        <w:contextualSpacing/>
        <w:jc w:val="both"/>
        <w:rPr>
          <w:rFonts w:cs="Arial"/>
        </w:rPr>
      </w:pPr>
    </w:p>
    <w:p w:rsidR="00015C71" w:rsidRPr="00E76FCC" w:rsidRDefault="00015C71" w:rsidP="00D712DC">
      <w:pPr>
        <w:pStyle w:val="Prrafodelista"/>
        <w:numPr>
          <w:ilvl w:val="0"/>
          <w:numId w:val="96"/>
        </w:numPr>
        <w:spacing w:after="0" w:line="240" w:lineRule="auto"/>
        <w:ind w:left="360"/>
        <w:contextualSpacing/>
        <w:jc w:val="both"/>
        <w:rPr>
          <w:rFonts w:cs="Arial"/>
        </w:rPr>
      </w:pPr>
      <w:r w:rsidRPr="00E76FCC">
        <w:rPr>
          <w:rFonts w:cs="Arial"/>
        </w:rPr>
        <w:t>Coordinación y articulación con las direcciones regionales en situaciones coyunturales: Para acompañar adecuadamente algunas situaciones de emergencia que se representaron durante el período, la OGR dio prioridad en el tratamiento a esas regionales; en particular se destaca la situación de La Guajira, Magdalena y Tolima.</w:t>
      </w:r>
    </w:p>
    <w:p w:rsidR="00015C71" w:rsidRPr="00E76FCC" w:rsidRDefault="00015C71" w:rsidP="00015C71">
      <w:pPr>
        <w:pStyle w:val="Prrafodelista"/>
        <w:spacing w:after="0" w:line="240" w:lineRule="auto"/>
        <w:ind w:left="360"/>
        <w:contextualSpacing/>
        <w:jc w:val="both"/>
        <w:rPr>
          <w:rFonts w:cs="Arial"/>
        </w:rPr>
      </w:pPr>
    </w:p>
    <w:p w:rsidR="00461A5D" w:rsidRDefault="00015C71" w:rsidP="00D712DC">
      <w:pPr>
        <w:pStyle w:val="Prrafodelista"/>
        <w:numPr>
          <w:ilvl w:val="0"/>
          <w:numId w:val="96"/>
        </w:numPr>
        <w:spacing w:after="0" w:line="240" w:lineRule="auto"/>
        <w:ind w:left="360"/>
        <w:contextualSpacing/>
        <w:jc w:val="both"/>
        <w:rPr>
          <w:rFonts w:cs="Arial"/>
        </w:rPr>
      </w:pPr>
      <w:r w:rsidRPr="00E76FCC">
        <w:rPr>
          <w:rFonts w:ascii="Arial Narrow" w:hAnsi="Arial Narrow"/>
        </w:rPr>
        <w:t xml:space="preserve"> </w:t>
      </w:r>
      <w:r w:rsidRPr="00E76FCC">
        <w:rPr>
          <w:rFonts w:cs="Arial"/>
        </w:rPr>
        <w:t xml:space="preserve">Modificación de los indicadores y procedimiento de la OGR: se ajustaron los indicadores a la realidad de la OGR y se modificaron sus procedimientos, debido a que esta Oficina dejó de pertenecer a los procesos de apoyo y pasó a Direccionamiento Estratégico. </w:t>
      </w:r>
    </w:p>
    <w:p w:rsidR="00B8532B" w:rsidRDefault="00B8532B" w:rsidP="00B8532B">
      <w:bookmarkStart w:id="270" w:name="_Toc470095221"/>
    </w:p>
    <w:p w:rsidR="006C03BD" w:rsidRDefault="00A365F0" w:rsidP="007342CF">
      <w:pPr>
        <w:pStyle w:val="Ttulo2"/>
        <w:numPr>
          <w:ilvl w:val="2"/>
          <w:numId w:val="244"/>
        </w:numPr>
        <w:spacing w:before="0" w:line="240" w:lineRule="auto"/>
        <w:jc w:val="both"/>
        <w:rPr>
          <w:rFonts w:cs="Arial"/>
          <w:b/>
          <w:szCs w:val="22"/>
        </w:rPr>
      </w:pPr>
      <w:bookmarkStart w:id="271" w:name="_Toc473581470"/>
      <w:r w:rsidRPr="00B8532B">
        <w:rPr>
          <w:rFonts w:cs="Arial"/>
          <w:b/>
          <w:szCs w:val="22"/>
        </w:rPr>
        <w:t>L</w:t>
      </w:r>
      <w:r w:rsidR="00F51C47" w:rsidRPr="00B8532B">
        <w:rPr>
          <w:rFonts w:cs="Arial"/>
          <w:b/>
          <w:szCs w:val="22"/>
        </w:rPr>
        <w:t>ogros</w:t>
      </w:r>
      <w:r w:rsidR="00E445CB" w:rsidRPr="00B8532B">
        <w:rPr>
          <w:rFonts w:cs="Arial"/>
          <w:b/>
          <w:szCs w:val="22"/>
        </w:rPr>
        <w:t xml:space="preserve"> y Retos</w:t>
      </w:r>
      <w:bookmarkEnd w:id="271"/>
      <w:r w:rsidRPr="00B8532B">
        <w:rPr>
          <w:rFonts w:cs="Arial"/>
          <w:b/>
          <w:szCs w:val="22"/>
        </w:rPr>
        <w:t xml:space="preserve"> </w:t>
      </w:r>
      <w:r w:rsidR="008C56BB" w:rsidRPr="00B8532B">
        <w:rPr>
          <w:rFonts w:cs="Arial"/>
          <w:b/>
          <w:szCs w:val="22"/>
        </w:rPr>
        <w:t xml:space="preserve"> </w:t>
      </w:r>
    </w:p>
    <w:p w:rsidR="00B8532B" w:rsidRPr="00B8532B" w:rsidRDefault="00B8532B" w:rsidP="00B8532B"/>
    <w:p w:rsidR="00A365F0" w:rsidRPr="00F51C47" w:rsidRDefault="00A365F0" w:rsidP="00AA55E0">
      <w:pPr>
        <w:pStyle w:val="Arialsinespacio"/>
        <w:jc w:val="both"/>
      </w:pPr>
      <w:r w:rsidRPr="00F51C47">
        <w:t>La OGR logró la adecuada asesoría, asistencia y acompañamiento a las Direcciones Regionales, mediante un proceso continuo de coordinación y articulación entre las áreas del nivel nacional y las regionales, facilitando la gestión institucional, en concordancia a los lineamientos trazados por la Dirección General.</w:t>
      </w:r>
    </w:p>
    <w:p w:rsidR="00A365F0" w:rsidRDefault="00A365F0" w:rsidP="00AA55E0">
      <w:pPr>
        <w:pStyle w:val="Arialsinespacio"/>
        <w:jc w:val="both"/>
      </w:pPr>
    </w:p>
    <w:p w:rsidR="008C56BB" w:rsidRPr="00F51C47" w:rsidRDefault="008C56BB" w:rsidP="00AA55E0">
      <w:pPr>
        <w:pStyle w:val="Arialsinespacio"/>
        <w:jc w:val="both"/>
      </w:pPr>
      <w:r w:rsidRPr="00F51C47">
        <w:t>El principal reto para la vigencia 2016 de la OGR fue elaborar el Modelo de Acompañamiento para brindar asesoría, asistencia y acompañamiento a la gestión regional</w:t>
      </w:r>
      <w:r w:rsidR="00CC2CE3" w:rsidRPr="00F51C47">
        <w:t>,</w:t>
      </w:r>
      <w:r w:rsidRPr="00F51C47">
        <w:t xml:space="preserve"> y contribuir adecuadamente a la coordinación y articulación con las oficinas de la sede nacional</w:t>
      </w:r>
      <w:r w:rsidR="00CC2CE3" w:rsidRPr="00F51C47">
        <w:t>, ya</w:t>
      </w:r>
      <w:r w:rsidRPr="00F51C47">
        <w:t xml:space="preserve"> que será implementado durante el 2017.</w:t>
      </w:r>
    </w:p>
    <w:p w:rsidR="008C56BB" w:rsidRPr="008C56BB" w:rsidRDefault="008C56BB" w:rsidP="008D4EBD"/>
    <w:p w:rsidR="000E0900" w:rsidRDefault="00A365F0" w:rsidP="007342CF">
      <w:pPr>
        <w:pStyle w:val="Ttulo2"/>
        <w:numPr>
          <w:ilvl w:val="1"/>
          <w:numId w:val="244"/>
        </w:numPr>
        <w:spacing w:before="0" w:line="240" w:lineRule="auto"/>
        <w:jc w:val="both"/>
        <w:rPr>
          <w:rFonts w:cs="Arial"/>
          <w:b/>
          <w:szCs w:val="22"/>
        </w:rPr>
      </w:pPr>
      <w:bookmarkStart w:id="272" w:name="_Toc473581471"/>
      <w:r w:rsidRPr="00B8532B">
        <w:rPr>
          <w:rFonts w:cs="Arial"/>
          <w:b/>
          <w:szCs w:val="22"/>
        </w:rPr>
        <w:t>C</w:t>
      </w:r>
      <w:r w:rsidR="00624E8E" w:rsidRPr="00B8532B">
        <w:rPr>
          <w:rFonts w:cs="Arial"/>
          <w:b/>
          <w:szCs w:val="22"/>
        </w:rPr>
        <w:t>ontratación</w:t>
      </w:r>
      <w:bookmarkEnd w:id="272"/>
    </w:p>
    <w:p w:rsidR="00B8532B" w:rsidRPr="00B8532B" w:rsidRDefault="00B8532B" w:rsidP="00B8532B"/>
    <w:p w:rsidR="000E0900" w:rsidRPr="000E0900" w:rsidRDefault="000E0900" w:rsidP="000E0900">
      <w:pPr>
        <w:spacing w:after="0" w:line="240" w:lineRule="auto"/>
        <w:jc w:val="both"/>
        <w:rPr>
          <w:rFonts w:cs="Arial"/>
        </w:rPr>
      </w:pPr>
      <w:r w:rsidRPr="000E0900">
        <w:rPr>
          <w:rFonts w:cs="Arial"/>
        </w:rPr>
        <w:t>En el marco del objetivo institucional que reúne la gestión de las áreas de apoyo del Instituto Colombiano de Bienestar Familiar, desde la Dirección de Contratación se adelantan actividades que permiten la adquisición de bienes y servicios en virtud de la optimización de procesos y el uso racional de los recursos para la garantía en la prestación de los servicios propios de la entidad.</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En virtud de lo anterior, para la presente vigencia se actualizó la documentación que genera lineamientos a nivel nacional para la adquisición de bienes y servicios: El Manual de Contratación, la Guía para el Ejercicio de Supervisión e Interventoría en el ICBF, la Guía para la Adquisición de Bienes y Servicios de Calidad, así como todos los procedimientos que se generan para orientar la gestión contractual. En total, fueron actualizados cuarenta y cinco (45) documentos orientadores que permiten adelantar el proceso contractual a nivel nacional de manera estándar.</w:t>
      </w:r>
    </w:p>
    <w:p w:rsidR="000E0900" w:rsidRPr="000E0900" w:rsidRDefault="000E0900" w:rsidP="000E0900">
      <w:pPr>
        <w:spacing w:after="0" w:line="240" w:lineRule="auto"/>
        <w:jc w:val="both"/>
        <w:rPr>
          <w:rFonts w:cs="Arial"/>
        </w:rPr>
      </w:pPr>
    </w:p>
    <w:p w:rsidR="000E0900" w:rsidRDefault="000E0900" w:rsidP="000E0900">
      <w:pPr>
        <w:spacing w:after="0" w:line="240" w:lineRule="auto"/>
        <w:jc w:val="both"/>
        <w:rPr>
          <w:rFonts w:cs="Arial"/>
        </w:rPr>
      </w:pPr>
      <w:r w:rsidRPr="000E0900">
        <w:rPr>
          <w:rFonts w:cs="Arial"/>
        </w:rPr>
        <w:t xml:space="preserve">Ahora bien, en el marco de la estrategia de gestión administrativa del plan indicativo que refiere a la contratación de bienes y servicios de apoyo y el uso efectivo de las herramientas y metodologías establecidas por </w:t>
      </w:r>
      <w:r w:rsidRPr="000E0900">
        <w:rPr>
          <w:rFonts w:cs="Arial"/>
          <w:i/>
        </w:rPr>
        <w:t>Colombia Compra Eficiente</w:t>
      </w:r>
      <w:r w:rsidRPr="000E0900">
        <w:rPr>
          <w:rFonts w:cs="Arial"/>
        </w:rPr>
        <w:t xml:space="preserve">, por una parte se identifica que, en la Sede de la Dirección General para la vigencia 2016 se dio apertura a </w:t>
      </w:r>
      <w:r w:rsidRPr="000E0900">
        <w:rPr>
          <w:rFonts w:cs="Arial"/>
          <w:b/>
        </w:rPr>
        <w:t>93</w:t>
      </w:r>
      <w:r w:rsidRPr="000E0900">
        <w:rPr>
          <w:rFonts w:cs="Arial"/>
        </w:rPr>
        <w:t xml:space="preserve"> procesos de selección y </w:t>
      </w:r>
      <w:r w:rsidRPr="000E0900">
        <w:rPr>
          <w:rFonts w:cs="Arial"/>
          <w:b/>
        </w:rPr>
        <w:t>11.021</w:t>
      </w:r>
      <w:r w:rsidRPr="000E0900">
        <w:rPr>
          <w:rFonts w:cs="Arial"/>
        </w:rPr>
        <w:t xml:space="preserve"> en las Direcciones Regionales, de acuerdo con el resumen por modalidad relacionado a continuación:</w:t>
      </w:r>
    </w:p>
    <w:p w:rsidR="008D4EBD" w:rsidRPr="000E0900" w:rsidRDefault="008D4EBD" w:rsidP="000E0900">
      <w:pPr>
        <w:spacing w:after="0" w:line="240" w:lineRule="auto"/>
        <w:jc w:val="both"/>
        <w:rPr>
          <w:rFonts w:cs="Arial"/>
        </w:rPr>
      </w:pPr>
    </w:p>
    <w:p w:rsidR="000E0900" w:rsidRPr="00B84E79" w:rsidRDefault="000E0900" w:rsidP="000E0900">
      <w:pPr>
        <w:spacing w:after="0" w:line="240" w:lineRule="auto"/>
        <w:jc w:val="center"/>
        <w:rPr>
          <w:rFonts w:cs="Arial"/>
          <w:b/>
        </w:rPr>
      </w:pPr>
      <w:r w:rsidRPr="000E0900">
        <w:rPr>
          <w:rFonts w:cs="Arial"/>
          <w:i/>
        </w:rPr>
        <w:t xml:space="preserve"> </w:t>
      </w:r>
      <w:r w:rsidRPr="00B84E79">
        <w:rPr>
          <w:rFonts w:cs="Arial"/>
          <w:b/>
        </w:rPr>
        <w:t>Procesos de Selección Sede de la Dirección General</w:t>
      </w:r>
    </w:p>
    <w:tbl>
      <w:tblPr>
        <w:tblStyle w:val="Tablaconcuadrcula"/>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2478"/>
        <w:gridCol w:w="646"/>
      </w:tblGrid>
      <w:tr w:rsidR="000E0900" w:rsidRPr="00E445CB" w:rsidTr="001F27C0">
        <w:trPr>
          <w:cantSplit/>
          <w:trHeight w:val="20"/>
          <w:tblHeader/>
          <w:jc w:val="center"/>
        </w:trPr>
        <w:tc>
          <w:tcPr>
            <w:tcW w:w="0" w:type="auto"/>
            <w:shd w:val="clear" w:color="auto" w:fill="76923C" w:themeFill="accent3" w:themeFillShade="BF"/>
            <w:vAlign w:val="center"/>
          </w:tcPr>
          <w:p w:rsidR="000E0900" w:rsidRPr="004658B5" w:rsidRDefault="00AA55E0" w:rsidP="00AA55E0">
            <w:pPr>
              <w:jc w:val="center"/>
              <w:rPr>
                <w:rFonts w:eastAsia="Times New Roman" w:cs="Arial"/>
                <w:b/>
                <w:bCs/>
                <w:color w:val="FFFFFF" w:themeColor="background1"/>
                <w:sz w:val="18"/>
                <w:szCs w:val="20"/>
                <w:lang w:eastAsia="es-CO"/>
              </w:rPr>
            </w:pPr>
            <w:r w:rsidRPr="004658B5">
              <w:rPr>
                <w:rFonts w:eastAsia="Times New Roman" w:cs="Arial"/>
                <w:b/>
                <w:bCs/>
                <w:color w:val="FFFFFF" w:themeColor="background1"/>
                <w:sz w:val="18"/>
                <w:szCs w:val="20"/>
                <w:lang w:eastAsia="es-CO"/>
              </w:rPr>
              <w:t>Modalidad</w:t>
            </w:r>
          </w:p>
        </w:tc>
        <w:tc>
          <w:tcPr>
            <w:tcW w:w="0" w:type="auto"/>
            <w:shd w:val="clear" w:color="auto" w:fill="76923C" w:themeFill="accent3" w:themeFillShade="BF"/>
            <w:vAlign w:val="center"/>
          </w:tcPr>
          <w:p w:rsidR="000E0900" w:rsidRPr="004658B5" w:rsidRDefault="00AA55E0" w:rsidP="00AA55E0">
            <w:pPr>
              <w:jc w:val="center"/>
              <w:rPr>
                <w:rFonts w:cs="Arial"/>
                <w:b/>
                <w:color w:val="FFFFFF" w:themeColor="background1"/>
                <w:sz w:val="18"/>
                <w:szCs w:val="20"/>
              </w:rPr>
            </w:pPr>
            <w:r w:rsidRPr="004658B5">
              <w:rPr>
                <w:rFonts w:eastAsia="Times New Roman" w:cs="Arial"/>
                <w:b/>
                <w:bCs/>
                <w:color w:val="FFFFFF" w:themeColor="background1"/>
                <w:sz w:val="18"/>
                <w:szCs w:val="20"/>
                <w:lang w:eastAsia="es-CO"/>
              </w:rPr>
              <w:t>Total</w:t>
            </w:r>
          </w:p>
        </w:tc>
      </w:tr>
      <w:tr w:rsidR="000E0900" w:rsidRPr="00E445CB" w:rsidTr="004658B5">
        <w:trPr>
          <w:cantSplit/>
          <w:trHeight w:val="20"/>
          <w:jc w:val="center"/>
        </w:trPr>
        <w:tc>
          <w:tcPr>
            <w:tcW w:w="0" w:type="auto"/>
            <w:vAlign w:val="center"/>
          </w:tcPr>
          <w:p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Concurso de méritos abierto</w:t>
            </w:r>
          </w:p>
        </w:tc>
        <w:tc>
          <w:tcPr>
            <w:tcW w:w="0" w:type="auto"/>
            <w:vAlign w:val="center"/>
          </w:tcPr>
          <w:p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5</w:t>
            </w:r>
          </w:p>
        </w:tc>
      </w:tr>
      <w:tr w:rsidR="000E0900" w:rsidRPr="00E445CB" w:rsidTr="004658B5">
        <w:tblPrEx>
          <w:jc w:val="left"/>
        </w:tblPrEx>
        <w:trPr>
          <w:cantSplit/>
          <w:trHeight w:val="20"/>
        </w:trPr>
        <w:tc>
          <w:tcPr>
            <w:tcW w:w="0" w:type="auto"/>
            <w:vAlign w:val="center"/>
          </w:tcPr>
          <w:p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Licitación Pública</w:t>
            </w:r>
          </w:p>
        </w:tc>
        <w:tc>
          <w:tcPr>
            <w:tcW w:w="0" w:type="auto"/>
            <w:vAlign w:val="center"/>
          </w:tcPr>
          <w:p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35</w:t>
            </w:r>
          </w:p>
        </w:tc>
      </w:tr>
      <w:tr w:rsidR="000E0900" w:rsidRPr="00E445CB" w:rsidTr="004658B5">
        <w:trPr>
          <w:cantSplit/>
          <w:trHeight w:val="20"/>
          <w:jc w:val="center"/>
        </w:trPr>
        <w:tc>
          <w:tcPr>
            <w:tcW w:w="0" w:type="auto"/>
            <w:shd w:val="clear" w:color="auto" w:fill="auto"/>
            <w:vAlign w:val="center"/>
          </w:tcPr>
          <w:p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Selección Abreviada</w:t>
            </w:r>
          </w:p>
        </w:tc>
        <w:tc>
          <w:tcPr>
            <w:tcW w:w="0" w:type="auto"/>
            <w:shd w:val="clear" w:color="auto" w:fill="auto"/>
            <w:vAlign w:val="center"/>
          </w:tcPr>
          <w:p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25</w:t>
            </w:r>
          </w:p>
        </w:tc>
      </w:tr>
      <w:tr w:rsidR="000E0900" w:rsidRPr="00E445CB" w:rsidTr="004658B5">
        <w:tblPrEx>
          <w:jc w:val="left"/>
        </w:tblPrEx>
        <w:trPr>
          <w:cantSplit/>
          <w:trHeight w:val="20"/>
        </w:trPr>
        <w:tc>
          <w:tcPr>
            <w:tcW w:w="0" w:type="auto"/>
            <w:vAlign w:val="center"/>
          </w:tcPr>
          <w:p w:rsidR="000E0900" w:rsidRPr="00E445CB" w:rsidRDefault="000E0900" w:rsidP="00C44C5C">
            <w:pPr>
              <w:rPr>
                <w:rFonts w:eastAsia="Times New Roman" w:cs="Arial"/>
                <w:bCs/>
                <w:sz w:val="18"/>
                <w:szCs w:val="20"/>
                <w:lang w:eastAsia="es-CO"/>
              </w:rPr>
            </w:pPr>
            <w:r w:rsidRPr="00E445CB">
              <w:rPr>
                <w:rFonts w:eastAsia="Times New Roman" w:cs="Arial"/>
                <w:bCs/>
                <w:sz w:val="18"/>
                <w:szCs w:val="20"/>
                <w:lang w:eastAsia="es-CO"/>
              </w:rPr>
              <w:t>Mínima Cuantía</w:t>
            </w:r>
          </w:p>
        </w:tc>
        <w:tc>
          <w:tcPr>
            <w:tcW w:w="0" w:type="auto"/>
            <w:vAlign w:val="center"/>
          </w:tcPr>
          <w:p w:rsidR="000E0900" w:rsidRPr="00E445CB" w:rsidRDefault="000E0900" w:rsidP="00C44C5C">
            <w:pPr>
              <w:rPr>
                <w:rFonts w:eastAsia="Times New Roman" w:cs="Arial"/>
                <w:sz w:val="18"/>
                <w:szCs w:val="20"/>
                <w:lang w:eastAsia="es-CO"/>
              </w:rPr>
            </w:pPr>
            <w:r w:rsidRPr="00E445CB">
              <w:rPr>
                <w:rFonts w:eastAsia="Times New Roman" w:cs="Arial"/>
                <w:sz w:val="18"/>
                <w:szCs w:val="20"/>
                <w:lang w:eastAsia="es-CO"/>
              </w:rPr>
              <w:t>28</w:t>
            </w:r>
          </w:p>
        </w:tc>
      </w:tr>
    </w:tbl>
    <w:p w:rsidR="000E0900" w:rsidRPr="003C4F39" w:rsidRDefault="000E0900" w:rsidP="000E0900">
      <w:pPr>
        <w:spacing w:after="0" w:line="240" w:lineRule="auto"/>
        <w:jc w:val="center"/>
        <w:rPr>
          <w:rFonts w:cs="Arial"/>
          <w:sz w:val="16"/>
          <w:szCs w:val="16"/>
        </w:rPr>
      </w:pPr>
      <w:r w:rsidRPr="003C4F39">
        <w:rPr>
          <w:rFonts w:cs="Arial"/>
          <w:b/>
          <w:sz w:val="16"/>
          <w:szCs w:val="16"/>
        </w:rPr>
        <w:t>Fuente:</w:t>
      </w:r>
      <w:r w:rsidRPr="003C4F39">
        <w:rPr>
          <w:rFonts w:cs="Arial"/>
          <w:sz w:val="16"/>
          <w:szCs w:val="16"/>
        </w:rPr>
        <w:t xml:space="preserve"> Dirección de Contratación ICBF. Corte: 31/12/2016</w:t>
      </w:r>
    </w:p>
    <w:p w:rsidR="000E0900" w:rsidRPr="000E0900" w:rsidRDefault="000E0900" w:rsidP="000E0900">
      <w:pPr>
        <w:spacing w:after="0" w:line="240" w:lineRule="auto"/>
        <w:jc w:val="both"/>
        <w:rPr>
          <w:rFonts w:cs="Arial"/>
        </w:rPr>
      </w:pPr>
    </w:p>
    <w:p w:rsidR="004658B5" w:rsidRPr="00B84E79" w:rsidRDefault="004658B5" w:rsidP="000E0900">
      <w:pPr>
        <w:spacing w:after="0" w:line="240" w:lineRule="auto"/>
        <w:jc w:val="center"/>
        <w:rPr>
          <w:rFonts w:cs="Arial"/>
          <w:b/>
        </w:rPr>
      </w:pPr>
    </w:p>
    <w:p w:rsidR="000E0900" w:rsidRPr="00B84E79" w:rsidRDefault="000E0900" w:rsidP="000E0900">
      <w:pPr>
        <w:spacing w:after="0" w:line="240" w:lineRule="auto"/>
        <w:jc w:val="center"/>
        <w:rPr>
          <w:rFonts w:cs="Arial"/>
          <w:b/>
        </w:rPr>
      </w:pPr>
      <w:r w:rsidRPr="00B84E79">
        <w:rPr>
          <w:rFonts w:cs="Arial"/>
          <w:b/>
        </w:rPr>
        <w:t>Procesos de Selección Direcciones Regionales</w:t>
      </w:r>
    </w:p>
    <w:tbl>
      <w:tblPr>
        <w:tblStyle w:val="Tablaconcuadrcula"/>
        <w:tblW w:w="0" w:type="auto"/>
        <w:tblInd w:w="2269"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4609"/>
        <w:gridCol w:w="646"/>
      </w:tblGrid>
      <w:tr w:rsidR="003C3D5B" w:rsidRPr="004658B5" w:rsidTr="00B432C1">
        <w:trPr>
          <w:trHeight w:val="20"/>
        </w:trPr>
        <w:tc>
          <w:tcPr>
            <w:tcW w:w="0" w:type="auto"/>
            <w:shd w:val="clear" w:color="auto" w:fill="76923C" w:themeFill="accent3" w:themeFillShade="BF"/>
            <w:vAlign w:val="center"/>
          </w:tcPr>
          <w:p w:rsidR="003C3D5B" w:rsidRPr="004658B5" w:rsidRDefault="004658B5" w:rsidP="003C3D5B">
            <w:pPr>
              <w:jc w:val="center"/>
              <w:rPr>
                <w:rFonts w:eastAsia="Times New Roman" w:cs="Arial"/>
                <w:b/>
                <w:bCs/>
                <w:color w:val="FFFFFF" w:themeColor="background1"/>
                <w:sz w:val="18"/>
                <w:szCs w:val="18"/>
                <w:lang w:eastAsia="es-CO"/>
              </w:rPr>
            </w:pPr>
            <w:r w:rsidRPr="004658B5">
              <w:rPr>
                <w:rFonts w:eastAsia="Times New Roman" w:cs="Arial"/>
                <w:b/>
                <w:bCs/>
                <w:color w:val="FFFFFF" w:themeColor="background1"/>
                <w:sz w:val="18"/>
                <w:szCs w:val="18"/>
                <w:lang w:eastAsia="es-CO"/>
              </w:rPr>
              <w:t>Modalidad</w:t>
            </w:r>
          </w:p>
        </w:tc>
        <w:tc>
          <w:tcPr>
            <w:tcW w:w="0" w:type="auto"/>
            <w:shd w:val="clear" w:color="auto" w:fill="76923C" w:themeFill="accent3" w:themeFillShade="BF"/>
            <w:vAlign w:val="center"/>
          </w:tcPr>
          <w:p w:rsidR="003C3D5B" w:rsidRPr="004658B5" w:rsidRDefault="004658B5" w:rsidP="003C3D5B">
            <w:pPr>
              <w:jc w:val="center"/>
              <w:rPr>
                <w:rFonts w:eastAsia="Times New Roman" w:cs="Arial"/>
                <w:b/>
                <w:bCs/>
                <w:color w:val="FFFFFF" w:themeColor="background1"/>
                <w:sz w:val="18"/>
                <w:szCs w:val="18"/>
                <w:lang w:eastAsia="es-CO"/>
              </w:rPr>
            </w:pPr>
            <w:r w:rsidRPr="004658B5">
              <w:rPr>
                <w:rFonts w:eastAsia="Times New Roman" w:cs="Arial"/>
                <w:b/>
                <w:bCs/>
                <w:color w:val="FFFFFF" w:themeColor="background1"/>
                <w:sz w:val="18"/>
                <w:szCs w:val="18"/>
                <w:lang w:eastAsia="es-CO"/>
              </w:rPr>
              <w:t>Total</w:t>
            </w:r>
          </w:p>
        </w:tc>
      </w:tr>
      <w:tr w:rsidR="003C3D5B" w:rsidRPr="004658B5" w:rsidTr="00B432C1">
        <w:trPr>
          <w:trHeight w:val="20"/>
        </w:trPr>
        <w:tc>
          <w:tcPr>
            <w:tcW w:w="0" w:type="auto"/>
            <w:vAlign w:val="center"/>
          </w:tcPr>
          <w:p w:rsidR="003C3D5B" w:rsidRPr="004658B5" w:rsidRDefault="003C3D5B" w:rsidP="004658B5">
            <w:pPr>
              <w:rPr>
                <w:rFonts w:eastAsia="Times New Roman" w:cs="Arial"/>
                <w:bCs/>
                <w:sz w:val="18"/>
                <w:szCs w:val="18"/>
                <w:lang w:eastAsia="es-CO"/>
              </w:rPr>
            </w:pPr>
            <w:r w:rsidRPr="004658B5">
              <w:rPr>
                <w:rFonts w:eastAsia="Times New Roman" w:cs="Arial"/>
                <w:bCs/>
                <w:sz w:val="18"/>
                <w:szCs w:val="18"/>
                <w:lang w:eastAsia="es-CO"/>
              </w:rPr>
              <w:t>CCE-Convenio Marco Colombia Compra Eficiente</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57</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Contratación Directa de Aporte</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9795</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Convocatoria Pública de Aporte</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24</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Convocatoria Pública de Aporte con Lista de Oferentes</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591</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Licitación Pública</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4</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Mínima Cuantía</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502</w:t>
            </w:r>
          </w:p>
        </w:tc>
      </w:tr>
      <w:tr w:rsidR="003C3D5B" w:rsidRPr="004658B5" w:rsidTr="00B432C1">
        <w:trPr>
          <w:trHeight w:val="20"/>
        </w:trPr>
        <w:tc>
          <w:tcPr>
            <w:tcW w:w="0" w:type="auto"/>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Selección Abreviada de Menor Cuantía</w:t>
            </w:r>
          </w:p>
        </w:tc>
        <w:tc>
          <w:tcPr>
            <w:tcW w:w="0" w:type="auto"/>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45</w:t>
            </w:r>
          </w:p>
        </w:tc>
      </w:tr>
      <w:tr w:rsidR="003C3D5B" w:rsidRPr="004658B5" w:rsidTr="00B432C1">
        <w:trPr>
          <w:trHeight w:val="20"/>
        </w:trPr>
        <w:tc>
          <w:tcPr>
            <w:tcW w:w="0" w:type="auto"/>
            <w:shd w:val="clear" w:color="auto" w:fill="FFFFFF" w:themeFill="background1"/>
            <w:vAlign w:val="center"/>
          </w:tcPr>
          <w:p w:rsidR="003C3D5B" w:rsidRPr="004658B5" w:rsidRDefault="003C3D5B" w:rsidP="003C3D5B">
            <w:pPr>
              <w:rPr>
                <w:rFonts w:eastAsia="Times New Roman" w:cs="Arial"/>
                <w:bCs/>
                <w:sz w:val="18"/>
                <w:szCs w:val="18"/>
                <w:lang w:eastAsia="es-CO"/>
              </w:rPr>
            </w:pPr>
            <w:r w:rsidRPr="004658B5">
              <w:rPr>
                <w:rFonts w:eastAsia="Times New Roman" w:cs="Arial"/>
                <w:bCs/>
                <w:sz w:val="18"/>
                <w:szCs w:val="18"/>
                <w:lang w:eastAsia="es-CO"/>
              </w:rPr>
              <w:t>Selección Abreviada Subasta Inversa Presencial</w:t>
            </w:r>
          </w:p>
        </w:tc>
        <w:tc>
          <w:tcPr>
            <w:tcW w:w="0" w:type="auto"/>
            <w:shd w:val="clear" w:color="auto" w:fill="FFFFFF" w:themeFill="background1"/>
            <w:vAlign w:val="center"/>
          </w:tcPr>
          <w:p w:rsidR="003C3D5B" w:rsidRPr="004658B5" w:rsidRDefault="003C3D5B" w:rsidP="003C3D5B">
            <w:pPr>
              <w:jc w:val="center"/>
              <w:rPr>
                <w:rFonts w:eastAsia="Times New Roman" w:cs="Arial"/>
                <w:sz w:val="18"/>
                <w:szCs w:val="18"/>
                <w:lang w:eastAsia="es-CO"/>
              </w:rPr>
            </w:pPr>
            <w:r w:rsidRPr="004658B5">
              <w:rPr>
                <w:rFonts w:eastAsia="Times New Roman" w:cs="Arial"/>
                <w:sz w:val="18"/>
                <w:szCs w:val="18"/>
                <w:lang w:eastAsia="es-CO"/>
              </w:rPr>
              <w:t>3</w:t>
            </w:r>
          </w:p>
        </w:tc>
      </w:tr>
    </w:tbl>
    <w:p w:rsidR="000E0900" w:rsidRPr="003C4F39" w:rsidRDefault="004658B5" w:rsidP="004658B5">
      <w:pPr>
        <w:spacing w:after="0" w:line="240" w:lineRule="auto"/>
        <w:rPr>
          <w:rFonts w:cs="Arial"/>
          <w:sz w:val="16"/>
          <w:szCs w:val="16"/>
        </w:rPr>
      </w:pPr>
      <w:r>
        <w:rPr>
          <w:rFonts w:cs="Arial"/>
          <w:sz w:val="14"/>
          <w:szCs w:val="18"/>
        </w:rPr>
        <w:t xml:space="preserve">                                                          </w:t>
      </w:r>
      <w:r w:rsidR="000E0900" w:rsidRPr="003C4F39">
        <w:rPr>
          <w:rFonts w:cs="Arial"/>
          <w:b/>
          <w:sz w:val="16"/>
          <w:szCs w:val="16"/>
        </w:rPr>
        <w:t>Fuente:</w:t>
      </w:r>
      <w:r w:rsidR="000E0900" w:rsidRPr="003C4F39">
        <w:rPr>
          <w:rFonts w:cs="Arial"/>
          <w:sz w:val="16"/>
          <w:szCs w:val="16"/>
        </w:rPr>
        <w:t xml:space="preserve"> Dirección de Contratación ICBF. Corte: 31/12/2016</w:t>
      </w:r>
    </w:p>
    <w:p w:rsidR="000E0900" w:rsidRPr="000E0900" w:rsidRDefault="000E0900" w:rsidP="000E0900">
      <w:pPr>
        <w:spacing w:after="0" w:line="240" w:lineRule="auto"/>
        <w:jc w:val="both"/>
        <w:rPr>
          <w:rFonts w:cs="Arial"/>
        </w:rPr>
      </w:pPr>
    </w:p>
    <w:p w:rsidR="00B84E79" w:rsidRDefault="00B84E79" w:rsidP="000E0900">
      <w:pPr>
        <w:spacing w:after="0" w:line="240" w:lineRule="auto"/>
        <w:jc w:val="both"/>
        <w:rPr>
          <w:rFonts w:cs="Arial"/>
        </w:rPr>
      </w:pPr>
    </w:p>
    <w:p w:rsidR="00B84E79" w:rsidRDefault="00B84E79" w:rsidP="000E0900">
      <w:pPr>
        <w:spacing w:after="0" w:line="240" w:lineRule="auto"/>
        <w:jc w:val="both"/>
        <w:rPr>
          <w:rFonts w:cs="Arial"/>
        </w:rPr>
      </w:pPr>
    </w:p>
    <w:p w:rsidR="00B84E79" w:rsidRDefault="00B84E79"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 xml:space="preserve">Así mismo, se tramitaron </w:t>
      </w:r>
      <w:r w:rsidRPr="000E0900">
        <w:rPr>
          <w:rFonts w:cs="Arial"/>
          <w:b/>
        </w:rPr>
        <w:t>136</w:t>
      </w:r>
      <w:r w:rsidRPr="000E0900">
        <w:rPr>
          <w:rFonts w:cs="Arial"/>
        </w:rPr>
        <w:t xml:space="preserve"> actos administrativos para la actualización el Banco Nacional de Oferentes, distribuidos de la siguiente manera:</w:t>
      </w:r>
    </w:p>
    <w:p w:rsidR="000E0900" w:rsidRPr="003C4F39" w:rsidRDefault="000E0900" w:rsidP="000E0900">
      <w:pPr>
        <w:spacing w:after="0" w:line="240" w:lineRule="auto"/>
        <w:jc w:val="both"/>
        <w:rPr>
          <w:rFonts w:cs="Arial"/>
          <w:b/>
        </w:rPr>
      </w:pPr>
    </w:p>
    <w:p w:rsidR="000E0900" w:rsidRPr="003C4F39" w:rsidRDefault="000E0900" w:rsidP="000E0900">
      <w:pPr>
        <w:spacing w:after="0" w:line="240" w:lineRule="auto"/>
        <w:jc w:val="center"/>
        <w:rPr>
          <w:rFonts w:cs="Arial"/>
          <w:b/>
        </w:rPr>
      </w:pPr>
      <w:r w:rsidRPr="003C4F39">
        <w:rPr>
          <w:rFonts w:cs="Arial"/>
          <w:b/>
        </w:rPr>
        <w:t>Actualización Banco Nacional de Oferentes</w:t>
      </w:r>
    </w:p>
    <w:p w:rsidR="00194669" w:rsidRDefault="00194669" w:rsidP="000E0900">
      <w:pPr>
        <w:spacing w:after="0" w:line="240" w:lineRule="auto"/>
        <w:jc w:val="center"/>
        <w:rPr>
          <w:rFonts w:cs="Arial"/>
          <w:sz w:val="14"/>
          <w:szCs w:val="18"/>
        </w:rPr>
      </w:pPr>
    </w:p>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194669" w:rsidRPr="00194669" w:rsidTr="00194669">
        <w:trPr>
          <w:trHeight w:val="315"/>
          <w:tblHeader/>
          <w:jc w:val="center"/>
        </w:trPr>
        <w:tc>
          <w:tcPr>
            <w:tcW w:w="1200" w:type="dxa"/>
            <w:tcBorders>
              <w:top w:val="single" w:sz="8" w:space="0" w:color="C5E0B2"/>
              <w:left w:val="single" w:sz="8" w:space="0" w:color="C5E0B2"/>
              <w:bottom w:val="single" w:sz="8" w:space="0" w:color="C5E0B2"/>
              <w:right w:val="single" w:sz="8" w:space="0" w:color="C5E0B2"/>
            </w:tcBorders>
            <w:shd w:val="clear" w:color="000000" w:fill="76923C"/>
            <w:vAlign w:val="center"/>
            <w:hideMark/>
          </w:tcPr>
          <w:p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Regional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Total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Regional</w:t>
            </w:r>
          </w:p>
        </w:tc>
        <w:tc>
          <w:tcPr>
            <w:tcW w:w="1200" w:type="dxa"/>
            <w:tcBorders>
              <w:top w:val="single" w:sz="8" w:space="0" w:color="C5E0B2"/>
              <w:left w:val="nil"/>
              <w:bottom w:val="single" w:sz="8" w:space="0" w:color="C5E0B2"/>
              <w:right w:val="single" w:sz="8" w:space="0" w:color="C5E0B2"/>
            </w:tcBorders>
            <w:shd w:val="clear" w:color="000000" w:fill="76923C"/>
            <w:vAlign w:val="center"/>
            <w:hideMark/>
          </w:tcPr>
          <w:p w:rsidR="00194669" w:rsidRPr="00B432C1" w:rsidRDefault="00194669" w:rsidP="00194669">
            <w:pPr>
              <w:spacing w:after="0" w:line="240" w:lineRule="auto"/>
              <w:jc w:val="center"/>
              <w:rPr>
                <w:rFonts w:eastAsia="Times New Roman" w:cs="Arial"/>
                <w:b/>
                <w:color w:val="FFFFFF"/>
                <w:sz w:val="18"/>
                <w:szCs w:val="18"/>
                <w:lang w:val="es-CO" w:eastAsia="es-CO"/>
              </w:rPr>
            </w:pPr>
            <w:r w:rsidRPr="00B432C1">
              <w:rPr>
                <w:rFonts w:eastAsia="Times New Roman" w:cs="Arial"/>
                <w:b/>
                <w:color w:val="FFFFFF"/>
                <w:sz w:val="18"/>
                <w:szCs w:val="18"/>
                <w:lang w:eastAsia="es-CO"/>
              </w:rPr>
              <w:t>Total</w:t>
            </w:r>
          </w:p>
        </w:tc>
      </w:tr>
      <w:tr w:rsidR="00194669" w:rsidRPr="00194669" w:rsidTr="00194669">
        <w:trPr>
          <w:trHeight w:val="37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Norte de Santander</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6</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Caquetá</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Cesar</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20</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Boyacá</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Cundinamarca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21</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Magdalena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Bolivar</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10</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Valle del Cauca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14</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Risaralda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Quindío</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Córdoba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5</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Santander</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Antioquia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11</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Tolima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Huila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3</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Chocó</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Meta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Código 11</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Arauca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Vichada</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Nariño</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c>
          <w:tcPr>
            <w:tcW w:w="1200" w:type="dxa"/>
            <w:tcBorders>
              <w:top w:val="nil"/>
              <w:left w:val="nil"/>
              <w:bottom w:val="single" w:sz="8" w:space="0" w:color="C5E0B2"/>
              <w:right w:val="single" w:sz="8" w:space="0" w:color="C5E0B2"/>
            </w:tcBorders>
            <w:shd w:val="clear" w:color="000000" w:fill="FFFFFF"/>
            <w:noWrap/>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Bogotá</w:t>
            </w:r>
          </w:p>
        </w:tc>
        <w:tc>
          <w:tcPr>
            <w:tcW w:w="1200" w:type="dxa"/>
            <w:tcBorders>
              <w:top w:val="nil"/>
              <w:left w:val="nil"/>
              <w:bottom w:val="single" w:sz="8" w:space="0" w:color="C5E0B2"/>
              <w:right w:val="single" w:sz="8" w:space="0" w:color="C5E0B2"/>
            </w:tcBorders>
            <w:shd w:val="clear" w:color="000000" w:fill="FFFFFF"/>
            <w:noWrap/>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1</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Atlántico</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4</w:t>
            </w:r>
          </w:p>
        </w:tc>
        <w:tc>
          <w:tcPr>
            <w:tcW w:w="1200" w:type="dxa"/>
            <w:tcBorders>
              <w:top w:val="nil"/>
              <w:left w:val="nil"/>
              <w:bottom w:val="single" w:sz="8" w:space="0" w:color="C5E0B2"/>
              <w:right w:val="single" w:sz="8" w:space="0" w:color="C5E0B2"/>
            </w:tcBorders>
            <w:shd w:val="clear" w:color="000000" w:fill="FFFFFF"/>
            <w:noWrap/>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Cauca</w:t>
            </w:r>
          </w:p>
        </w:tc>
        <w:tc>
          <w:tcPr>
            <w:tcW w:w="1200" w:type="dxa"/>
            <w:tcBorders>
              <w:top w:val="nil"/>
              <w:left w:val="nil"/>
              <w:bottom w:val="single" w:sz="8" w:space="0" w:color="C5E0B2"/>
              <w:right w:val="single" w:sz="8" w:space="0" w:color="C5E0B2"/>
            </w:tcBorders>
            <w:shd w:val="clear" w:color="000000" w:fill="FFFFFF"/>
            <w:noWrap/>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2</w:t>
            </w:r>
          </w:p>
        </w:tc>
      </w:tr>
      <w:tr w:rsidR="00194669" w:rsidRPr="00194669" w:rsidTr="00194669">
        <w:trPr>
          <w:trHeight w:val="315"/>
          <w:jc w:val="center"/>
        </w:trPr>
        <w:tc>
          <w:tcPr>
            <w:tcW w:w="1200" w:type="dxa"/>
            <w:tcBorders>
              <w:top w:val="nil"/>
              <w:left w:val="single" w:sz="8" w:space="0" w:color="C5E0B2"/>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Sucre</w:t>
            </w:r>
          </w:p>
        </w:tc>
        <w:tc>
          <w:tcPr>
            <w:tcW w:w="1200" w:type="dxa"/>
            <w:tcBorders>
              <w:top w:val="nil"/>
              <w:left w:val="nil"/>
              <w:bottom w:val="single" w:sz="8" w:space="0" w:color="C5E0B2"/>
              <w:right w:val="single" w:sz="8" w:space="0" w:color="C5E0B2"/>
            </w:tcBorders>
            <w:shd w:val="clear" w:color="auto" w:fill="auto"/>
            <w:vAlign w:val="center"/>
            <w:hideMark/>
          </w:tcPr>
          <w:p w:rsidR="00194669" w:rsidRPr="00194669" w:rsidRDefault="00194669" w:rsidP="00194669">
            <w:pPr>
              <w:spacing w:after="0" w:line="240" w:lineRule="auto"/>
              <w:jc w:val="center"/>
              <w:rPr>
                <w:rFonts w:eastAsia="Times New Roman" w:cs="Arial"/>
                <w:color w:val="000000"/>
                <w:sz w:val="14"/>
                <w:szCs w:val="14"/>
                <w:lang w:val="es-CO" w:eastAsia="es-CO"/>
              </w:rPr>
            </w:pPr>
            <w:r w:rsidRPr="00194669">
              <w:rPr>
                <w:rFonts w:eastAsia="Times New Roman" w:cs="Arial"/>
                <w:color w:val="000000"/>
                <w:sz w:val="14"/>
                <w:szCs w:val="14"/>
                <w:lang w:eastAsia="es-CO"/>
              </w:rPr>
              <w:t>6</w:t>
            </w:r>
          </w:p>
        </w:tc>
        <w:tc>
          <w:tcPr>
            <w:tcW w:w="1200" w:type="dxa"/>
            <w:tcBorders>
              <w:top w:val="nil"/>
              <w:left w:val="nil"/>
              <w:bottom w:val="nil"/>
              <w:right w:val="nil"/>
            </w:tcBorders>
            <w:shd w:val="clear" w:color="auto" w:fill="auto"/>
            <w:noWrap/>
            <w:vAlign w:val="bottom"/>
            <w:hideMark/>
          </w:tcPr>
          <w:p w:rsidR="00194669" w:rsidRPr="00194669" w:rsidRDefault="00194669" w:rsidP="00194669">
            <w:pPr>
              <w:spacing w:after="0" w:line="240" w:lineRule="auto"/>
              <w:jc w:val="center"/>
              <w:rPr>
                <w:rFonts w:eastAsia="Times New Roman" w:cs="Arial"/>
                <w:color w:val="000000"/>
                <w:sz w:val="14"/>
                <w:szCs w:val="14"/>
                <w:lang w:val="es-CO" w:eastAsia="es-CO"/>
              </w:rPr>
            </w:pPr>
          </w:p>
        </w:tc>
        <w:tc>
          <w:tcPr>
            <w:tcW w:w="1200" w:type="dxa"/>
            <w:tcBorders>
              <w:top w:val="nil"/>
              <w:left w:val="nil"/>
              <w:bottom w:val="nil"/>
              <w:right w:val="nil"/>
            </w:tcBorders>
            <w:shd w:val="clear" w:color="auto" w:fill="auto"/>
            <w:noWrap/>
            <w:vAlign w:val="bottom"/>
            <w:hideMark/>
          </w:tcPr>
          <w:p w:rsidR="00194669" w:rsidRPr="00194669" w:rsidRDefault="00194669" w:rsidP="00194669">
            <w:pPr>
              <w:spacing w:after="0" w:line="240" w:lineRule="auto"/>
              <w:rPr>
                <w:rFonts w:ascii="Times New Roman" w:eastAsia="Times New Roman" w:hAnsi="Times New Roman"/>
                <w:sz w:val="20"/>
                <w:szCs w:val="20"/>
                <w:lang w:val="es-CO" w:eastAsia="es-CO"/>
              </w:rPr>
            </w:pPr>
          </w:p>
        </w:tc>
      </w:tr>
    </w:tbl>
    <w:p w:rsidR="00194669" w:rsidRDefault="00194669" w:rsidP="000E0900">
      <w:pPr>
        <w:spacing w:after="0" w:line="240" w:lineRule="auto"/>
        <w:jc w:val="center"/>
        <w:rPr>
          <w:rFonts w:cs="Arial"/>
          <w:sz w:val="14"/>
          <w:szCs w:val="18"/>
        </w:rPr>
      </w:pPr>
    </w:p>
    <w:p w:rsidR="000E0900" w:rsidRPr="0090436C" w:rsidRDefault="000E0900" w:rsidP="000E0900">
      <w:pPr>
        <w:spacing w:after="0" w:line="240" w:lineRule="auto"/>
        <w:jc w:val="center"/>
        <w:rPr>
          <w:rFonts w:cs="Arial"/>
          <w:sz w:val="14"/>
          <w:szCs w:val="18"/>
        </w:rPr>
      </w:pPr>
      <w:r w:rsidRPr="0090436C">
        <w:rPr>
          <w:rFonts w:cs="Arial"/>
          <w:sz w:val="14"/>
          <w:szCs w:val="18"/>
        </w:rPr>
        <w:t>Fuente: Dirección de Contratación ICBF. Corte: 31/12/2016</w:t>
      </w:r>
    </w:p>
    <w:p w:rsidR="006C03BD" w:rsidRDefault="006C03BD"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 xml:space="preserve">En lo que respecta a la contratación directa, con corte a 31 de diciembre de 2016 se reportan como celebrados </w:t>
      </w:r>
      <w:r w:rsidRPr="000E0900">
        <w:rPr>
          <w:rFonts w:cs="Arial"/>
          <w:b/>
        </w:rPr>
        <w:t>9466</w:t>
      </w:r>
      <w:r w:rsidRPr="000E0900">
        <w:rPr>
          <w:rFonts w:cs="Arial"/>
        </w:rPr>
        <w:t xml:space="preserve"> contratos y/o convenios a nivel nacional, de los cuales </w:t>
      </w:r>
      <w:r w:rsidRPr="000E0900">
        <w:rPr>
          <w:rFonts w:cs="Arial"/>
          <w:b/>
        </w:rPr>
        <w:t>1739</w:t>
      </w:r>
      <w:r w:rsidRPr="000E0900">
        <w:rPr>
          <w:rFonts w:cs="Arial"/>
        </w:rPr>
        <w:t xml:space="preserve"> se ubican en la Sede de la Dirección General. A continuación se reportan las cifras por regionales:</w:t>
      </w:r>
    </w:p>
    <w:p w:rsidR="000E0900" w:rsidRPr="003C4F39" w:rsidRDefault="000E0900" w:rsidP="000E0900">
      <w:pPr>
        <w:spacing w:after="0" w:line="240" w:lineRule="auto"/>
        <w:jc w:val="both"/>
        <w:rPr>
          <w:rFonts w:cs="Arial"/>
          <w:b/>
        </w:rPr>
      </w:pPr>
    </w:p>
    <w:p w:rsidR="000E0900" w:rsidRPr="003C4F39" w:rsidRDefault="000E0900" w:rsidP="003C4F39">
      <w:pPr>
        <w:spacing w:after="0" w:line="240" w:lineRule="auto"/>
        <w:jc w:val="center"/>
        <w:rPr>
          <w:rFonts w:cs="Arial"/>
          <w:b/>
        </w:rPr>
      </w:pPr>
      <w:r w:rsidRPr="003C4F39">
        <w:rPr>
          <w:rFonts w:cs="Arial"/>
          <w:b/>
        </w:rPr>
        <w:t>Contratos celebrados por Contratación Directa</w:t>
      </w:r>
    </w:p>
    <w:tbl>
      <w:tblPr>
        <w:tblStyle w:val="Tabladelista3-nfasis3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3240"/>
        <w:gridCol w:w="4827"/>
      </w:tblGrid>
      <w:tr w:rsidR="000E0900" w:rsidRPr="003C4F39" w:rsidTr="003C4F39">
        <w:trPr>
          <w:cnfStyle w:val="100000000000" w:firstRow="1" w:lastRow="0" w:firstColumn="0" w:lastColumn="0" w:oddVBand="0" w:evenVBand="0" w:oddHBand="0" w:evenHBand="0" w:firstRowFirstColumn="0" w:firstRowLastColumn="0" w:lastRowFirstColumn="0" w:lastRowLastColumn="0"/>
          <w:trHeight w:val="279"/>
          <w:tblHeader/>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76923C" w:themeFill="accent3" w:themeFillShade="BF"/>
            <w:noWrap/>
            <w:hideMark/>
          </w:tcPr>
          <w:p w:rsidR="000E0900" w:rsidRPr="003C4F39" w:rsidRDefault="000E0900" w:rsidP="00C44C5C">
            <w:pPr>
              <w:jc w:val="center"/>
              <w:rPr>
                <w:rFonts w:cs="Arial"/>
                <w:sz w:val="18"/>
                <w:szCs w:val="18"/>
                <w:lang w:eastAsia="es-CO"/>
              </w:rPr>
            </w:pPr>
            <w:r w:rsidRPr="003C4F39">
              <w:rPr>
                <w:rFonts w:cs="Arial"/>
                <w:sz w:val="18"/>
                <w:szCs w:val="18"/>
                <w:lang w:eastAsia="es-CO"/>
              </w:rPr>
              <w:t>REGIONAL</w:t>
            </w:r>
          </w:p>
        </w:tc>
        <w:tc>
          <w:tcPr>
            <w:tcW w:w="0" w:type="auto"/>
            <w:shd w:val="clear" w:color="auto" w:fill="76923C" w:themeFill="accent3" w:themeFillShade="BF"/>
            <w:noWrap/>
            <w:hideMark/>
          </w:tcPr>
          <w:p w:rsidR="000E0900" w:rsidRPr="003C4F39" w:rsidRDefault="000E0900" w:rsidP="00C44C5C">
            <w:pPr>
              <w:jc w:val="center"/>
              <w:cnfStyle w:val="100000000000" w:firstRow="1" w:lastRow="0" w:firstColumn="0" w:lastColumn="0" w:oddVBand="0" w:evenVBand="0" w:oddHBand="0" w:evenHBand="0" w:firstRowFirstColumn="0" w:firstRowLastColumn="0" w:lastRowFirstColumn="0" w:lastRowLastColumn="0"/>
              <w:rPr>
                <w:rFonts w:cs="Arial"/>
                <w:sz w:val="18"/>
                <w:szCs w:val="18"/>
                <w:lang w:eastAsia="es-CO"/>
              </w:rPr>
            </w:pPr>
            <w:r w:rsidRPr="003C4F39">
              <w:rPr>
                <w:rFonts w:cs="Arial"/>
                <w:sz w:val="18"/>
                <w:szCs w:val="18"/>
                <w:lang w:eastAsia="es-CO"/>
              </w:rPr>
              <w:t>No. de Contratos celebrados por Contratación Directa</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Amazonas</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174</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Antioquia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557</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Arauca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110</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Atlántico</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316</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Bogotá</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800</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Bolívar</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228</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Boyacá</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215</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Caldas</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295</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Caquetá</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167</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Casanare</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117</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Cauca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229</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Cesar</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422</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Chocó</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251</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Córdoba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207</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Cundinamarca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338</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Guainía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41</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Guaviare</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24</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Huila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241</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La Guajira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195</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Magdalena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163</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Meta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175</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Nariño</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264</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Norte De Santander</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142</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Putumayo</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146</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Quindío</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133</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Risaralda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119</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San Andrés</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58</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Santander</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284</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Sucre</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207</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Tolima</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595</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Valle Del Cauca</w:t>
            </w:r>
          </w:p>
        </w:tc>
        <w:tc>
          <w:tcPr>
            <w:tcW w:w="0" w:type="auto"/>
            <w:tcBorders>
              <w:top w:val="none" w:sz="0" w:space="0" w:color="auto"/>
              <w:bottom w:val="none" w:sz="0" w:space="0" w:color="auto"/>
            </w:tcBorders>
            <w:noWrap/>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419</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Vaupés</w:t>
            </w:r>
          </w:p>
        </w:tc>
        <w:tc>
          <w:tcPr>
            <w:tcW w:w="0" w:type="auto"/>
            <w:noWrap/>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46</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Vichada</w:t>
            </w:r>
          </w:p>
        </w:tc>
        <w:tc>
          <w:tcPr>
            <w:tcW w:w="0" w:type="auto"/>
            <w:tcBorders>
              <w:top w:val="none" w:sz="0" w:space="0" w:color="auto"/>
              <w:bottom w:val="none" w:sz="0" w:space="0" w:color="auto"/>
            </w:tcBorders>
            <w:noWrap/>
            <w:hideMark/>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49</w:t>
            </w:r>
          </w:p>
        </w:tc>
      </w:tr>
      <w:tr w:rsidR="000E0900" w:rsidRPr="003C4F39" w:rsidTr="003C4F39">
        <w:trPr>
          <w:trHeight w:val="300"/>
          <w:jc w:val="center"/>
        </w:trPr>
        <w:tc>
          <w:tcPr>
            <w:cnfStyle w:val="001000000000" w:firstRow="0" w:lastRow="0" w:firstColumn="1" w:lastColumn="0" w:oddVBand="0" w:evenVBand="0" w:oddHBand="0" w:evenHBand="0" w:firstRowFirstColumn="0" w:firstRowLastColumn="0" w:lastRowFirstColumn="0" w:lastRowLastColumn="0"/>
            <w:tcW w:w="3240" w:type="dxa"/>
            <w:tcBorders>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 xml:space="preserve">Sede de la Dirección General </w:t>
            </w:r>
          </w:p>
        </w:tc>
        <w:tc>
          <w:tcPr>
            <w:tcW w:w="0" w:type="auto"/>
            <w:noWrap/>
            <w:hideMark/>
          </w:tcPr>
          <w:p w:rsidR="000E0900" w:rsidRPr="003C4F39" w:rsidRDefault="000E0900" w:rsidP="003C4F3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1739</w:t>
            </w:r>
          </w:p>
        </w:tc>
      </w:tr>
      <w:tr w:rsidR="000E0900" w:rsidRPr="003C4F39" w:rsidTr="003C4F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bottom w:val="none" w:sz="0" w:space="0" w:color="auto"/>
              <w:right w:val="none" w:sz="0" w:space="0" w:color="auto"/>
            </w:tcBorders>
            <w:noWrap/>
            <w:hideMark/>
          </w:tcPr>
          <w:p w:rsidR="000E0900" w:rsidRPr="003C4F39" w:rsidRDefault="000E0900" w:rsidP="003C4F39">
            <w:pPr>
              <w:spacing w:after="0" w:line="240" w:lineRule="auto"/>
              <w:rPr>
                <w:rFonts w:eastAsia="Times New Roman" w:cs="Arial"/>
                <w:b w:val="0"/>
                <w:color w:val="000000"/>
                <w:sz w:val="18"/>
                <w:szCs w:val="18"/>
                <w:lang w:eastAsia="es-CO"/>
              </w:rPr>
            </w:pPr>
            <w:r w:rsidRPr="003C4F39">
              <w:rPr>
                <w:rFonts w:eastAsia="Times New Roman" w:cs="Arial"/>
                <w:b w:val="0"/>
                <w:color w:val="000000"/>
                <w:sz w:val="18"/>
                <w:szCs w:val="18"/>
                <w:lang w:eastAsia="es-CO"/>
              </w:rPr>
              <w:t xml:space="preserve">Total </w:t>
            </w:r>
          </w:p>
        </w:tc>
        <w:tc>
          <w:tcPr>
            <w:tcW w:w="0" w:type="auto"/>
            <w:tcBorders>
              <w:top w:val="none" w:sz="0" w:space="0" w:color="auto"/>
              <w:bottom w:val="none" w:sz="0" w:space="0" w:color="auto"/>
            </w:tcBorders>
            <w:noWrap/>
            <w:hideMark/>
          </w:tcPr>
          <w:p w:rsidR="000E0900" w:rsidRPr="003C4F39" w:rsidRDefault="000E0900" w:rsidP="003C4F3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3C4F39">
              <w:rPr>
                <w:rFonts w:eastAsia="Times New Roman" w:cs="Arial"/>
                <w:color w:val="000000"/>
                <w:sz w:val="18"/>
                <w:szCs w:val="18"/>
                <w:lang w:eastAsia="es-CO"/>
              </w:rPr>
              <w:t>9466</w:t>
            </w:r>
          </w:p>
        </w:tc>
      </w:tr>
    </w:tbl>
    <w:p w:rsidR="000E0900" w:rsidRPr="0090436C" w:rsidRDefault="000E0900" w:rsidP="0090436C">
      <w:pPr>
        <w:spacing w:after="0" w:line="240" w:lineRule="auto"/>
        <w:rPr>
          <w:rFonts w:cs="Arial"/>
          <w:sz w:val="18"/>
          <w:szCs w:val="18"/>
        </w:rPr>
      </w:pPr>
      <w:r w:rsidRPr="0090436C">
        <w:rPr>
          <w:rFonts w:cs="Arial"/>
          <w:sz w:val="14"/>
          <w:szCs w:val="18"/>
        </w:rPr>
        <w:t>Fuente: Dirección de Contratación ICBF. Corte: 31/12/2016</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 xml:space="preserve">Adicionalmente, la Dirección de Contratación, y en particular, lo correspondiente a la gestión pos contractual del Instituto, se obtuvieron los logros que se describen a continuación, a partir de las diferentes actividades de acompañamiento y asesoría que brindó la Dirección: </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1.- Se obtuvo una mayor disposición y compromiso por parte de algunas de las Direcciones Regionales del Instituto, frente al inicio y desarrollo los procesos sancionatorios a su cargo, conforme los principios constitucionales y legales que los fundamentan.</w:t>
      </w:r>
    </w:p>
    <w:p w:rsidR="000E0900" w:rsidRPr="000E0900" w:rsidRDefault="000E0900" w:rsidP="000E0900">
      <w:pPr>
        <w:spacing w:after="0" w:line="240" w:lineRule="auto"/>
        <w:jc w:val="both"/>
        <w:rPr>
          <w:rFonts w:cs="Arial"/>
        </w:rPr>
      </w:pPr>
      <w:r w:rsidRPr="000E0900">
        <w:rPr>
          <w:rFonts w:cs="Arial"/>
        </w:rPr>
        <w:t xml:space="preserve"> </w:t>
      </w:r>
    </w:p>
    <w:p w:rsidR="000E0900" w:rsidRPr="000E0900" w:rsidRDefault="000E0900" w:rsidP="000E0900">
      <w:pPr>
        <w:spacing w:after="0" w:line="240" w:lineRule="auto"/>
        <w:jc w:val="both"/>
        <w:rPr>
          <w:rFonts w:cs="Arial"/>
        </w:rPr>
      </w:pPr>
      <w:r w:rsidRPr="000E0900">
        <w:rPr>
          <w:rFonts w:cs="Arial"/>
        </w:rPr>
        <w:t>2.- Se obtuvo una mayor disposición y compromiso por parte de las áreas de la sede de la Dirección General, que tienen a su cargo la supervisión de contratos, frente a su obligación de presentar informes de presunto incumplimiento que permitan adelantar en debida forma los procesos sancionatorios contractuales, de conformidad con los requisitos previstos en el artículo 86 de la Ley 1474 de 2011.</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3.- Se realizaron capacitaciones y visitas a algunas direcciones regionales para el acompañamiento en el inicio y desarrollo de los procesos sancionatorios contractuales, conforme lo previsto en los artículos 17 de la Ley 1150 de 2007 y 86 de la Ley 1474 de 2011.</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4.- Se realizó un mayor seguimiento a los procesos sancionatorios en curso, a través de los informes mensuales que remiten las regionales,  y los controles de legalidad que se realizan sobre cada actuación administrativa.</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Lo anterior, permitió que en relación a los procesos sancionatorios se obtuvieran los siguientes resultados: un total de 139 actuaciones administrativas sancionatorias contractuales, de las cuales 84 se reportan como terminadas y 55 en curso.</w:t>
      </w:r>
    </w:p>
    <w:p w:rsidR="000E0900" w:rsidRDefault="000E0900" w:rsidP="000E0900">
      <w:pPr>
        <w:spacing w:after="0" w:line="240" w:lineRule="auto"/>
        <w:jc w:val="both"/>
        <w:rPr>
          <w:rFonts w:cs="Arial"/>
        </w:rPr>
      </w:pPr>
    </w:p>
    <w:p w:rsidR="001767CE" w:rsidRPr="000E0900" w:rsidRDefault="001767CE" w:rsidP="000E0900">
      <w:pPr>
        <w:spacing w:after="0" w:line="240" w:lineRule="auto"/>
        <w:jc w:val="both"/>
        <w:rPr>
          <w:rFonts w:cs="Arial"/>
        </w:rPr>
      </w:pPr>
    </w:p>
    <w:p w:rsidR="000E0900" w:rsidRPr="00B432C1" w:rsidRDefault="000E0900" w:rsidP="000E0900">
      <w:pPr>
        <w:spacing w:after="0" w:line="240" w:lineRule="auto"/>
        <w:jc w:val="center"/>
        <w:rPr>
          <w:rFonts w:cs="Arial"/>
          <w:b/>
        </w:rPr>
      </w:pPr>
      <w:r w:rsidRPr="00B432C1">
        <w:rPr>
          <w:rFonts w:cs="Arial"/>
          <w:b/>
        </w:rPr>
        <w:t>Procedimientos sancionatorios Direcciones Regionales</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center"/>
        <w:rPr>
          <w:rFonts w:cs="Arial"/>
        </w:rPr>
      </w:pPr>
      <w:r w:rsidRPr="000E0900">
        <w:rPr>
          <w:rFonts w:ascii="Arial Narrow" w:hAnsi="Arial Narrow" w:cs="Arial"/>
          <w:noProof/>
          <w:sz w:val="24"/>
          <w:szCs w:val="24"/>
          <w:lang w:val="es-CO" w:eastAsia="es-CO"/>
        </w:rPr>
        <w:drawing>
          <wp:inline distT="0" distB="0" distL="0" distR="0" wp14:anchorId="3CB1FDBF" wp14:editId="136068AC">
            <wp:extent cx="5708015" cy="2152650"/>
            <wp:effectExtent l="0" t="0" r="698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1831" cy="2154089"/>
                    </a:xfrm>
                    <a:prstGeom prst="rect">
                      <a:avLst/>
                    </a:prstGeom>
                    <a:noFill/>
                  </pic:spPr>
                </pic:pic>
              </a:graphicData>
            </a:graphic>
          </wp:inline>
        </w:drawing>
      </w:r>
    </w:p>
    <w:p w:rsidR="000E0900" w:rsidRPr="0090436C" w:rsidRDefault="000E0900" w:rsidP="000E0900">
      <w:pPr>
        <w:spacing w:after="0" w:line="240" w:lineRule="auto"/>
        <w:jc w:val="both"/>
        <w:rPr>
          <w:rFonts w:cs="Arial"/>
          <w:sz w:val="16"/>
          <w:szCs w:val="18"/>
        </w:rPr>
      </w:pPr>
      <w:r w:rsidRPr="0090436C">
        <w:rPr>
          <w:rFonts w:cs="Arial"/>
          <w:sz w:val="16"/>
          <w:szCs w:val="18"/>
        </w:rPr>
        <w:t>Fuente: Dirección de Contratación ICBF. Corte: 31/12/2016</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Respecto a los procedimientos administrativos sancionatorios sobre los presuntos incumplimientos que surgen de los contratos suscritos en Sede, durante la vigencia 2016 se radicaron18 informes de presunto incumplimiento contractual, de los cuales se dio inicio a ocho (8) procedimientos sancionatorios, de los cuales siete (7) se finalizaron y sólo uno (1) se encuentra en espera de decisión definitiva para concluir la actuación administrativa sancionatoria.</w:t>
      </w:r>
    </w:p>
    <w:p w:rsidR="000E0900" w:rsidRPr="000E0900" w:rsidRDefault="000E0900" w:rsidP="000E0900">
      <w:pPr>
        <w:spacing w:after="0" w:line="240" w:lineRule="auto"/>
        <w:jc w:val="both"/>
        <w:rPr>
          <w:rFonts w:cs="Arial"/>
        </w:rPr>
      </w:pPr>
    </w:p>
    <w:p w:rsidR="000E0900" w:rsidRPr="000E0900" w:rsidRDefault="000E0900" w:rsidP="000E0900">
      <w:pPr>
        <w:spacing w:after="0" w:line="240" w:lineRule="auto"/>
        <w:jc w:val="both"/>
        <w:rPr>
          <w:rFonts w:cs="Arial"/>
        </w:rPr>
      </w:pPr>
      <w:r w:rsidRPr="000E0900">
        <w:rPr>
          <w:rFonts w:cs="Arial"/>
        </w:rPr>
        <w:t xml:space="preserve">En lo que respecta a la gestión de las liquidaciones de los contratos que legalmente corresponde adelantar dicho trámite, se identifica que a nivel nacional el indicador se reporta en </w:t>
      </w:r>
      <w:r w:rsidRPr="000E0900">
        <w:rPr>
          <w:rFonts w:cs="Arial"/>
          <w:i/>
        </w:rPr>
        <w:t>Óptimo</w:t>
      </w:r>
      <w:r w:rsidRPr="000E0900">
        <w:rPr>
          <w:rFonts w:cs="Arial"/>
        </w:rPr>
        <w:t xml:space="preserve">, y la gestión de la Dirección de Contratación en la Sede de la Dirección General se refleja mes a mes así: </w:t>
      </w:r>
    </w:p>
    <w:p w:rsidR="000E0900" w:rsidRPr="000E0900" w:rsidRDefault="000E0900" w:rsidP="000E0900">
      <w:pPr>
        <w:spacing w:after="0" w:line="240" w:lineRule="auto"/>
        <w:jc w:val="both"/>
        <w:rPr>
          <w:rFonts w:cs="Arial"/>
        </w:rPr>
      </w:pPr>
    </w:p>
    <w:p w:rsidR="00B432C1" w:rsidRDefault="00B432C1" w:rsidP="000E0900">
      <w:pPr>
        <w:spacing w:after="0" w:line="240" w:lineRule="auto"/>
        <w:jc w:val="center"/>
        <w:rPr>
          <w:rFonts w:cs="Arial"/>
          <w:b/>
          <w:i/>
        </w:rPr>
      </w:pPr>
    </w:p>
    <w:p w:rsidR="00B432C1" w:rsidRDefault="00B432C1" w:rsidP="000E0900">
      <w:pPr>
        <w:spacing w:after="0" w:line="240" w:lineRule="auto"/>
        <w:jc w:val="center"/>
        <w:rPr>
          <w:rFonts w:cs="Arial"/>
          <w:b/>
          <w:i/>
        </w:rPr>
      </w:pPr>
    </w:p>
    <w:p w:rsidR="00B432C1" w:rsidRDefault="00B432C1" w:rsidP="000E0900">
      <w:pPr>
        <w:spacing w:after="0" w:line="240" w:lineRule="auto"/>
        <w:jc w:val="center"/>
        <w:rPr>
          <w:rFonts w:cs="Arial"/>
          <w:b/>
          <w:i/>
        </w:rPr>
      </w:pPr>
    </w:p>
    <w:p w:rsidR="00B432C1" w:rsidRDefault="00B432C1" w:rsidP="000E0900">
      <w:pPr>
        <w:spacing w:after="0" w:line="240" w:lineRule="auto"/>
        <w:jc w:val="center"/>
        <w:rPr>
          <w:rFonts w:cs="Arial"/>
          <w:b/>
          <w:i/>
        </w:rPr>
      </w:pPr>
    </w:p>
    <w:p w:rsidR="00B432C1" w:rsidRDefault="00B432C1" w:rsidP="000E0900">
      <w:pPr>
        <w:spacing w:after="0" w:line="240" w:lineRule="auto"/>
        <w:jc w:val="center"/>
        <w:rPr>
          <w:rFonts w:cs="Arial"/>
          <w:i/>
        </w:rPr>
      </w:pPr>
    </w:p>
    <w:p w:rsidR="000E0900" w:rsidRPr="00B432C1" w:rsidRDefault="000E0900" w:rsidP="000E0900">
      <w:pPr>
        <w:spacing w:after="0" w:line="240" w:lineRule="auto"/>
        <w:jc w:val="center"/>
        <w:rPr>
          <w:rFonts w:cs="Arial"/>
          <w:b/>
        </w:rPr>
      </w:pPr>
      <w:r w:rsidRPr="000E0900">
        <w:rPr>
          <w:rFonts w:cs="Arial"/>
          <w:i/>
        </w:rPr>
        <w:t xml:space="preserve"> </w:t>
      </w:r>
      <w:r w:rsidRPr="00B432C1">
        <w:rPr>
          <w:rFonts w:cs="Arial"/>
          <w:b/>
        </w:rPr>
        <w:t>Liquidación de contratos Sede de la Dirección General</w:t>
      </w:r>
    </w:p>
    <w:p w:rsidR="000E0900" w:rsidRPr="000E0900" w:rsidRDefault="000E0900" w:rsidP="000E0900">
      <w:pPr>
        <w:spacing w:after="0" w:line="240" w:lineRule="auto"/>
        <w:jc w:val="center"/>
        <w:rPr>
          <w:rFonts w:cs="Arial"/>
          <w:i/>
        </w:rPr>
      </w:pPr>
    </w:p>
    <w:p w:rsidR="000E0900" w:rsidRPr="000E0900" w:rsidRDefault="000E0900" w:rsidP="000E0900">
      <w:pPr>
        <w:spacing w:after="0" w:line="240" w:lineRule="auto"/>
        <w:jc w:val="center"/>
        <w:rPr>
          <w:rFonts w:cs="Arial"/>
        </w:rPr>
      </w:pPr>
      <w:r w:rsidRPr="000E0900">
        <w:rPr>
          <w:noProof/>
          <w:lang w:val="es-CO" w:eastAsia="es-CO"/>
        </w:rPr>
        <w:drawing>
          <wp:inline distT="0" distB="0" distL="0" distR="0" wp14:anchorId="749C519E" wp14:editId="53A8CCB7">
            <wp:extent cx="5022376" cy="2088108"/>
            <wp:effectExtent l="0" t="0" r="6985" b="762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E0900" w:rsidRPr="0090436C" w:rsidRDefault="000E0900" w:rsidP="000E0900">
      <w:pPr>
        <w:spacing w:after="0" w:line="240" w:lineRule="auto"/>
        <w:jc w:val="both"/>
        <w:rPr>
          <w:rFonts w:cs="Arial"/>
          <w:sz w:val="16"/>
          <w:szCs w:val="18"/>
        </w:rPr>
      </w:pPr>
      <w:r w:rsidRPr="0090436C">
        <w:rPr>
          <w:rFonts w:cs="Arial"/>
          <w:sz w:val="16"/>
          <w:szCs w:val="18"/>
        </w:rPr>
        <w:t xml:space="preserve">                </w:t>
      </w:r>
      <w:r w:rsidRPr="00A30042">
        <w:rPr>
          <w:rFonts w:cs="Arial"/>
          <w:b/>
          <w:sz w:val="16"/>
          <w:szCs w:val="18"/>
        </w:rPr>
        <w:t>Fuente:</w:t>
      </w:r>
      <w:r w:rsidRPr="0090436C">
        <w:rPr>
          <w:rFonts w:cs="Arial"/>
          <w:sz w:val="16"/>
          <w:szCs w:val="18"/>
        </w:rPr>
        <w:t xml:space="preserve"> Dirección de Contratación ICBF. Corte: 31/12/2016</w:t>
      </w:r>
    </w:p>
    <w:p w:rsidR="000E0900" w:rsidRPr="000E0900" w:rsidRDefault="000E0900" w:rsidP="000E0900">
      <w:pPr>
        <w:spacing w:after="0" w:line="240" w:lineRule="auto"/>
        <w:jc w:val="both"/>
        <w:rPr>
          <w:rFonts w:cs="Arial"/>
        </w:rPr>
      </w:pPr>
    </w:p>
    <w:p w:rsidR="000E0900" w:rsidRPr="000E0900" w:rsidRDefault="000E0900" w:rsidP="000E0900">
      <w:pPr>
        <w:jc w:val="both"/>
        <w:rPr>
          <w:rFonts w:cs="Arial"/>
        </w:rPr>
      </w:pPr>
      <w:r w:rsidRPr="000E0900">
        <w:rPr>
          <w:rFonts w:cs="Arial"/>
        </w:rPr>
        <w:t>Adicionalmente durante la vigencia 2016, del universo anteriormente señalado, se liquidaron 501 contratos que finalizaron en el año 2012. El reporte es el siguiente:</w:t>
      </w:r>
    </w:p>
    <w:p w:rsidR="000E0900" w:rsidRPr="00756B28" w:rsidRDefault="000E0900" w:rsidP="000E0900">
      <w:pPr>
        <w:spacing w:after="0" w:line="240" w:lineRule="auto"/>
        <w:jc w:val="center"/>
        <w:rPr>
          <w:rFonts w:cs="Arial"/>
          <w:b/>
        </w:rPr>
      </w:pPr>
      <w:r w:rsidRPr="00756B28">
        <w:rPr>
          <w:rFonts w:cs="Arial"/>
          <w:b/>
        </w:rPr>
        <w:t>Liquidación de contratos de cada vigencia</w:t>
      </w:r>
    </w:p>
    <w:p w:rsidR="000E0900" w:rsidRPr="000E0900" w:rsidRDefault="000E0900" w:rsidP="000E0900">
      <w:pPr>
        <w:spacing w:after="0" w:line="240" w:lineRule="auto"/>
        <w:jc w:val="center"/>
        <w:rPr>
          <w:rFonts w:cs="Arial"/>
          <w:i/>
        </w:rPr>
      </w:pPr>
    </w:p>
    <w:p w:rsidR="0090436C" w:rsidRDefault="000E0900" w:rsidP="0090436C">
      <w:pPr>
        <w:jc w:val="center"/>
      </w:pPr>
      <w:r w:rsidRPr="000E0900">
        <w:rPr>
          <w:rFonts w:cs="Arial"/>
          <w:noProof/>
          <w:sz w:val="20"/>
          <w:szCs w:val="20"/>
          <w:lang w:val="es-CO" w:eastAsia="es-CO"/>
        </w:rPr>
        <w:drawing>
          <wp:inline distT="0" distB="0" distL="0" distR="0" wp14:anchorId="4D3D683F" wp14:editId="763FAA14">
            <wp:extent cx="4933666" cy="2518012"/>
            <wp:effectExtent l="0" t="0" r="635" b="1587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0E0900" w:rsidRPr="0090436C" w:rsidRDefault="000E0900" w:rsidP="0090436C">
      <w:pPr>
        <w:jc w:val="center"/>
        <w:rPr>
          <w:sz w:val="16"/>
          <w:szCs w:val="16"/>
        </w:rPr>
      </w:pPr>
      <w:r w:rsidRPr="0090436C">
        <w:rPr>
          <w:rFonts w:cs="Arial"/>
          <w:sz w:val="16"/>
          <w:szCs w:val="16"/>
        </w:rPr>
        <w:t>Fuente: Dirección de Contratación ICBF. Corte: 31/12/2016</w:t>
      </w:r>
    </w:p>
    <w:p w:rsidR="000E0900" w:rsidRPr="000E0900" w:rsidRDefault="000E0900" w:rsidP="000E0900">
      <w:pPr>
        <w:spacing w:after="0" w:line="240" w:lineRule="auto"/>
        <w:jc w:val="both"/>
        <w:rPr>
          <w:rFonts w:cs="Arial"/>
        </w:rPr>
      </w:pPr>
      <w:r w:rsidRPr="000E0900">
        <w:rPr>
          <w:rFonts w:cs="Arial"/>
        </w:rPr>
        <w:t>Por otra parte, frente al uso efectivo de las herramientas y metodologías dispuesta por Colombia Compra Eficiente, el ICBF, en cumplimiento de la normatividad vigente, se desplegaron acciones a nivel nacional para que desde las Direcciones Regionales se expidieran las órdenes de compra con cargo a los diferentes Instrumentos de Agregación de Demanda, especialmente en lo que corresponde a los Acuerdos Marco de Precios. En este sentido se gestionaron compras para: la adquisición de los SOAT de los vehículos propiedad del Instituto, el suministro de combustible, la dotación de vestuario para los funcionarios, el servicio de aseo y cafetería, el suministro de tiquetes aéreos, el suministro de papelería, contratación del centro de contacto y los servicios de conectividad y nube privada.</w:t>
      </w:r>
    </w:p>
    <w:p w:rsidR="000E0900" w:rsidRPr="000E0900" w:rsidRDefault="000E0900" w:rsidP="000E0900">
      <w:pPr>
        <w:spacing w:after="0" w:line="240" w:lineRule="auto"/>
        <w:jc w:val="both"/>
        <w:rPr>
          <w:rFonts w:cs="Arial"/>
        </w:rPr>
      </w:pPr>
    </w:p>
    <w:p w:rsidR="00A87B8C" w:rsidRDefault="000E0900" w:rsidP="00624E8E">
      <w:pPr>
        <w:spacing w:after="0" w:line="240" w:lineRule="auto"/>
        <w:jc w:val="both"/>
        <w:rPr>
          <w:rFonts w:cs="Arial"/>
        </w:rPr>
      </w:pPr>
      <w:r w:rsidRPr="000E0900">
        <w:rPr>
          <w:rFonts w:cs="Arial"/>
        </w:rPr>
        <w:t xml:space="preserve">Finalmente, frente a la gestión institucional en el marco de la integración administrativa entre dependencias y el nivel territorial de la entidad, se hace necesario resaltar la gestión de canales de comunicación efectivos para el acompañamiento y asesoramiento de los diferentes tramites en materia contractual. El canal de </w:t>
      </w:r>
      <w:r w:rsidRPr="000E0900">
        <w:rPr>
          <w:rFonts w:cs="Arial"/>
          <w:i/>
        </w:rPr>
        <w:t>Consultas Regionales</w:t>
      </w:r>
      <w:r w:rsidRPr="000E0900">
        <w:rPr>
          <w:rFonts w:cs="Arial"/>
        </w:rPr>
        <w:t xml:space="preserve"> ha permitido generar estandarización de criterios institucionales y claridad frente a situaciones particulares durante la gestión contractual. En la vigencia de 2016 se tramitaron </w:t>
      </w:r>
      <w:r w:rsidRPr="000E0900">
        <w:rPr>
          <w:rFonts w:cs="Arial"/>
          <w:b/>
        </w:rPr>
        <w:t>298</w:t>
      </w:r>
      <w:r w:rsidRPr="000E0900">
        <w:rPr>
          <w:rFonts w:cs="Arial"/>
        </w:rPr>
        <w:t xml:space="preserve"> consultas regionales.</w:t>
      </w:r>
    </w:p>
    <w:p w:rsidR="00624E8E" w:rsidRPr="00624E8E" w:rsidRDefault="00624E8E" w:rsidP="00C80F86"/>
    <w:p w:rsidR="00A87B8C" w:rsidRDefault="00A87B8C" w:rsidP="007342CF">
      <w:pPr>
        <w:pStyle w:val="Ttulo2"/>
        <w:numPr>
          <w:ilvl w:val="2"/>
          <w:numId w:val="244"/>
        </w:numPr>
        <w:spacing w:line="240" w:lineRule="auto"/>
        <w:rPr>
          <w:rFonts w:cs="Arial"/>
          <w:b/>
          <w:szCs w:val="22"/>
        </w:rPr>
      </w:pPr>
      <w:bookmarkStart w:id="273" w:name="_Toc473581472"/>
      <w:r w:rsidRPr="00B8532B">
        <w:rPr>
          <w:rFonts w:cs="Arial"/>
          <w:b/>
          <w:szCs w:val="22"/>
        </w:rPr>
        <w:t>Logros 2016</w:t>
      </w:r>
      <w:bookmarkEnd w:id="273"/>
      <w:r w:rsidR="00B8532B" w:rsidRPr="00B8532B">
        <w:rPr>
          <w:rFonts w:cs="Arial"/>
          <w:b/>
          <w:szCs w:val="22"/>
        </w:rPr>
        <w:t xml:space="preserve"> </w:t>
      </w:r>
    </w:p>
    <w:p w:rsidR="00B8532B" w:rsidRPr="00B8532B" w:rsidRDefault="00B8532B" w:rsidP="00B8532B"/>
    <w:p w:rsidR="00A87B8C" w:rsidRDefault="00A87B8C" w:rsidP="00470DCA">
      <w:pPr>
        <w:pStyle w:val="Prrafodelista"/>
        <w:numPr>
          <w:ilvl w:val="0"/>
          <w:numId w:val="211"/>
        </w:numPr>
        <w:spacing w:after="0" w:line="240" w:lineRule="auto"/>
        <w:contextualSpacing/>
        <w:jc w:val="both"/>
        <w:rPr>
          <w:rFonts w:cs="Arial"/>
        </w:rPr>
      </w:pPr>
      <w:r w:rsidRPr="00A87B8C">
        <w:rPr>
          <w:rFonts w:cs="Arial"/>
        </w:rPr>
        <w:t>La Dirección de Contratación en compañía de la Dirección de Información y Tecnología, inició con la puesta en producción del Aplicativo “Sistema de información de gestión de contratos”, herramienta transversal a todas las áreas del ICBF y que permitirá obtener información unificada a nivel nacional; actualmente se encuentra en funcionamiento en l</w:t>
      </w:r>
      <w:r w:rsidR="00A30042">
        <w:rPr>
          <w:rFonts w:cs="Arial"/>
        </w:rPr>
        <w:t>a Sede de la Dirección General.</w:t>
      </w:r>
    </w:p>
    <w:p w:rsidR="00A30042" w:rsidRPr="00A87B8C" w:rsidRDefault="00A30042" w:rsidP="00A30042">
      <w:pPr>
        <w:pStyle w:val="Prrafodelista"/>
        <w:spacing w:after="0" w:line="240" w:lineRule="auto"/>
        <w:ind w:left="720"/>
        <w:contextualSpacing/>
        <w:jc w:val="both"/>
        <w:rPr>
          <w:rFonts w:cs="Arial"/>
        </w:rPr>
      </w:pPr>
    </w:p>
    <w:p w:rsidR="00A87B8C" w:rsidRDefault="00A87B8C" w:rsidP="00470DCA">
      <w:pPr>
        <w:pStyle w:val="Prrafodelista"/>
        <w:numPr>
          <w:ilvl w:val="0"/>
          <w:numId w:val="211"/>
        </w:numPr>
        <w:spacing w:after="0" w:line="240" w:lineRule="auto"/>
        <w:contextualSpacing/>
        <w:jc w:val="both"/>
        <w:rPr>
          <w:rFonts w:cs="Arial"/>
        </w:rPr>
      </w:pPr>
      <w:r w:rsidRPr="00A87B8C">
        <w:rPr>
          <w:rFonts w:cs="Arial"/>
        </w:rPr>
        <w:t>Se realizó la estandarización y migración de toda la documentación relacionada con el proceso de Gestión Contratación, conforme al nuevo modelo de operación por procesos.</w:t>
      </w:r>
    </w:p>
    <w:p w:rsidR="00A30042" w:rsidRPr="00A30042" w:rsidRDefault="00A30042" w:rsidP="00A30042">
      <w:pPr>
        <w:spacing w:after="0" w:line="240" w:lineRule="auto"/>
        <w:contextualSpacing/>
        <w:jc w:val="both"/>
        <w:rPr>
          <w:rFonts w:cs="Arial"/>
        </w:rPr>
      </w:pPr>
    </w:p>
    <w:p w:rsidR="00A87B8C" w:rsidRDefault="00A87B8C" w:rsidP="00470DCA">
      <w:pPr>
        <w:pStyle w:val="Prrafodelista"/>
        <w:numPr>
          <w:ilvl w:val="0"/>
          <w:numId w:val="211"/>
        </w:numPr>
        <w:spacing w:after="0" w:line="240" w:lineRule="auto"/>
        <w:contextualSpacing/>
        <w:jc w:val="both"/>
        <w:rPr>
          <w:rFonts w:cs="Arial"/>
        </w:rPr>
      </w:pPr>
      <w:r w:rsidRPr="00A87B8C">
        <w:rPr>
          <w:rFonts w:cs="Arial"/>
        </w:rPr>
        <w:t>Se obtuvo una mayor disposición y compromiso por parte de las áreas de la Sede de la Dirección General y de algunas de las Direcciones Regionales del Instituto, frente al inicio y desarrollo los procesos sancionatorios a su cargo, conforme los principios constitucionales y legales que los fundamentan.</w:t>
      </w:r>
    </w:p>
    <w:p w:rsidR="00A30042" w:rsidRPr="00A87B8C" w:rsidRDefault="00A30042" w:rsidP="00A30042">
      <w:pPr>
        <w:pStyle w:val="Prrafodelista"/>
        <w:spacing w:after="0" w:line="240" w:lineRule="auto"/>
        <w:ind w:left="720"/>
        <w:contextualSpacing/>
        <w:jc w:val="both"/>
        <w:rPr>
          <w:rFonts w:cs="Arial"/>
        </w:rPr>
      </w:pPr>
    </w:p>
    <w:p w:rsidR="00A87B8C" w:rsidRDefault="00A87B8C" w:rsidP="00470DCA">
      <w:pPr>
        <w:pStyle w:val="Prrafodelista"/>
        <w:numPr>
          <w:ilvl w:val="0"/>
          <w:numId w:val="211"/>
        </w:numPr>
        <w:spacing w:after="0" w:line="240" w:lineRule="auto"/>
        <w:contextualSpacing/>
        <w:jc w:val="both"/>
        <w:rPr>
          <w:rFonts w:cs="Arial"/>
        </w:rPr>
      </w:pPr>
      <w:r w:rsidRPr="00A87B8C">
        <w:rPr>
          <w:rFonts w:cs="Arial"/>
        </w:rPr>
        <w:t>Se intensificaron las actividades de seguimiento y acompañamiento a las Direcciones Regionales y/o áreas de la Sede de la Dirección General (capacitaciones, informes, contacto permanente, entre otros)</w:t>
      </w:r>
      <w:r w:rsidR="00756B28">
        <w:rPr>
          <w:rFonts w:cs="Arial"/>
        </w:rPr>
        <w:t>.</w:t>
      </w:r>
    </w:p>
    <w:p w:rsidR="00756B28" w:rsidRPr="00756B28" w:rsidRDefault="00756B28" w:rsidP="00756B28">
      <w:pPr>
        <w:spacing w:after="0" w:line="240" w:lineRule="auto"/>
        <w:contextualSpacing/>
        <w:jc w:val="both"/>
        <w:rPr>
          <w:rFonts w:cs="Arial"/>
        </w:rPr>
      </w:pPr>
    </w:p>
    <w:p w:rsidR="00A87B8C" w:rsidRPr="00A87B8C" w:rsidRDefault="00A87B8C" w:rsidP="00470DCA">
      <w:pPr>
        <w:pStyle w:val="Prrafodelista"/>
        <w:numPr>
          <w:ilvl w:val="0"/>
          <w:numId w:val="211"/>
        </w:numPr>
        <w:spacing w:after="0" w:line="240" w:lineRule="auto"/>
        <w:contextualSpacing/>
        <w:jc w:val="both"/>
        <w:rPr>
          <w:rFonts w:cs="Arial"/>
        </w:rPr>
      </w:pPr>
      <w:r w:rsidRPr="00A87B8C">
        <w:rPr>
          <w:rFonts w:cs="Arial"/>
        </w:rPr>
        <w:t xml:space="preserve">Se logró intervención total del archivo de gestión de las vigencias 2012 y 2014. </w:t>
      </w:r>
    </w:p>
    <w:p w:rsidR="00A87B8C" w:rsidRPr="00A87B8C" w:rsidRDefault="00A87B8C" w:rsidP="002B631F"/>
    <w:p w:rsidR="00A87B8C" w:rsidRDefault="00B8532B" w:rsidP="007342CF">
      <w:pPr>
        <w:pStyle w:val="Ttulo2"/>
        <w:numPr>
          <w:ilvl w:val="2"/>
          <w:numId w:val="244"/>
        </w:numPr>
        <w:spacing w:line="240" w:lineRule="auto"/>
        <w:rPr>
          <w:rFonts w:cs="Arial"/>
          <w:b/>
          <w:szCs w:val="22"/>
        </w:rPr>
      </w:pPr>
      <w:bookmarkStart w:id="274" w:name="_Toc473581473"/>
      <w:r w:rsidRPr="00B8532B">
        <w:rPr>
          <w:rFonts w:cs="Arial"/>
          <w:b/>
          <w:szCs w:val="22"/>
        </w:rPr>
        <w:t>R</w:t>
      </w:r>
      <w:r w:rsidR="00A87B8C" w:rsidRPr="00B8532B">
        <w:rPr>
          <w:rFonts w:cs="Arial"/>
          <w:b/>
          <w:szCs w:val="22"/>
        </w:rPr>
        <w:t>etos 2017</w:t>
      </w:r>
      <w:bookmarkEnd w:id="274"/>
    </w:p>
    <w:p w:rsidR="00B8532B" w:rsidRPr="00B8532B" w:rsidRDefault="00B8532B" w:rsidP="00B8532B"/>
    <w:p w:rsidR="00A87B8C" w:rsidRDefault="00A87B8C" w:rsidP="00470DCA">
      <w:pPr>
        <w:pStyle w:val="Prrafodelista"/>
        <w:numPr>
          <w:ilvl w:val="0"/>
          <w:numId w:val="211"/>
        </w:numPr>
        <w:spacing w:after="0" w:line="240" w:lineRule="auto"/>
        <w:contextualSpacing/>
        <w:jc w:val="both"/>
        <w:rPr>
          <w:rFonts w:cs="Arial"/>
        </w:rPr>
      </w:pPr>
      <w:r w:rsidRPr="00A87B8C">
        <w:rPr>
          <w:rFonts w:cs="Arial"/>
        </w:rPr>
        <w:t xml:space="preserve">Lograr la intervención total del archivo de gestión de las vigencias 2015 y 2016, a la fecha se ha logrado un avance significativo en las vigencias 2016 con un 84% de </w:t>
      </w:r>
      <w:r w:rsidR="00A30042">
        <w:rPr>
          <w:rFonts w:cs="Arial"/>
        </w:rPr>
        <w:t>intervención y 2015 con un 82%.</w:t>
      </w:r>
    </w:p>
    <w:p w:rsidR="00A30042" w:rsidRPr="00A87B8C" w:rsidRDefault="00A30042" w:rsidP="00A30042">
      <w:pPr>
        <w:pStyle w:val="Prrafodelista"/>
        <w:spacing w:after="0" w:line="240" w:lineRule="auto"/>
        <w:ind w:left="720"/>
        <w:contextualSpacing/>
        <w:jc w:val="both"/>
        <w:rPr>
          <w:rFonts w:cs="Arial"/>
        </w:rPr>
      </w:pPr>
    </w:p>
    <w:p w:rsidR="00A87B8C" w:rsidRPr="00756B28" w:rsidRDefault="00A87B8C" w:rsidP="00470DCA">
      <w:pPr>
        <w:pStyle w:val="Prrafodelista"/>
        <w:numPr>
          <w:ilvl w:val="0"/>
          <w:numId w:val="211"/>
        </w:numPr>
        <w:spacing w:after="0" w:line="240" w:lineRule="auto"/>
        <w:contextualSpacing/>
        <w:jc w:val="both"/>
        <w:rPr>
          <w:rFonts w:cs="Arial"/>
          <w:b/>
          <w:u w:val="single"/>
        </w:rPr>
      </w:pPr>
      <w:r w:rsidRPr="00A87B8C">
        <w:rPr>
          <w:rFonts w:cs="Arial"/>
        </w:rPr>
        <w:t>Lograr la migración del 100% de la información contractual de las vigencias 2014, 2015 y 2016 a nivel nacional, correspondiente a la normalización de los datos que reposan en el FUC (41.173 contratos/convenios a nivel nacional multiplicado por las 118 columnas que tiene el FUC  4.858.414 datos en el nuevo “Sistema de información de gestión de contratos”.</w:t>
      </w:r>
    </w:p>
    <w:p w:rsidR="00756B28" w:rsidRPr="00756B28" w:rsidRDefault="00756B28" w:rsidP="00756B28">
      <w:pPr>
        <w:spacing w:after="0" w:line="240" w:lineRule="auto"/>
        <w:contextualSpacing/>
        <w:jc w:val="both"/>
        <w:rPr>
          <w:rFonts w:cs="Arial"/>
          <w:b/>
          <w:u w:val="single"/>
        </w:rPr>
      </w:pPr>
    </w:p>
    <w:p w:rsidR="00A87B8C" w:rsidRPr="00B432C1" w:rsidRDefault="00A87B8C" w:rsidP="00470DCA">
      <w:pPr>
        <w:pStyle w:val="Prrafodelista"/>
        <w:numPr>
          <w:ilvl w:val="0"/>
          <w:numId w:val="211"/>
        </w:numPr>
        <w:spacing w:after="0" w:line="240" w:lineRule="auto"/>
        <w:contextualSpacing/>
        <w:jc w:val="both"/>
        <w:rPr>
          <w:rFonts w:cs="Arial"/>
          <w:b/>
          <w:u w:val="single"/>
        </w:rPr>
      </w:pPr>
      <w:r w:rsidRPr="00A87B8C">
        <w:rPr>
          <w:rFonts w:ascii="Arial Narrow" w:hAnsi="Arial Narrow" w:cs="Calibri"/>
          <w:sz w:val="24"/>
          <w:szCs w:val="24"/>
          <w:u w:color="191919"/>
        </w:rPr>
        <w:t> </w:t>
      </w:r>
      <w:r w:rsidRPr="00A87B8C">
        <w:rPr>
          <w:rFonts w:cs="Arial"/>
        </w:rPr>
        <w:t>Continuar contactando a las regionales con el fin de fortalecer el canal de comunicación y atender los requerimientos.</w:t>
      </w:r>
    </w:p>
    <w:p w:rsidR="00B432C1" w:rsidRPr="00A87B8C" w:rsidRDefault="00B432C1" w:rsidP="00B432C1">
      <w:pPr>
        <w:pStyle w:val="Prrafodelista"/>
        <w:spacing w:after="0" w:line="240" w:lineRule="auto"/>
        <w:ind w:left="720"/>
        <w:contextualSpacing/>
        <w:jc w:val="both"/>
        <w:rPr>
          <w:rFonts w:cs="Arial"/>
          <w:b/>
          <w:u w:val="single"/>
        </w:rPr>
      </w:pPr>
    </w:p>
    <w:p w:rsidR="00A87B8C" w:rsidRPr="00A87B8C" w:rsidRDefault="00A87B8C" w:rsidP="00470DCA">
      <w:pPr>
        <w:widowControl w:val="0"/>
        <w:numPr>
          <w:ilvl w:val="0"/>
          <w:numId w:val="211"/>
        </w:numPr>
        <w:autoSpaceDE w:val="0"/>
        <w:autoSpaceDN w:val="0"/>
        <w:adjustRightInd w:val="0"/>
        <w:spacing w:after="160" w:line="259" w:lineRule="auto"/>
        <w:jc w:val="both"/>
        <w:rPr>
          <w:rFonts w:cs="Arial"/>
        </w:rPr>
      </w:pPr>
      <w:r w:rsidRPr="00A87B8C">
        <w:rPr>
          <w:rFonts w:cs="Arial"/>
        </w:rPr>
        <w:t>Publicar repositorio de las repuestas otorgadas para dar a conocer los asuntos sobre los cuales la Dirección de Contratación se ha pronunciado</w:t>
      </w:r>
    </w:p>
    <w:p w:rsidR="00A87B8C" w:rsidRPr="00A87B8C" w:rsidRDefault="00A87B8C" w:rsidP="00470DCA">
      <w:pPr>
        <w:widowControl w:val="0"/>
        <w:numPr>
          <w:ilvl w:val="0"/>
          <w:numId w:val="211"/>
        </w:numPr>
        <w:autoSpaceDE w:val="0"/>
        <w:autoSpaceDN w:val="0"/>
        <w:adjustRightInd w:val="0"/>
        <w:spacing w:after="160" w:line="259" w:lineRule="auto"/>
        <w:jc w:val="both"/>
        <w:rPr>
          <w:rFonts w:cs="Arial"/>
        </w:rPr>
      </w:pPr>
      <w:r w:rsidRPr="00A87B8C">
        <w:rPr>
          <w:rFonts w:cs="Arial"/>
        </w:rPr>
        <w:t>Establecer un cronograma de capacitaciones presenciales y virtuales, así como  capacitaciones generales -modalidad Encuentro Institucional-, para todas las Direcciones Regionales y áreas de la Sede Nacional, con el objetivo de ampliar el conocimiento e impartir línea procedimental en lo que respecta a los procesos transversales a la gestión contractual.</w:t>
      </w:r>
    </w:p>
    <w:p w:rsidR="00A87B8C" w:rsidRDefault="00A87B8C" w:rsidP="00470DCA">
      <w:pPr>
        <w:widowControl w:val="0"/>
        <w:numPr>
          <w:ilvl w:val="0"/>
          <w:numId w:val="211"/>
        </w:numPr>
        <w:autoSpaceDE w:val="0"/>
        <w:autoSpaceDN w:val="0"/>
        <w:adjustRightInd w:val="0"/>
        <w:spacing w:after="160" w:line="259" w:lineRule="auto"/>
        <w:jc w:val="both"/>
        <w:rPr>
          <w:rFonts w:cs="Arial"/>
        </w:rPr>
      </w:pPr>
      <w:r w:rsidRPr="00A87B8C">
        <w:rPr>
          <w:rFonts w:cs="Arial"/>
        </w:rPr>
        <w:t>Desarrollar y/o implementar un mayor número de herramientas de seguimiento y control frente a los procesos transversales a la gestión contractual.</w:t>
      </w:r>
    </w:p>
    <w:p w:rsidR="00756B28" w:rsidRDefault="00756B28" w:rsidP="00756B28">
      <w:pPr>
        <w:widowControl w:val="0"/>
        <w:autoSpaceDE w:val="0"/>
        <w:autoSpaceDN w:val="0"/>
        <w:adjustRightInd w:val="0"/>
        <w:spacing w:after="160" w:line="259" w:lineRule="auto"/>
        <w:ind w:left="720"/>
        <w:jc w:val="both"/>
        <w:rPr>
          <w:rFonts w:cs="Arial"/>
        </w:rPr>
      </w:pPr>
    </w:p>
    <w:p w:rsidR="00922734" w:rsidRPr="00922734" w:rsidRDefault="00922734" w:rsidP="007342CF">
      <w:pPr>
        <w:pStyle w:val="Ttulo2"/>
        <w:numPr>
          <w:ilvl w:val="1"/>
          <w:numId w:val="244"/>
        </w:numPr>
        <w:spacing w:line="240" w:lineRule="auto"/>
        <w:rPr>
          <w:rFonts w:cs="Arial"/>
          <w:b/>
          <w:szCs w:val="22"/>
        </w:rPr>
      </w:pPr>
      <w:r w:rsidRPr="00922734">
        <w:rPr>
          <w:rFonts w:cs="Arial"/>
          <w:b/>
          <w:szCs w:val="22"/>
        </w:rPr>
        <w:t xml:space="preserve"> </w:t>
      </w:r>
      <w:bookmarkStart w:id="275" w:name="_Toc473581474"/>
      <w:r w:rsidRPr="00922734">
        <w:rPr>
          <w:rFonts w:cs="Arial"/>
          <w:b/>
          <w:szCs w:val="22"/>
        </w:rPr>
        <w:t xml:space="preserve">Gestión de </w:t>
      </w:r>
      <w:r w:rsidR="00B96D1F">
        <w:rPr>
          <w:rFonts w:cs="Arial"/>
          <w:b/>
          <w:szCs w:val="22"/>
        </w:rPr>
        <w:t>C</w:t>
      </w:r>
      <w:r w:rsidRPr="00922734">
        <w:rPr>
          <w:rFonts w:cs="Arial"/>
          <w:b/>
          <w:szCs w:val="22"/>
        </w:rPr>
        <w:t xml:space="preserve">ooperación y </w:t>
      </w:r>
      <w:r w:rsidR="00B96D1F">
        <w:rPr>
          <w:rFonts w:cs="Arial"/>
          <w:b/>
          <w:szCs w:val="22"/>
        </w:rPr>
        <w:t>C</w:t>
      </w:r>
      <w:r w:rsidRPr="00922734">
        <w:rPr>
          <w:rFonts w:cs="Arial"/>
          <w:b/>
          <w:szCs w:val="22"/>
        </w:rPr>
        <w:t>onvenios</w:t>
      </w:r>
      <w:bookmarkEnd w:id="275"/>
    </w:p>
    <w:p w:rsidR="00922734" w:rsidRPr="00922734" w:rsidRDefault="00922734" w:rsidP="00922734">
      <w:pPr>
        <w:spacing w:after="0" w:line="240" w:lineRule="auto"/>
        <w:jc w:val="both"/>
        <w:rPr>
          <w:color w:val="4F81BD" w:themeColor="accent1"/>
        </w:rPr>
      </w:pPr>
    </w:p>
    <w:p w:rsidR="00922734" w:rsidRPr="00922734" w:rsidRDefault="00B96D1F" w:rsidP="00922734">
      <w:pPr>
        <w:spacing w:after="0" w:line="240" w:lineRule="auto"/>
        <w:jc w:val="both"/>
      </w:pPr>
      <w:r>
        <w:t>A</w:t>
      </w:r>
      <w:r w:rsidR="00922734" w:rsidRPr="00922734">
        <w:t xml:space="preserve"> través de la gestión de la Oficina de Cooperación y Convenios se aporta al fortalecimiento de la capacidad institucional, para </w:t>
      </w:r>
      <w:r>
        <w:t xml:space="preserve">contribuir con la promoción, protección y garantía de </w:t>
      </w:r>
      <w:r w:rsidR="00922734" w:rsidRPr="00922734">
        <w:t>los derechos de los niños, niñas, adolescentes y familias beneficiarias, a través de la consecución de cooperación técnica y financiera por parte de organizaciones nacionales e internacionales, públicas y privadas, alineadas con las prioridades institucionales, para apoyar programas, proyectos e iniciativas que adelante el ICBF.</w:t>
      </w:r>
    </w:p>
    <w:p w:rsidR="00922734" w:rsidRPr="00922734" w:rsidRDefault="00922734" w:rsidP="00922734">
      <w:pPr>
        <w:spacing w:after="0" w:line="240" w:lineRule="auto"/>
        <w:jc w:val="both"/>
      </w:pPr>
    </w:p>
    <w:p w:rsidR="00922734" w:rsidRPr="00922734" w:rsidRDefault="00922734" w:rsidP="00922734">
      <w:pPr>
        <w:spacing w:after="0" w:line="240" w:lineRule="auto"/>
        <w:jc w:val="both"/>
        <w:rPr>
          <w:rFonts w:cs="Arial"/>
        </w:rPr>
      </w:pPr>
      <w:r w:rsidRPr="00922734">
        <w:rPr>
          <w:rFonts w:cs="Arial"/>
        </w:rPr>
        <w:t xml:space="preserve">Con este propósito se </w:t>
      </w:r>
      <w:r w:rsidR="00B96D1F">
        <w:rPr>
          <w:rFonts w:cs="Arial"/>
        </w:rPr>
        <w:t xml:space="preserve">desarrollaron durante </w:t>
      </w:r>
      <w:r w:rsidRPr="00922734">
        <w:rPr>
          <w:rFonts w:cs="Arial"/>
        </w:rPr>
        <w:t xml:space="preserve">2016, las siguientes líneas de trabajo: </w:t>
      </w:r>
    </w:p>
    <w:p w:rsidR="00922734" w:rsidRDefault="00922734" w:rsidP="00922734">
      <w:pPr>
        <w:spacing w:after="0" w:line="240" w:lineRule="auto"/>
        <w:jc w:val="both"/>
        <w:rPr>
          <w:rFonts w:cs="Arial"/>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756B28" w:rsidRDefault="00756B28" w:rsidP="000B723C">
      <w:pPr>
        <w:spacing w:after="0" w:line="240" w:lineRule="auto"/>
        <w:jc w:val="center"/>
        <w:rPr>
          <w:rFonts w:cs="Arial"/>
          <w:b/>
        </w:rPr>
      </w:pPr>
    </w:p>
    <w:p w:rsidR="000B723C" w:rsidRPr="0090436C" w:rsidRDefault="00922734" w:rsidP="000B723C">
      <w:pPr>
        <w:spacing w:after="0" w:line="240" w:lineRule="auto"/>
        <w:jc w:val="center"/>
        <w:rPr>
          <w:rFonts w:cs="Arial"/>
          <w:b/>
        </w:rPr>
      </w:pPr>
      <w:r>
        <w:rPr>
          <w:rFonts w:cs="Arial"/>
          <w:b/>
        </w:rPr>
        <w:t xml:space="preserve">Gestión </w:t>
      </w:r>
      <w:r w:rsidR="000B723C" w:rsidRPr="0090436C">
        <w:rPr>
          <w:rFonts w:cs="Arial"/>
          <w:b/>
        </w:rPr>
        <w:t>Oficina de Cooperación y Convenios 2016.</w:t>
      </w:r>
    </w:p>
    <w:p w:rsidR="00C3544D" w:rsidRDefault="001D31A9" w:rsidP="001D31A9">
      <w:pPr>
        <w:spacing w:after="0" w:line="240" w:lineRule="auto"/>
        <w:rPr>
          <w:rFonts w:cs="Arial"/>
          <w:sz w:val="16"/>
          <w:szCs w:val="16"/>
        </w:rPr>
      </w:pPr>
      <w:r w:rsidRPr="0065423F">
        <w:rPr>
          <w:rFonts w:cs="Arial"/>
          <w:noProof/>
          <w:lang w:val="es-CO" w:eastAsia="es-CO"/>
        </w:rPr>
        <w:drawing>
          <wp:anchor distT="0" distB="0" distL="114300" distR="114300" simplePos="0" relativeHeight="251733504" behindDoc="1" locked="0" layoutInCell="1" allowOverlap="1" wp14:anchorId="53C6608B" wp14:editId="46ED4F16">
            <wp:simplePos x="0" y="0"/>
            <wp:positionH relativeFrom="margin">
              <wp:posOffset>291465</wp:posOffset>
            </wp:positionH>
            <wp:positionV relativeFrom="paragraph">
              <wp:posOffset>119380</wp:posOffset>
            </wp:positionV>
            <wp:extent cx="5545455" cy="3291840"/>
            <wp:effectExtent l="19050" t="0" r="0" b="22860"/>
            <wp:wrapTight wrapText="bothSides">
              <wp:wrapPolygon edited="0">
                <wp:start x="0" y="0"/>
                <wp:lineTo x="-74" y="125"/>
                <wp:lineTo x="-74" y="21625"/>
                <wp:lineTo x="7865" y="21625"/>
                <wp:lineTo x="21518" y="21375"/>
                <wp:lineTo x="21518" y="16000"/>
                <wp:lineTo x="16918" y="16000"/>
                <wp:lineTo x="21518" y="15375"/>
                <wp:lineTo x="21518" y="6125"/>
                <wp:lineTo x="17734" y="6000"/>
                <wp:lineTo x="21518" y="5500"/>
                <wp:lineTo x="21518" y="125"/>
                <wp:lineTo x="7791" y="0"/>
                <wp:lineTo x="0" y="0"/>
              </wp:wrapPolygon>
            </wp:wrapTight>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14:sizeRelH relativeFrom="margin">
              <wp14:pctWidth>0</wp14:pctWidth>
            </wp14:sizeRelH>
            <wp14:sizeRelV relativeFrom="margin">
              <wp14:pctHeight>0</wp14:pctHeight>
            </wp14:sizeRelV>
          </wp:anchor>
        </w:drawing>
      </w:r>
    </w:p>
    <w:p w:rsidR="00C3544D" w:rsidRDefault="00C3544D" w:rsidP="000B723C">
      <w:pPr>
        <w:spacing w:after="0" w:line="240" w:lineRule="auto"/>
        <w:jc w:val="center"/>
        <w:rPr>
          <w:rFonts w:cs="Arial"/>
          <w:sz w:val="16"/>
          <w:szCs w:val="16"/>
        </w:rPr>
      </w:pPr>
    </w:p>
    <w:p w:rsidR="000B723C" w:rsidRPr="0090436C" w:rsidRDefault="000B723C" w:rsidP="001D31A9">
      <w:pPr>
        <w:spacing w:after="0" w:line="240" w:lineRule="auto"/>
        <w:rPr>
          <w:rFonts w:cs="Arial"/>
          <w:sz w:val="20"/>
          <w:szCs w:val="20"/>
        </w:rPr>
      </w:pPr>
      <w:r w:rsidRPr="00A30042">
        <w:rPr>
          <w:rFonts w:cs="Arial"/>
          <w:b/>
          <w:sz w:val="16"/>
          <w:szCs w:val="16"/>
        </w:rPr>
        <w:t>Fuente:</w:t>
      </w:r>
      <w:r w:rsidRPr="0090436C">
        <w:rPr>
          <w:rFonts w:cs="Arial"/>
          <w:sz w:val="16"/>
          <w:szCs w:val="16"/>
        </w:rPr>
        <w:t xml:space="preserve"> Oficina de Cooperación y Convenios, Instituto Colombiano de Bienestar Familiar (ICBF), 2016</w:t>
      </w:r>
      <w:r w:rsidRPr="0090436C">
        <w:rPr>
          <w:rFonts w:cs="Arial"/>
          <w:sz w:val="20"/>
          <w:szCs w:val="20"/>
        </w:rPr>
        <w:t>.</w:t>
      </w:r>
    </w:p>
    <w:p w:rsidR="000B723C" w:rsidRPr="0065423F" w:rsidRDefault="000B723C" w:rsidP="000B723C">
      <w:pPr>
        <w:spacing w:after="0" w:line="240" w:lineRule="auto"/>
      </w:pPr>
    </w:p>
    <w:p w:rsidR="00922734" w:rsidRDefault="00922734" w:rsidP="00922734">
      <w:pPr>
        <w:spacing w:after="0" w:line="240" w:lineRule="auto"/>
      </w:pPr>
      <w:r w:rsidRPr="00922734">
        <w:t xml:space="preserve">Los recursos obtenidos por medio de la gestión de </w:t>
      </w:r>
      <w:r>
        <w:t xml:space="preserve">la </w:t>
      </w:r>
      <w:r w:rsidRPr="00922734">
        <w:t>cooperación fueron los que se presentan en el gráfico que se expone a continuación:</w:t>
      </w:r>
    </w:p>
    <w:p w:rsidR="001767CE" w:rsidRDefault="001767CE" w:rsidP="00922734">
      <w:pPr>
        <w:spacing w:after="0" w:line="240" w:lineRule="auto"/>
      </w:pPr>
    </w:p>
    <w:p w:rsidR="001767CE" w:rsidRDefault="001767CE" w:rsidP="00922734">
      <w:pPr>
        <w:spacing w:after="0" w:line="240" w:lineRule="auto"/>
      </w:pPr>
    </w:p>
    <w:p w:rsidR="000B723C" w:rsidRPr="00644F29" w:rsidRDefault="000B723C" w:rsidP="000B723C">
      <w:pPr>
        <w:spacing w:after="0" w:line="240" w:lineRule="auto"/>
        <w:jc w:val="center"/>
        <w:rPr>
          <w:lang w:val="es-CO"/>
        </w:rPr>
      </w:pPr>
      <w:r w:rsidRPr="00644F29">
        <w:rPr>
          <w:b/>
          <w:bCs/>
          <w:lang w:val="es-CO"/>
        </w:rPr>
        <w:t>Gráfico. Gestión de cooperación 2016 (millones de pesos)</w:t>
      </w:r>
    </w:p>
    <w:p w:rsidR="000B723C" w:rsidRPr="0065423F" w:rsidRDefault="000B723C" w:rsidP="000B723C">
      <w:pPr>
        <w:spacing w:after="0" w:line="240" w:lineRule="auto"/>
      </w:pPr>
    </w:p>
    <w:p w:rsidR="000B723C" w:rsidRDefault="000B723C" w:rsidP="000B723C">
      <w:pPr>
        <w:spacing w:after="0" w:line="240" w:lineRule="auto"/>
        <w:jc w:val="center"/>
        <w:rPr>
          <w:rFonts w:cs="Arial"/>
          <w:sz w:val="20"/>
          <w:szCs w:val="20"/>
        </w:rPr>
      </w:pPr>
      <w:r>
        <w:rPr>
          <w:noProof/>
          <w:lang w:val="es-CO" w:eastAsia="es-CO"/>
        </w:rPr>
        <w:drawing>
          <wp:inline distT="0" distB="0" distL="0" distR="0" wp14:anchorId="540D10EB" wp14:editId="144EF080">
            <wp:extent cx="5972175" cy="225742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B723C" w:rsidRPr="0090436C" w:rsidRDefault="000B723C" w:rsidP="0090436C">
      <w:pPr>
        <w:spacing w:after="0" w:line="240" w:lineRule="auto"/>
        <w:rPr>
          <w:rFonts w:cs="Arial"/>
          <w:sz w:val="16"/>
          <w:szCs w:val="20"/>
        </w:rPr>
      </w:pPr>
      <w:r w:rsidRPr="001D31A9">
        <w:rPr>
          <w:rFonts w:cs="Arial"/>
          <w:b/>
          <w:sz w:val="16"/>
          <w:szCs w:val="20"/>
        </w:rPr>
        <w:t>Fuente:</w:t>
      </w:r>
      <w:r w:rsidRPr="0090436C">
        <w:rPr>
          <w:rFonts w:cs="Arial"/>
          <w:sz w:val="16"/>
          <w:szCs w:val="20"/>
        </w:rPr>
        <w:t xml:space="preserve"> Oficina de Cooperación y Convenios, ICBF. 2016.</w:t>
      </w:r>
    </w:p>
    <w:p w:rsidR="003A6D83" w:rsidRPr="00554E35" w:rsidRDefault="003A6D83" w:rsidP="002B631F"/>
    <w:p w:rsidR="000B723C" w:rsidRDefault="000B723C" w:rsidP="007342CF">
      <w:pPr>
        <w:pStyle w:val="Ttulo2"/>
        <w:numPr>
          <w:ilvl w:val="2"/>
          <w:numId w:val="244"/>
        </w:numPr>
        <w:spacing w:line="240" w:lineRule="auto"/>
        <w:rPr>
          <w:rFonts w:cs="Arial"/>
          <w:b/>
          <w:szCs w:val="22"/>
        </w:rPr>
      </w:pPr>
      <w:bookmarkStart w:id="276" w:name="_Toc473581475"/>
      <w:r w:rsidRPr="00B8532B">
        <w:rPr>
          <w:rFonts w:cs="Arial"/>
          <w:b/>
          <w:szCs w:val="22"/>
        </w:rPr>
        <w:t>Logros</w:t>
      </w:r>
      <w:r w:rsidR="00624E8E" w:rsidRPr="00B8532B">
        <w:rPr>
          <w:rFonts w:cs="Arial"/>
          <w:b/>
          <w:szCs w:val="22"/>
        </w:rPr>
        <w:t xml:space="preserve"> 2016</w:t>
      </w:r>
      <w:bookmarkEnd w:id="276"/>
    </w:p>
    <w:p w:rsidR="00B8532B" w:rsidRPr="00B8532B" w:rsidRDefault="00B8532B" w:rsidP="00B8532B"/>
    <w:p w:rsidR="00922734" w:rsidRDefault="00922734" w:rsidP="00D712DC">
      <w:pPr>
        <w:numPr>
          <w:ilvl w:val="0"/>
          <w:numId w:val="202"/>
        </w:numPr>
        <w:spacing w:after="0" w:line="240" w:lineRule="auto"/>
        <w:contextualSpacing/>
        <w:jc w:val="both"/>
        <w:rPr>
          <w:rFonts w:cs="Arial"/>
        </w:rPr>
      </w:pPr>
      <w:r w:rsidRPr="00922734">
        <w:rPr>
          <w:rFonts w:cs="Arial"/>
        </w:rPr>
        <w:t>La Oficina de Cooperación y Convenios gestionó $91.165 millones de pesos orientados a apoyar las prioridades institucionales del ICBF, cumpliendo con más del 100% de la meta prevista para este periodo.</w:t>
      </w:r>
    </w:p>
    <w:p w:rsidR="00756B28" w:rsidRPr="00922734" w:rsidRDefault="00756B28" w:rsidP="00756B28">
      <w:pPr>
        <w:spacing w:after="0" w:line="240" w:lineRule="auto"/>
        <w:ind w:left="360"/>
        <w:contextualSpacing/>
        <w:jc w:val="both"/>
        <w:rPr>
          <w:rFonts w:cs="Arial"/>
        </w:rPr>
      </w:pPr>
    </w:p>
    <w:p w:rsidR="00922734" w:rsidRDefault="00922734" w:rsidP="00D712DC">
      <w:pPr>
        <w:numPr>
          <w:ilvl w:val="0"/>
          <w:numId w:val="202"/>
        </w:numPr>
        <w:spacing w:after="0" w:line="240" w:lineRule="auto"/>
        <w:contextualSpacing/>
        <w:jc w:val="both"/>
        <w:rPr>
          <w:rFonts w:cs="Arial"/>
        </w:rPr>
      </w:pPr>
      <w:r w:rsidRPr="00922734">
        <w:rPr>
          <w:rFonts w:cs="Arial"/>
        </w:rPr>
        <w:t>Se suscribieron 3</w:t>
      </w:r>
      <w:r w:rsidR="00B96D1F">
        <w:rPr>
          <w:rFonts w:cs="Arial"/>
        </w:rPr>
        <w:t>5</w:t>
      </w:r>
      <w:r w:rsidRPr="00922734">
        <w:rPr>
          <w:rFonts w:cs="Arial"/>
        </w:rPr>
        <w:t xml:space="preserve"> alianzas con empresas, fundaciones empresariales y organizaciones del tercer sector.</w:t>
      </w:r>
    </w:p>
    <w:p w:rsidR="001D31A9" w:rsidRPr="00922734" w:rsidRDefault="001D31A9" w:rsidP="001D31A9">
      <w:pPr>
        <w:spacing w:after="0" w:line="240" w:lineRule="auto"/>
        <w:ind w:left="360"/>
        <w:contextualSpacing/>
        <w:jc w:val="both"/>
        <w:rPr>
          <w:rFonts w:cs="Arial"/>
        </w:rPr>
      </w:pPr>
    </w:p>
    <w:p w:rsidR="00922734" w:rsidRDefault="00922734" w:rsidP="00D712DC">
      <w:pPr>
        <w:numPr>
          <w:ilvl w:val="0"/>
          <w:numId w:val="202"/>
        </w:numPr>
        <w:spacing w:after="0" w:line="240" w:lineRule="auto"/>
        <w:contextualSpacing/>
        <w:jc w:val="both"/>
        <w:rPr>
          <w:rFonts w:cs="Arial"/>
        </w:rPr>
      </w:pPr>
      <w:r w:rsidRPr="00922734">
        <w:rPr>
          <w:rFonts w:cs="Arial"/>
        </w:rPr>
        <w:t>La gestión de recursos de cooperación con el sector privado permitió que se lograran 122.398 beneficios para los niños, niñas y adolescentes bajo protección del ICBF.</w:t>
      </w:r>
    </w:p>
    <w:p w:rsidR="001D31A9" w:rsidRPr="00922734" w:rsidRDefault="001D31A9" w:rsidP="001D31A9">
      <w:pPr>
        <w:spacing w:after="0" w:line="240" w:lineRule="auto"/>
        <w:contextualSpacing/>
        <w:jc w:val="both"/>
        <w:rPr>
          <w:rFonts w:cs="Arial"/>
        </w:rPr>
      </w:pPr>
    </w:p>
    <w:p w:rsidR="00922734" w:rsidRDefault="00922734" w:rsidP="00D712DC">
      <w:pPr>
        <w:numPr>
          <w:ilvl w:val="0"/>
          <w:numId w:val="202"/>
        </w:numPr>
        <w:spacing w:after="0" w:line="240" w:lineRule="auto"/>
        <w:contextualSpacing/>
        <w:jc w:val="both"/>
        <w:rPr>
          <w:rFonts w:cs="Arial"/>
        </w:rPr>
      </w:pPr>
      <w:r w:rsidRPr="00922734">
        <w:rPr>
          <w:rFonts w:cs="Arial"/>
        </w:rPr>
        <w:t>Se implementó la Estrategia de Articulación del ICBF con la Cooperación en 18 departamentos: Antioquia, Bolívar, Boyacá, Chocó, Cauca, Córdoba, La Guajira, Nariño, Putumayo, Valle del Cauca, Meta, Atlántico, Magdalena, Cundinamarca, Norte de Santander, Quindío, Risaralda y Caldas.</w:t>
      </w:r>
    </w:p>
    <w:p w:rsidR="001D31A9" w:rsidRPr="00922734" w:rsidRDefault="001D31A9" w:rsidP="001D31A9">
      <w:pPr>
        <w:spacing w:after="0" w:line="240" w:lineRule="auto"/>
        <w:contextualSpacing/>
        <w:jc w:val="both"/>
        <w:rPr>
          <w:rFonts w:cs="Arial"/>
        </w:rPr>
      </w:pPr>
    </w:p>
    <w:p w:rsidR="00922734" w:rsidRDefault="00922734" w:rsidP="00D712DC">
      <w:pPr>
        <w:numPr>
          <w:ilvl w:val="0"/>
          <w:numId w:val="202"/>
        </w:numPr>
        <w:spacing w:after="0" w:line="240" w:lineRule="auto"/>
        <w:contextualSpacing/>
        <w:jc w:val="both"/>
        <w:rPr>
          <w:rFonts w:cs="Arial"/>
        </w:rPr>
      </w:pPr>
      <w:r w:rsidRPr="00922734">
        <w:rPr>
          <w:rFonts w:cs="Arial"/>
        </w:rPr>
        <w:t xml:space="preserve">Se </w:t>
      </w:r>
      <w:r>
        <w:rPr>
          <w:rFonts w:cs="Arial"/>
        </w:rPr>
        <w:t xml:space="preserve">atendieron </w:t>
      </w:r>
      <w:r w:rsidRPr="00922734">
        <w:rPr>
          <w:rFonts w:cs="Arial"/>
        </w:rPr>
        <w:t>los compromisos contemplados en acuerdos i</w:t>
      </w:r>
      <w:r>
        <w:rPr>
          <w:rFonts w:cs="Arial"/>
        </w:rPr>
        <w:t xml:space="preserve">nternacionales y se respondió a la totalidad de las </w:t>
      </w:r>
      <w:r w:rsidRPr="00922734">
        <w:rPr>
          <w:rFonts w:cs="Arial"/>
        </w:rPr>
        <w:t>solicitudes de entidades y organismos nacionales e internacionales relacionadas con actividades propias de la misión del ICBF.</w:t>
      </w:r>
    </w:p>
    <w:p w:rsidR="001D31A9" w:rsidRPr="00922734" w:rsidRDefault="001D31A9" w:rsidP="001D31A9">
      <w:pPr>
        <w:spacing w:after="0" w:line="240" w:lineRule="auto"/>
        <w:contextualSpacing/>
        <w:jc w:val="both"/>
        <w:rPr>
          <w:rFonts w:cs="Arial"/>
        </w:rPr>
      </w:pPr>
    </w:p>
    <w:p w:rsidR="00922734" w:rsidRDefault="00922734" w:rsidP="00D712DC">
      <w:pPr>
        <w:numPr>
          <w:ilvl w:val="0"/>
          <w:numId w:val="202"/>
        </w:numPr>
        <w:spacing w:after="0" w:line="240" w:lineRule="auto"/>
        <w:jc w:val="both"/>
        <w:rPr>
          <w:rFonts w:cs="Arial"/>
        </w:rPr>
      </w:pPr>
      <w:r w:rsidRPr="00922734">
        <w:rPr>
          <w:rFonts w:cs="Arial"/>
        </w:rPr>
        <w:t xml:space="preserve">Se trabajó articuladamente con </w:t>
      </w:r>
      <w:r>
        <w:rPr>
          <w:rFonts w:cs="Arial"/>
        </w:rPr>
        <w:t xml:space="preserve">el Ministerio de Relaciones Exteriores y </w:t>
      </w:r>
      <w:r w:rsidRPr="00922734">
        <w:rPr>
          <w:rFonts w:cs="Arial"/>
        </w:rPr>
        <w:t xml:space="preserve">la Agencia Presidencial de Cooperación Internacional de Colombia (APC Colombia), con el fin de fortalecer la cooperación y la gestión de alianzas con fuentes oficiales y no </w:t>
      </w:r>
      <w:r w:rsidR="001D31A9">
        <w:rPr>
          <w:rFonts w:cs="Arial"/>
        </w:rPr>
        <w:t>oficiales, públicas y privadas.</w:t>
      </w:r>
    </w:p>
    <w:p w:rsidR="001D31A9" w:rsidRPr="00922734" w:rsidRDefault="001D31A9" w:rsidP="001D31A9">
      <w:pPr>
        <w:spacing w:after="0" w:line="240" w:lineRule="auto"/>
        <w:jc w:val="both"/>
        <w:rPr>
          <w:rFonts w:cs="Arial"/>
        </w:rPr>
      </w:pPr>
    </w:p>
    <w:p w:rsidR="00922734" w:rsidRDefault="00922734" w:rsidP="00D712DC">
      <w:pPr>
        <w:numPr>
          <w:ilvl w:val="0"/>
          <w:numId w:val="202"/>
        </w:numPr>
        <w:spacing w:after="0" w:line="240" w:lineRule="auto"/>
        <w:jc w:val="both"/>
        <w:rPr>
          <w:rFonts w:cs="Arial"/>
        </w:rPr>
      </w:pPr>
      <w:r>
        <w:rPr>
          <w:rFonts w:cs="Arial"/>
        </w:rPr>
        <w:t>Se realizó el seguimiento a las recomendaciones del Comité de los Derechos del Niño y el reporte de las actividades 2015 y 2016, así como los resultados y efect</w:t>
      </w:r>
      <w:r w:rsidR="001D31A9">
        <w:rPr>
          <w:rFonts w:cs="Arial"/>
        </w:rPr>
        <w:t>os alcanzados hasta el momento.</w:t>
      </w:r>
    </w:p>
    <w:p w:rsidR="001D31A9" w:rsidRPr="00922734" w:rsidRDefault="001D31A9" w:rsidP="001D31A9">
      <w:pPr>
        <w:spacing w:after="0" w:line="240" w:lineRule="auto"/>
        <w:jc w:val="both"/>
        <w:rPr>
          <w:rFonts w:cs="Arial"/>
        </w:rPr>
      </w:pPr>
    </w:p>
    <w:p w:rsidR="00C05488" w:rsidRDefault="00922734" w:rsidP="00D712DC">
      <w:pPr>
        <w:numPr>
          <w:ilvl w:val="0"/>
          <w:numId w:val="202"/>
        </w:numPr>
        <w:spacing w:after="0" w:line="240" w:lineRule="auto"/>
        <w:jc w:val="both"/>
        <w:rPr>
          <w:b/>
        </w:rPr>
      </w:pPr>
      <w:r>
        <w:rPr>
          <w:rFonts w:cs="Arial"/>
        </w:rPr>
        <w:t>Se desarrollaron acciones, iniciativas y proyectos de Cooperación Sur- Sur, en las que prevalecieron las alianzas estratégicas y el diálogo horizontal. (Misiones Técnicas al Exterior: 7 (Perú 2, Rep. Dominicana 1, Filipinas 1, El Salvador 2, Estados Unidos 1; Misiones Técnicas a Colombia atendidas por el ICBF, 11 (Perú</w:t>
      </w:r>
      <w:r w:rsidR="00B96D1F">
        <w:rPr>
          <w:rFonts w:cs="Arial"/>
        </w:rPr>
        <w:t xml:space="preserve"> 2</w:t>
      </w:r>
      <w:r>
        <w:rPr>
          <w:rFonts w:cs="Arial"/>
        </w:rPr>
        <w:t>, Honduras 1, China 1, Argentina 1, Myanmar 1, Bután 1, Laos 1, Vietnam 1, Bangladesh 1, India 1)</w:t>
      </w:r>
      <w:r w:rsidR="00B96D1F">
        <w:rPr>
          <w:b/>
        </w:rPr>
        <w:t>.</w:t>
      </w:r>
    </w:p>
    <w:p w:rsidR="00DB169E" w:rsidRDefault="00DB169E" w:rsidP="00974AF4"/>
    <w:p w:rsidR="00B96D1F" w:rsidRDefault="00B96D1F" w:rsidP="007342CF">
      <w:pPr>
        <w:pStyle w:val="Ttulo2"/>
        <w:numPr>
          <w:ilvl w:val="2"/>
          <w:numId w:val="244"/>
        </w:numPr>
        <w:spacing w:line="240" w:lineRule="auto"/>
        <w:rPr>
          <w:rFonts w:cs="Arial"/>
          <w:b/>
          <w:szCs w:val="22"/>
        </w:rPr>
      </w:pPr>
      <w:bookmarkStart w:id="277" w:name="_Toc473581476"/>
      <w:r w:rsidRPr="009B11C5">
        <w:rPr>
          <w:rFonts w:cs="Arial"/>
          <w:b/>
          <w:szCs w:val="22"/>
        </w:rPr>
        <w:t>Retos</w:t>
      </w:r>
      <w:r w:rsidR="00624E8E" w:rsidRPr="009B11C5">
        <w:rPr>
          <w:rFonts w:cs="Arial"/>
          <w:b/>
          <w:szCs w:val="22"/>
        </w:rPr>
        <w:t xml:space="preserve"> 2017</w:t>
      </w:r>
      <w:bookmarkEnd w:id="277"/>
    </w:p>
    <w:p w:rsidR="009B11C5" w:rsidRPr="009B11C5" w:rsidRDefault="009B11C5" w:rsidP="009B11C5"/>
    <w:p w:rsidR="00B96D1F" w:rsidRDefault="00B96D1F" w:rsidP="00470DCA">
      <w:pPr>
        <w:pStyle w:val="Prrafodelista"/>
        <w:numPr>
          <w:ilvl w:val="0"/>
          <w:numId w:val="212"/>
        </w:numPr>
        <w:spacing w:after="0" w:line="240" w:lineRule="auto"/>
        <w:jc w:val="both"/>
        <w:rPr>
          <w:rFonts w:cs="Arial"/>
        </w:rPr>
      </w:pPr>
      <w:r w:rsidRPr="007564A4">
        <w:rPr>
          <w:rFonts w:cs="Arial"/>
        </w:rPr>
        <w:t>Aumentar la consecución de recursos de cooperación técnica y financiera en orden a sobrepasar la meta del cuatrienio.</w:t>
      </w:r>
      <w:r>
        <w:rPr>
          <w:rFonts w:cs="Arial"/>
        </w:rPr>
        <w:t xml:space="preserve"> (</w:t>
      </w:r>
      <w:r w:rsidRPr="007564A4">
        <w:rPr>
          <w:rFonts w:cs="Arial"/>
        </w:rPr>
        <w:t xml:space="preserve">200 mil millones </w:t>
      </w:r>
      <w:r>
        <w:rPr>
          <w:rFonts w:cs="Arial"/>
        </w:rPr>
        <w:t xml:space="preserve">- </w:t>
      </w:r>
      <w:r w:rsidRPr="007564A4">
        <w:rPr>
          <w:rFonts w:cs="Arial"/>
        </w:rPr>
        <w:t>Meta acumulada cuatrienio)</w:t>
      </w:r>
      <w:r>
        <w:rPr>
          <w:rFonts w:cs="Arial"/>
        </w:rPr>
        <w:t>.</w:t>
      </w:r>
    </w:p>
    <w:p w:rsidR="001D31A9" w:rsidRPr="007564A4" w:rsidRDefault="001D31A9" w:rsidP="001D31A9">
      <w:pPr>
        <w:pStyle w:val="Prrafodelista"/>
        <w:spacing w:after="0" w:line="240" w:lineRule="auto"/>
        <w:ind w:left="720"/>
        <w:jc w:val="both"/>
        <w:rPr>
          <w:rFonts w:cs="Arial"/>
        </w:rPr>
      </w:pPr>
    </w:p>
    <w:p w:rsidR="00B96D1F" w:rsidRDefault="00B96D1F" w:rsidP="00470DCA">
      <w:pPr>
        <w:pStyle w:val="Prrafodelista"/>
        <w:numPr>
          <w:ilvl w:val="0"/>
          <w:numId w:val="212"/>
        </w:numPr>
        <w:spacing w:after="0" w:line="240" w:lineRule="auto"/>
        <w:jc w:val="both"/>
        <w:rPr>
          <w:rFonts w:cs="Arial"/>
        </w:rPr>
      </w:pPr>
      <w:r w:rsidRPr="007564A4">
        <w:rPr>
          <w:rFonts w:cs="Arial"/>
        </w:rPr>
        <w:t>Aumentar las alianzas gestionadas con el sector privado</w:t>
      </w:r>
      <w:r>
        <w:rPr>
          <w:rFonts w:cs="Arial"/>
        </w:rPr>
        <w:t xml:space="preserve"> y ayuda oficial al desarrollo (</w:t>
      </w:r>
      <w:r w:rsidRPr="007564A4">
        <w:rPr>
          <w:rFonts w:cs="Arial"/>
        </w:rPr>
        <w:t>50 Alianzas</w:t>
      </w:r>
      <w:r>
        <w:rPr>
          <w:rFonts w:cs="Arial"/>
        </w:rPr>
        <w:t>).</w:t>
      </w:r>
    </w:p>
    <w:p w:rsidR="00D16691" w:rsidRPr="001D31A9" w:rsidRDefault="00B96D1F" w:rsidP="00B96D1F">
      <w:pPr>
        <w:pStyle w:val="Prrafodelista"/>
        <w:numPr>
          <w:ilvl w:val="0"/>
          <w:numId w:val="212"/>
        </w:numPr>
        <w:spacing w:after="0" w:line="240" w:lineRule="auto"/>
        <w:jc w:val="both"/>
        <w:rPr>
          <w:rFonts w:cs="Arial"/>
        </w:rPr>
      </w:pPr>
      <w:r w:rsidRPr="007564A4">
        <w:rPr>
          <w:rFonts w:cs="Arial"/>
        </w:rPr>
        <w:t>Lograr la implementación de la estrategia de cooperación en las regiones priorizadas para e</w:t>
      </w:r>
      <w:r>
        <w:rPr>
          <w:rFonts w:cs="Arial"/>
        </w:rPr>
        <w:t>l año 2017 (25 Departamentos –</w:t>
      </w:r>
      <w:r w:rsidRPr="007564A4">
        <w:rPr>
          <w:rFonts w:cs="Arial"/>
        </w:rPr>
        <w:t xml:space="preserve"> Regionales</w:t>
      </w:r>
      <w:r>
        <w:rPr>
          <w:rFonts w:cs="Arial"/>
        </w:rPr>
        <w:t xml:space="preserve"> del ICBF).</w:t>
      </w:r>
    </w:p>
    <w:p w:rsidR="006D4C4F" w:rsidRDefault="006D4C4F" w:rsidP="00B96D1F">
      <w:pPr>
        <w:spacing w:after="0" w:line="240" w:lineRule="auto"/>
        <w:jc w:val="both"/>
        <w:rPr>
          <w:b/>
        </w:rPr>
      </w:pPr>
    </w:p>
    <w:p w:rsidR="003A6D83" w:rsidRDefault="003A6D83" w:rsidP="00B96D1F">
      <w:pPr>
        <w:spacing w:after="0" w:line="240" w:lineRule="auto"/>
        <w:jc w:val="both"/>
        <w:rPr>
          <w:b/>
        </w:rPr>
      </w:pPr>
    </w:p>
    <w:p w:rsidR="005A48CB" w:rsidRPr="00B42B35" w:rsidRDefault="00624E8E" w:rsidP="007342CF">
      <w:pPr>
        <w:pStyle w:val="Ttulo1"/>
        <w:numPr>
          <w:ilvl w:val="1"/>
          <w:numId w:val="244"/>
        </w:numPr>
        <w:jc w:val="both"/>
        <w:rPr>
          <w:rFonts w:cs="Arial"/>
          <w:szCs w:val="22"/>
        </w:rPr>
      </w:pPr>
      <w:bookmarkStart w:id="278" w:name="_Toc473581477"/>
      <w:r w:rsidRPr="00B42B35">
        <w:rPr>
          <w:rFonts w:cs="Arial"/>
          <w:szCs w:val="22"/>
        </w:rPr>
        <w:t>Gestión Comunicaciones</w:t>
      </w:r>
      <w:bookmarkEnd w:id="270"/>
      <w:bookmarkEnd w:id="278"/>
    </w:p>
    <w:p w:rsidR="003A1CB9" w:rsidRPr="007C7406" w:rsidRDefault="003A1CB9" w:rsidP="005A5870">
      <w:pPr>
        <w:jc w:val="both"/>
      </w:pPr>
    </w:p>
    <w:p w:rsidR="00D63166" w:rsidRDefault="00D63166" w:rsidP="005F2F76">
      <w:pPr>
        <w:jc w:val="both"/>
      </w:pPr>
      <w:r w:rsidRPr="00B42B35">
        <w:t xml:space="preserve">Con el fin de cumplir con el objetivo de </w:t>
      </w:r>
      <w:r w:rsidR="0065773A">
        <w:t>promover la comunicación, diá</w:t>
      </w:r>
      <w:r w:rsidRPr="00B42B35">
        <w:t>logo e interacción en torno a los temas relacionados con la protección y garantía de los derechos de los niños, niñas, adolescentes y de las familias colombianas, en el marco de la Política de Comunicaciones y del Plan Estratégico de Comunicaciones; la Oficina Asesora de Comunicaciones durante la vigencia 2016</w:t>
      </w:r>
      <w:r w:rsidR="0065773A">
        <w:t>, con fecha de corte a 31 de diciembre,</w:t>
      </w:r>
      <w:r w:rsidRPr="00B42B35">
        <w:t xml:space="preserve"> </w:t>
      </w:r>
      <w:r>
        <w:t>report</w:t>
      </w:r>
      <w:r w:rsidRPr="00B42B35">
        <w:t xml:space="preserve">ó lo siguiente en cada línea de trabajo: </w:t>
      </w:r>
    </w:p>
    <w:p w:rsidR="00D63166" w:rsidRDefault="00D63166" w:rsidP="00470DCA">
      <w:pPr>
        <w:pStyle w:val="Prrafodelista"/>
        <w:numPr>
          <w:ilvl w:val="0"/>
          <w:numId w:val="240"/>
        </w:numPr>
        <w:jc w:val="both"/>
      </w:pPr>
      <w:bookmarkStart w:id="279" w:name="_Toc470095222"/>
      <w:r w:rsidRPr="005F2F76">
        <w:rPr>
          <w:rFonts w:cs="Arial"/>
          <w:b/>
        </w:rPr>
        <w:t>Prensa</w:t>
      </w:r>
      <w:bookmarkEnd w:id="279"/>
      <w:r w:rsidR="00461A5D" w:rsidRPr="005F2F76">
        <w:rPr>
          <w:rFonts w:cs="Arial"/>
          <w:b/>
        </w:rPr>
        <w:t>:</w:t>
      </w:r>
      <w:r w:rsidRPr="005F2F76">
        <w:rPr>
          <w:rFonts w:cs="Arial"/>
          <w:b/>
        </w:rPr>
        <w:t xml:space="preserve"> </w:t>
      </w:r>
      <w:r w:rsidRPr="00461A5D">
        <w:t>Visibilizar la labor institucional a través de una comunicación oportuna a la opinión pública, difusión de información en medios masivos, manejo de temas coyunturales, construcción de comunicados, organización de ruedas de prensa y monitoreo de medios; el equipo de prensa de la Oficina de Comunicaciones produjo 701 comunicados.</w:t>
      </w:r>
    </w:p>
    <w:p w:rsidR="00D63166" w:rsidRPr="005F2F76" w:rsidRDefault="00D63166" w:rsidP="00470DCA">
      <w:pPr>
        <w:pStyle w:val="Prrafodelista"/>
        <w:numPr>
          <w:ilvl w:val="0"/>
          <w:numId w:val="240"/>
        </w:numPr>
        <w:jc w:val="both"/>
        <w:rPr>
          <w:rFonts w:cs="Arial"/>
        </w:rPr>
      </w:pPr>
      <w:bookmarkStart w:id="280" w:name="_Toc470095223"/>
      <w:r w:rsidRPr="005F2F76">
        <w:rPr>
          <w:rFonts w:cs="Arial"/>
          <w:b/>
        </w:rPr>
        <w:t>Divulgación Institucional</w:t>
      </w:r>
      <w:bookmarkEnd w:id="280"/>
      <w:r w:rsidR="00461A5D" w:rsidRPr="005F2F76">
        <w:rPr>
          <w:rFonts w:cs="Arial"/>
          <w:b/>
        </w:rPr>
        <w:t xml:space="preserve">: </w:t>
      </w:r>
      <w:r w:rsidRPr="005F2F76">
        <w:rPr>
          <w:rFonts w:cs="Arial"/>
        </w:rPr>
        <w:t>Se gestionaron todas las campañas de divulgación institucional relacionadas con el Instituto y la protección y garantía de los derechos de los niños, niñas y adolescentes y las familias colombianas. Así mismo, medios puntuales y especializados para cada una de las campañas.</w:t>
      </w:r>
    </w:p>
    <w:p w:rsidR="00D63166" w:rsidRDefault="00D63166" w:rsidP="005F2F76">
      <w:pPr>
        <w:ind w:firstLine="360"/>
        <w:rPr>
          <w:rFonts w:cs="Arial"/>
          <w:b/>
        </w:rPr>
      </w:pPr>
      <w:r w:rsidRPr="00B42B35">
        <w:rPr>
          <w:rFonts w:cs="Arial"/>
          <w:b/>
        </w:rPr>
        <w:t>Conceptualización y promoción de</w:t>
      </w:r>
      <w:r w:rsidR="00461A5D">
        <w:rPr>
          <w:rFonts w:cs="Arial"/>
          <w:b/>
        </w:rPr>
        <w:t xml:space="preserve"> las campañas (nuevas campañas):</w:t>
      </w:r>
    </w:p>
    <w:p w:rsidR="00D63166" w:rsidRPr="00B42B35" w:rsidRDefault="00D63166" w:rsidP="005F2F76">
      <w:pPr>
        <w:rPr>
          <w:rFonts w:cs="Arial"/>
        </w:rPr>
      </w:pPr>
      <w:r w:rsidRPr="00B42B35">
        <w:rPr>
          <w:rFonts w:cs="Arial"/>
        </w:rPr>
        <w:t xml:space="preserve">Lactancia Materna  </w:t>
      </w:r>
      <w:r w:rsidRPr="00B42B35">
        <w:rPr>
          <w:rFonts w:cs="Arial"/>
          <w:b/>
          <w:bCs/>
        </w:rPr>
        <w:t xml:space="preserve">Hashtag: </w:t>
      </w:r>
      <w:r w:rsidRPr="00B42B35">
        <w:rPr>
          <w:rFonts w:cs="Arial"/>
          <w:i/>
        </w:rPr>
        <w:t>#yosoyvaliente</w:t>
      </w:r>
      <w:r w:rsidRPr="00B42B35">
        <w:rPr>
          <w:rFonts w:cs="Arial"/>
        </w:rPr>
        <w:t xml:space="preserve"> – El mayor Acto de Amor.</w:t>
      </w:r>
    </w:p>
    <w:p w:rsidR="00D63166" w:rsidRPr="00493B82" w:rsidRDefault="00D63166" w:rsidP="005F2F76">
      <w:pPr>
        <w:rPr>
          <w:rFonts w:cs="Arial"/>
        </w:rPr>
      </w:pPr>
      <w:r w:rsidRPr="00493B82">
        <w:rPr>
          <w:rFonts w:cs="Arial"/>
        </w:rPr>
        <w:t>Línea 141 - Línea de protección a niños, niñas y adolescentes – Denuncia – emergencia – orientación</w:t>
      </w:r>
      <w:r>
        <w:rPr>
          <w:rFonts w:cs="Arial"/>
        </w:rPr>
        <w:t>.</w:t>
      </w:r>
      <w:r w:rsidRPr="00493B82">
        <w:rPr>
          <w:rFonts w:cs="Arial"/>
          <w:b/>
          <w:bCs/>
        </w:rPr>
        <w:t xml:space="preserve"> </w:t>
      </w:r>
      <w:r w:rsidRPr="00493B82">
        <w:rPr>
          <w:rFonts w:cs="Arial"/>
        </w:rPr>
        <w:t>Marcar 3 números puede cambiar una historia.</w:t>
      </w:r>
    </w:p>
    <w:p w:rsidR="00D63166" w:rsidRPr="00B42B35" w:rsidRDefault="00D63166" w:rsidP="005F2F76">
      <w:pPr>
        <w:rPr>
          <w:rFonts w:cs="Arial"/>
        </w:rPr>
      </w:pPr>
      <w:r w:rsidRPr="00B42B35">
        <w:rPr>
          <w:rFonts w:cs="Arial"/>
        </w:rPr>
        <w:t>Promoción estrategia Súper Amigos: Se buscan amigos que cambien vidas.</w:t>
      </w:r>
    </w:p>
    <w:p w:rsidR="00D63166" w:rsidRPr="00B42B35" w:rsidRDefault="00D63166" w:rsidP="005F2F76">
      <w:pPr>
        <w:rPr>
          <w:rFonts w:cs="Arial"/>
        </w:rPr>
      </w:pPr>
      <w:r w:rsidRPr="00B42B35">
        <w:rPr>
          <w:rFonts w:cs="Arial"/>
        </w:rPr>
        <w:t>Violencia Sexual: las 72 primeras horas (campaña interna).</w:t>
      </w:r>
    </w:p>
    <w:p w:rsidR="00D63166" w:rsidRDefault="00D63166" w:rsidP="00470DCA">
      <w:pPr>
        <w:pStyle w:val="Default"/>
        <w:numPr>
          <w:ilvl w:val="0"/>
          <w:numId w:val="216"/>
        </w:numPr>
        <w:jc w:val="both"/>
        <w:rPr>
          <w:rFonts w:ascii="Arial" w:hAnsi="Arial" w:cs="Arial"/>
          <w:b/>
          <w:color w:val="auto"/>
          <w:sz w:val="22"/>
          <w:szCs w:val="22"/>
        </w:rPr>
      </w:pPr>
      <w:r w:rsidRPr="00B42B35">
        <w:rPr>
          <w:rFonts w:ascii="Arial" w:hAnsi="Arial" w:cs="Arial"/>
          <w:b/>
          <w:color w:val="auto"/>
          <w:sz w:val="22"/>
          <w:szCs w:val="22"/>
        </w:rPr>
        <w:t>Promoción de las campañas</w:t>
      </w:r>
      <w:r w:rsidR="00461A5D">
        <w:rPr>
          <w:rFonts w:ascii="Arial" w:hAnsi="Arial" w:cs="Arial"/>
          <w:b/>
          <w:color w:val="auto"/>
          <w:sz w:val="22"/>
          <w:szCs w:val="22"/>
        </w:rPr>
        <w:t>:</w:t>
      </w:r>
    </w:p>
    <w:p w:rsidR="00974AF4" w:rsidRPr="00B42B35" w:rsidRDefault="00974AF4" w:rsidP="00974AF4">
      <w:pPr>
        <w:pStyle w:val="Default"/>
        <w:jc w:val="both"/>
        <w:rPr>
          <w:rFonts w:ascii="Arial" w:hAnsi="Arial" w:cs="Arial"/>
          <w:b/>
          <w:color w:val="auto"/>
          <w:sz w:val="22"/>
          <w:szCs w:val="22"/>
        </w:rPr>
      </w:pPr>
    </w:p>
    <w:p w:rsidR="00D63166" w:rsidRPr="00B42B35" w:rsidRDefault="00D63166" w:rsidP="00D712DC">
      <w:pPr>
        <w:numPr>
          <w:ilvl w:val="0"/>
          <w:numId w:val="50"/>
        </w:numPr>
        <w:tabs>
          <w:tab w:val="clear" w:pos="720"/>
          <w:tab w:val="num" w:pos="360"/>
        </w:tabs>
        <w:spacing w:after="0" w:line="240" w:lineRule="auto"/>
        <w:ind w:left="360"/>
        <w:jc w:val="both"/>
        <w:rPr>
          <w:rFonts w:cs="Arial"/>
        </w:rPr>
      </w:pPr>
      <w:r w:rsidRPr="00B42B35">
        <w:rPr>
          <w:rFonts w:cs="Arial"/>
        </w:rPr>
        <w:t>Prevención de maltrato infantil: Por las buenas si aprendo.</w:t>
      </w:r>
    </w:p>
    <w:p w:rsidR="00D63166" w:rsidRPr="00B42B35" w:rsidRDefault="00D63166" w:rsidP="00D712DC">
      <w:pPr>
        <w:numPr>
          <w:ilvl w:val="0"/>
          <w:numId w:val="50"/>
        </w:numPr>
        <w:tabs>
          <w:tab w:val="clear" w:pos="720"/>
          <w:tab w:val="num" w:pos="360"/>
        </w:tabs>
        <w:spacing w:after="0" w:line="240" w:lineRule="auto"/>
        <w:ind w:left="360"/>
        <w:jc w:val="both"/>
        <w:rPr>
          <w:rFonts w:cs="Arial"/>
        </w:rPr>
      </w:pPr>
      <w:r w:rsidRPr="00B42B35">
        <w:rPr>
          <w:rFonts w:cs="Arial"/>
        </w:rPr>
        <w:t>Promoción de Adopciones: Cuando das amor renaces, ¡Adopta!</w:t>
      </w:r>
    </w:p>
    <w:p w:rsidR="00D63166" w:rsidRPr="00B42B35" w:rsidRDefault="00D63166" w:rsidP="00D712DC">
      <w:pPr>
        <w:pStyle w:val="Prrafodelista"/>
        <w:numPr>
          <w:ilvl w:val="0"/>
          <w:numId w:val="50"/>
        </w:numPr>
        <w:tabs>
          <w:tab w:val="clear" w:pos="720"/>
          <w:tab w:val="num" w:pos="360"/>
        </w:tabs>
        <w:spacing w:after="0" w:line="240" w:lineRule="auto"/>
        <w:ind w:left="360"/>
        <w:jc w:val="both"/>
        <w:rPr>
          <w:rFonts w:cs="Arial"/>
        </w:rPr>
      </w:pPr>
      <w:r w:rsidRPr="00B42B35">
        <w:rPr>
          <w:rFonts w:cs="Arial"/>
        </w:rPr>
        <w:t xml:space="preserve">Prevención de embarazo en adolescentes: </w:t>
      </w:r>
      <w:r w:rsidRPr="00B42B35">
        <w:rPr>
          <w:rFonts w:cs="Arial"/>
          <w:i/>
        </w:rPr>
        <w:t>#YoCuidoMiFuturo</w:t>
      </w:r>
      <w:r w:rsidRPr="00B42B35">
        <w:rPr>
          <w:rFonts w:cs="Arial"/>
        </w:rPr>
        <w:t xml:space="preserve"> - En lugar de un embarazo mis sueños.</w:t>
      </w:r>
    </w:p>
    <w:p w:rsidR="00D63166" w:rsidRPr="00B42B35" w:rsidRDefault="00D63166" w:rsidP="00D712DC">
      <w:pPr>
        <w:pStyle w:val="Prrafodelista"/>
        <w:numPr>
          <w:ilvl w:val="0"/>
          <w:numId w:val="50"/>
        </w:numPr>
        <w:tabs>
          <w:tab w:val="clear" w:pos="720"/>
          <w:tab w:val="num" w:pos="360"/>
        </w:tabs>
        <w:spacing w:after="0" w:line="240" w:lineRule="auto"/>
        <w:ind w:left="360"/>
        <w:jc w:val="both"/>
        <w:rPr>
          <w:rFonts w:cs="Arial"/>
        </w:rPr>
      </w:pPr>
      <w:r w:rsidRPr="00B42B35">
        <w:rPr>
          <w:rFonts w:cs="Arial"/>
        </w:rPr>
        <w:t>Prevención de uso de pólvora: Prende la Fiesta Apaga la pólvora.</w:t>
      </w:r>
    </w:p>
    <w:p w:rsidR="00D63166" w:rsidRPr="00B42B35" w:rsidRDefault="00D63166" w:rsidP="00093AD3">
      <w:pPr>
        <w:ind w:firstLine="360"/>
        <w:jc w:val="both"/>
        <w:rPr>
          <w:rFonts w:cs="Arial"/>
        </w:rPr>
      </w:pPr>
      <w:r w:rsidRPr="00B42B35">
        <w:rPr>
          <w:rFonts w:cs="Arial"/>
          <w:bCs/>
        </w:rPr>
        <w:t>Hashtag:</w:t>
      </w:r>
      <w:r w:rsidRPr="00B42B35">
        <w:rPr>
          <w:rFonts w:cs="Arial"/>
        </w:rPr>
        <w:t xml:space="preserve"> </w:t>
      </w:r>
      <w:r w:rsidRPr="00B42B35">
        <w:rPr>
          <w:rFonts w:cs="Arial"/>
          <w:i/>
        </w:rPr>
        <w:t>#Fiestasinpólvora</w:t>
      </w:r>
    </w:p>
    <w:p w:rsidR="00756B28" w:rsidRDefault="00756B28" w:rsidP="00C42788">
      <w:pPr>
        <w:rPr>
          <w:b/>
        </w:rPr>
      </w:pPr>
      <w:bookmarkStart w:id="281" w:name="_Toc470095224"/>
      <w:bookmarkStart w:id="282" w:name="_Toc473525904"/>
    </w:p>
    <w:p w:rsidR="00DA2ADC" w:rsidRPr="00C42788" w:rsidRDefault="00D63166" w:rsidP="00C42788">
      <w:pPr>
        <w:rPr>
          <w:b/>
        </w:rPr>
      </w:pPr>
      <w:r w:rsidRPr="00C42788">
        <w:rPr>
          <w:b/>
        </w:rPr>
        <w:t>Digital</w:t>
      </w:r>
      <w:bookmarkEnd w:id="281"/>
      <w:r w:rsidR="00461A5D" w:rsidRPr="00C42788">
        <w:rPr>
          <w:b/>
        </w:rPr>
        <w:t>:</w:t>
      </w:r>
      <w:bookmarkEnd w:id="282"/>
    </w:p>
    <w:p w:rsidR="00D63166" w:rsidRDefault="00D63166" w:rsidP="00093AD3">
      <w:pPr>
        <w:pStyle w:val="Arialsinespacio"/>
        <w:jc w:val="both"/>
      </w:pPr>
      <w:r w:rsidRPr="00B42B35">
        <w:t>Emisión de mensaje y campañas en los diferentes canales digitales y redes sociales, generando más audiencia y seguidores en la promoción de la garantía de los derechos de los niños, niñas y adolescentes, a continuación algunas cifras de interés de las redes.</w:t>
      </w:r>
    </w:p>
    <w:p w:rsidR="00E445CB" w:rsidRDefault="00E445CB" w:rsidP="00093AD3">
      <w:pPr>
        <w:pStyle w:val="Arialsinespacio"/>
        <w:jc w:val="both"/>
      </w:pPr>
    </w:p>
    <w:p w:rsidR="00D63166" w:rsidRDefault="00F62AFB" w:rsidP="0090436C">
      <w:pPr>
        <w:pStyle w:val="Default"/>
        <w:spacing w:line="240" w:lineRule="atLeast"/>
        <w:jc w:val="center"/>
        <w:rPr>
          <w:rFonts w:ascii="Arial" w:hAnsi="Arial" w:cs="Arial"/>
          <w:b/>
          <w:color w:val="auto"/>
          <w:sz w:val="20"/>
          <w:szCs w:val="20"/>
        </w:rPr>
      </w:pPr>
      <w:r>
        <w:rPr>
          <w:rFonts w:ascii="Arial" w:hAnsi="Arial" w:cs="Arial"/>
          <w:b/>
          <w:color w:val="auto"/>
          <w:sz w:val="20"/>
          <w:szCs w:val="20"/>
        </w:rPr>
        <w:t>Cifras de interés de las redes</w:t>
      </w:r>
    </w:p>
    <w:tbl>
      <w:tblPr>
        <w:tblStyle w:val="Tabladecuadrcula4-nfasis321"/>
        <w:tblW w:w="8920"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ook w:val="04A0" w:firstRow="1" w:lastRow="0" w:firstColumn="1" w:lastColumn="0" w:noHBand="0" w:noVBand="1"/>
      </w:tblPr>
      <w:tblGrid>
        <w:gridCol w:w="1228"/>
        <w:gridCol w:w="1575"/>
        <w:gridCol w:w="1846"/>
        <w:gridCol w:w="1947"/>
        <w:gridCol w:w="2324"/>
      </w:tblGrid>
      <w:tr w:rsidR="006C03BD" w:rsidRPr="00146181" w:rsidTr="001D31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6C03BD" w:rsidRPr="00B42B35" w:rsidRDefault="006C03BD" w:rsidP="00B524DF">
            <w:pPr>
              <w:spacing w:after="0" w:line="240" w:lineRule="auto"/>
              <w:jc w:val="center"/>
              <w:rPr>
                <w:rFonts w:eastAsia="Times New Roman" w:cs="Arial"/>
                <w:sz w:val="20"/>
                <w:szCs w:val="20"/>
                <w:lang w:val="es-CO" w:eastAsia="es-CO"/>
              </w:rPr>
            </w:pPr>
            <w:r w:rsidRPr="00B42B35">
              <w:rPr>
                <w:rFonts w:eastAsia="Times New Roman" w:cs="Arial"/>
                <w:sz w:val="20"/>
                <w:szCs w:val="20"/>
                <w:lang w:eastAsia="es-CO"/>
              </w:rPr>
              <w:t> </w:t>
            </w:r>
          </w:p>
        </w:tc>
        <w:tc>
          <w:tcPr>
            <w:tcW w:w="1588"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Facebook</w:t>
            </w:r>
          </w:p>
        </w:tc>
        <w:tc>
          <w:tcPr>
            <w:tcW w:w="1863"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Twitter</w:t>
            </w:r>
          </w:p>
        </w:tc>
        <w:tc>
          <w:tcPr>
            <w:tcW w:w="1964"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YouTube</w:t>
            </w:r>
          </w:p>
        </w:tc>
        <w:tc>
          <w:tcPr>
            <w:tcW w:w="2353" w:type="dxa"/>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6C03BD" w:rsidRPr="00EC2216" w:rsidRDefault="006C03BD" w:rsidP="00B52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val="es-CO" w:eastAsia="es-CO"/>
              </w:rPr>
            </w:pPr>
            <w:r w:rsidRPr="00EC2216">
              <w:rPr>
                <w:rFonts w:eastAsia="Times New Roman" w:cs="Arial"/>
                <w:b w:val="0"/>
                <w:sz w:val="20"/>
                <w:szCs w:val="20"/>
                <w:lang w:eastAsia="es-CO"/>
              </w:rPr>
              <w:t>YouTube</w:t>
            </w:r>
          </w:p>
        </w:tc>
      </w:tr>
      <w:tr w:rsidR="006C03BD" w:rsidRPr="00146181" w:rsidTr="001D31A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52" w:type="dxa"/>
            <w:shd w:val="clear" w:color="auto" w:fill="auto"/>
            <w:hideMark/>
          </w:tcPr>
          <w:p w:rsidR="006C03BD" w:rsidRPr="001D31A9" w:rsidRDefault="006C03BD" w:rsidP="00B524DF">
            <w:pPr>
              <w:spacing w:after="0" w:line="240" w:lineRule="auto"/>
              <w:jc w:val="center"/>
              <w:rPr>
                <w:rFonts w:eastAsia="Times New Roman" w:cs="Arial"/>
                <w:b w:val="0"/>
                <w:sz w:val="20"/>
                <w:szCs w:val="20"/>
                <w:lang w:val="es-CO" w:eastAsia="es-CO"/>
              </w:rPr>
            </w:pPr>
            <w:r w:rsidRPr="001D31A9">
              <w:rPr>
                <w:rFonts w:eastAsia="Times New Roman" w:cs="Arial"/>
                <w:b w:val="0"/>
                <w:sz w:val="20"/>
                <w:szCs w:val="20"/>
                <w:lang w:eastAsia="es-CO"/>
              </w:rPr>
              <w:t>Seguidores</w:t>
            </w:r>
          </w:p>
        </w:tc>
        <w:tc>
          <w:tcPr>
            <w:tcW w:w="1588" w:type="dxa"/>
            <w:shd w:val="clear" w:color="auto" w:fill="auto"/>
            <w:hideMark/>
          </w:tcPr>
          <w:p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Me gusta</w:t>
            </w:r>
          </w:p>
        </w:tc>
        <w:tc>
          <w:tcPr>
            <w:tcW w:w="1863" w:type="dxa"/>
            <w:shd w:val="clear" w:color="auto" w:fill="auto"/>
            <w:hideMark/>
          </w:tcPr>
          <w:p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Nuevos seguidores</w:t>
            </w:r>
          </w:p>
        </w:tc>
        <w:tc>
          <w:tcPr>
            <w:tcW w:w="1964" w:type="dxa"/>
            <w:shd w:val="clear" w:color="auto" w:fill="auto"/>
            <w:hideMark/>
          </w:tcPr>
          <w:p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Canal institucional- suscriptores</w:t>
            </w:r>
          </w:p>
        </w:tc>
        <w:tc>
          <w:tcPr>
            <w:tcW w:w="2353" w:type="dxa"/>
            <w:shd w:val="clear" w:color="auto" w:fill="auto"/>
            <w:hideMark/>
          </w:tcPr>
          <w:p w:rsidR="006C03BD" w:rsidRPr="00B42B35" w:rsidRDefault="006C03BD" w:rsidP="00B52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Canal Cambiando El Mundo</w:t>
            </w:r>
          </w:p>
        </w:tc>
      </w:tr>
      <w:tr w:rsidR="006C03BD" w:rsidRPr="00146181" w:rsidTr="001D31A9">
        <w:trPr>
          <w:trHeight w:val="300"/>
        </w:trPr>
        <w:tc>
          <w:tcPr>
            <w:cnfStyle w:val="001000000000" w:firstRow="0" w:lastRow="0" w:firstColumn="1" w:lastColumn="0" w:oddVBand="0" w:evenVBand="0" w:oddHBand="0" w:evenHBand="0" w:firstRowFirstColumn="0" w:firstRowLastColumn="0" w:lastRowFirstColumn="0" w:lastRowLastColumn="0"/>
            <w:tcW w:w="1152" w:type="dxa"/>
            <w:hideMark/>
          </w:tcPr>
          <w:p w:rsidR="006C03BD" w:rsidRPr="001D31A9" w:rsidRDefault="006C03BD" w:rsidP="00B524DF">
            <w:pPr>
              <w:spacing w:after="0" w:line="240" w:lineRule="auto"/>
              <w:rPr>
                <w:rFonts w:eastAsia="Times New Roman" w:cs="Arial"/>
                <w:b w:val="0"/>
                <w:sz w:val="20"/>
                <w:szCs w:val="20"/>
                <w:lang w:val="es-CO" w:eastAsia="es-CO"/>
              </w:rPr>
            </w:pPr>
            <w:r w:rsidRPr="001D31A9">
              <w:rPr>
                <w:rFonts w:eastAsia="Times New Roman" w:cs="Arial"/>
                <w:b w:val="0"/>
                <w:sz w:val="20"/>
                <w:szCs w:val="20"/>
                <w:lang w:eastAsia="es-CO"/>
              </w:rPr>
              <w:t>Cantidad</w:t>
            </w:r>
          </w:p>
        </w:tc>
        <w:tc>
          <w:tcPr>
            <w:tcW w:w="1588" w:type="dxa"/>
            <w:hideMark/>
          </w:tcPr>
          <w:p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29.971</w:t>
            </w:r>
          </w:p>
        </w:tc>
        <w:tc>
          <w:tcPr>
            <w:tcW w:w="1863" w:type="dxa"/>
            <w:hideMark/>
          </w:tcPr>
          <w:p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45.645</w:t>
            </w:r>
          </w:p>
        </w:tc>
        <w:tc>
          <w:tcPr>
            <w:tcW w:w="1964" w:type="dxa"/>
            <w:hideMark/>
          </w:tcPr>
          <w:p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832</w:t>
            </w:r>
          </w:p>
        </w:tc>
        <w:tc>
          <w:tcPr>
            <w:tcW w:w="2353" w:type="dxa"/>
            <w:hideMark/>
          </w:tcPr>
          <w:p w:rsidR="006C03BD" w:rsidRPr="00B42B35" w:rsidRDefault="006C03BD" w:rsidP="00B52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s-CO" w:eastAsia="es-CO"/>
              </w:rPr>
            </w:pPr>
            <w:r w:rsidRPr="00B42B35">
              <w:rPr>
                <w:rFonts w:eastAsia="Times New Roman" w:cs="Arial"/>
                <w:sz w:val="20"/>
                <w:szCs w:val="20"/>
                <w:lang w:eastAsia="es-CO"/>
              </w:rPr>
              <w:t>880</w:t>
            </w:r>
          </w:p>
        </w:tc>
      </w:tr>
    </w:tbl>
    <w:p w:rsidR="00D63166" w:rsidRDefault="00D63166" w:rsidP="006C03BD">
      <w:pPr>
        <w:pStyle w:val="Default"/>
        <w:spacing w:line="240" w:lineRule="atLeast"/>
        <w:rPr>
          <w:rFonts w:ascii="Arial" w:hAnsi="Arial" w:cs="Arial"/>
          <w:color w:val="auto"/>
          <w:sz w:val="16"/>
          <w:szCs w:val="20"/>
        </w:rPr>
      </w:pPr>
      <w:r w:rsidRPr="001D31A9">
        <w:rPr>
          <w:rFonts w:ascii="Arial" w:hAnsi="Arial" w:cs="Arial"/>
          <w:b/>
          <w:color w:val="auto"/>
          <w:sz w:val="16"/>
          <w:szCs w:val="20"/>
        </w:rPr>
        <w:t>Fuente:</w:t>
      </w:r>
      <w:r w:rsidRPr="0090436C">
        <w:rPr>
          <w:rFonts w:ascii="Arial" w:hAnsi="Arial" w:cs="Arial"/>
          <w:color w:val="auto"/>
          <w:sz w:val="16"/>
          <w:szCs w:val="20"/>
        </w:rPr>
        <w:t xml:space="preserve"> Estadísticas propias de cada red social</w:t>
      </w:r>
      <w:r w:rsidR="00501C47" w:rsidRPr="0090436C">
        <w:rPr>
          <w:rFonts w:ascii="Arial" w:hAnsi="Arial" w:cs="Arial"/>
          <w:color w:val="auto"/>
          <w:sz w:val="16"/>
          <w:szCs w:val="20"/>
        </w:rPr>
        <w:t>. Fecha de corte 31 de diciembre de 2016.</w:t>
      </w:r>
    </w:p>
    <w:p w:rsidR="00D8710A" w:rsidRPr="00D21160" w:rsidRDefault="00D8710A" w:rsidP="00D8710A">
      <w:pPr>
        <w:spacing w:after="0" w:line="240" w:lineRule="auto"/>
        <w:jc w:val="both"/>
        <w:rPr>
          <w:rFonts w:cs="Arial"/>
          <w:sz w:val="16"/>
          <w:lang w:val="es-CO" w:eastAsia="es-ES"/>
        </w:rPr>
      </w:pPr>
    </w:p>
    <w:p w:rsidR="00D63166" w:rsidRPr="00AF6668" w:rsidRDefault="00D63166" w:rsidP="00470DCA">
      <w:pPr>
        <w:pStyle w:val="Prrafodelista"/>
        <w:numPr>
          <w:ilvl w:val="0"/>
          <w:numId w:val="233"/>
        </w:numPr>
        <w:rPr>
          <w:bCs/>
        </w:rPr>
      </w:pPr>
      <w:bookmarkStart w:id="283" w:name="_Toc470095225"/>
      <w:r w:rsidRPr="00AF6668">
        <w:rPr>
          <w:b/>
        </w:rPr>
        <w:t>Radio</w:t>
      </w:r>
      <w:bookmarkEnd w:id="283"/>
      <w:r w:rsidR="00093AD3" w:rsidRPr="00AF6668">
        <w:rPr>
          <w:b/>
        </w:rPr>
        <w:t xml:space="preserve">: </w:t>
      </w:r>
      <w:r w:rsidRPr="00AF6668">
        <w:rPr>
          <w:bCs/>
        </w:rPr>
        <w:t xml:space="preserve">Se </w:t>
      </w:r>
      <w:r w:rsidR="00501C47" w:rsidRPr="00AF6668">
        <w:rPr>
          <w:bCs/>
        </w:rPr>
        <w:t xml:space="preserve">logró la </w:t>
      </w:r>
      <w:r w:rsidRPr="00AF6668">
        <w:rPr>
          <w:rFonts w:eastAsia="Times New Roman"/>
          <w:bCs/>
          <w:lang w:eastAsia="es-ES"/>
        </w:rPr>
        <w:t>pre producción, producción, posproducción y emisión de programas</w:t>
      </w:r>
      <w:r w:rsidRPr="00AF6668">
        <w:rPr>
          <w:rFonts w:eastAsia="Times New Roman"/>
          <w:bCs/>
          <w:i/>
          <w:lang w:eastAsia="es-ES"/>
        </w:rPr>
        <w:t xml:space="preserve"> </w:t>
      </w:r>
      <w:r w:rsidRPr="00AF6668">
        <w:rPr>
          <w:rFonts w:eastAsia="Times New Roman"/>
          <w:bCs/>
          <w:lang w:eastAsia="es-ES"/>
        </w:rPr>
        <w:t>radiales para la promoción de los derechos de los niños, niñas y adolescentes en el marco de la Ley de la Infancia y la Adolescencia</w:t>
      </w:r>
      <w:r w:rsidRPr="00093AD3">
        <w:t xml:space="preserve">, con dos en alianzas: Caracol - </w:t>
      </w:r>
      <w:r w:rsidRPr="00AF6668">
        <w:rPr>
          <w:b/>
          <w:bCs/>
        </w:rPr>
        <w:t xml:space="preserve">Programa en Familia: </w:t>
      </w:r>
      <w:r w:rsidRPr="00093AD3">
        <w:t xml:space="preserve">31 emisiones y RCN - </w:t>
      </w:r>
      <w:r w:rsidRPr="00AF6668">
        <w:rPr>
          <w:b/>
          <w:bCs/>
        </w:rPr>
        <w:t>Programa Mañanas con Bienestar:</w:t>
      </w:r>
      <w:r w:rsidRPr="00093AD3">
        <w:t xml:space="preserve"> 32 emisiones.</w:t>
      </w:r>
    </w:p>
    <w:p w:rsidR="00D63166" w:rsidRPr="00AF6668" w:rsidRDefault="00D63166" w:rsidP="00470DCA">
      <w:pPr>
        <w:pStyle w:val="Prrafodelista"/>
        <w:numPr>
          <w:ilvl w:val="0"/>
          <w:numId w:val="233"/>
        </w:numPr>
        <w:rPr>
          <w:bCs/>
        </w:rPr>
      </w:pPr>
      <w:bookmarkStart w:id="284" w:name="_Toc470095226"/>
      <w:r w:rsidRPr="00AF6668">
        <w:rPr>
          <w:b/>
        </w:rPr>
        <w:t>Televisión</w:t>
      </w:r>
      <w:bookmarkEnd w:id="284"/>
      <w:r w:rsidR="00093AD3" w:rsidRPr="00AF6668">
        <w:rPr>
          <w:b/>
        </w:rPr>
        <w:t xml:space="preserve">: </w:t>
      </w:r>
      <w:r w:rsidRPr="00AF6668">
        <w:rPr>
          <w:b/>
        </w:rPr>
        <w:t>Programa de Televisión "Cambiando el Mundo</w:t>
      </w:r>
      <w:r w:rsidRPr="00093AD3">
        <w:t>“: se emitieron 45 programas</w:t>
      </w:r>
      <w:r w:rsidRPr="00AF6668">
        <w:rPr>
          <w:bCs/>
        </w:rPr>
        <w:t xml:space="preserve"> en donde el ICBF busca llegar a todas las regiones del país para orientar a los padres de familia, adultos responsables del cuidado de los niños, niñas y adolescentes, y a los agentes comunitarios sobre formación y cuidado, mediante crónicas, testimonios y reportajes, y de esta manera garantizar a la infancia y adolescencia colombiana su desarrollo integral, en el seno de una familia y en un ambiente de felicidad, amor y comprensión.</w:t>
      </w:r>
    </w:p>
    <w:p w:rsidR="00D63166" w:rsidRPr="00B42B35" w:rsidRDefault="00D63166" w:rsidP="00D63166">
      <w:pPr>
        <w:pStyle w:val="Default"/>
        <w:jc w:val="both"/>
        <w:rPr>
          <w:rFonts w:ascii="Arial" w:hAnsi="Arial" w:cs="Arial"/>
          <w:color w:val="auto"/>
          <w:sz w:val="22"/>
          <w:szCs w:val="22"/>
        </w:rPr>
      </w:pPr>
      <w:r w:rsidRPr="00B42B35">
        <w:rPr>
          <w:rFonts w:ascii="Arial" w:hAnsi="Arial" w:cs="Arial"/>
          <w:b/>
          <w:color w:val="auto"/>
          <w:sz w:val="22"/>
          <w:szCs w:val="22"/>
        </w:rPr>
        <w:t xml:space="preserve">Espacio Institucional “Me conoces”: </w:t>
      </w:r>
      <w:r w:rsidRPr="00B42B35">
        <w:rPr>
          <w:rFonts w:ascii="Arial" w:hAnsi="Arial" w:cs="Arial"/>
          <w:color w:val="auto"/>
          <w:sz w:val="22"/>
          <w:szCs w:val="22"/>
        </w:rPr>
        <w:t>constituye una herramienta en la labor de los defensores de familias. A través de este espacio, se hizo más efectiva la búsqueda de las familias de los niños, niñas y adolescentes que se encuentran bajo medida de protección del ICBF, garantizando así la protección y restitución de sus derechos fundamentales</w:t>
      </w:r>
      <w:r w:rsidRPr="00B42B35">
        <w:rPr>
          <w:rFonts w:ascii="Arial" w:hAnsi="Arial" w:cs="Arial"/>
          <w:bCs/>
          <w:color w:val="auto"/>
          <w:sz w:val="22"/>
          <w:szCs w:val="22"/>
        </w:rPr>
        <w:t>.</w:t>
      </w:r>
      <w:r w:rsidRPr="00B42B35">
        <w:rPr>
          <w:rFonts w:ascii="Arial" w:hAnsi="Arial" w:cs="Arial"/>
          <w:color w:val="auto"/>
          <w:sz w:val="22"/>
          <w:szCs w:val="22"/>
        </w:rPr>
        <w:t xml:space="preserve"> Transmisión a través de los canales: RCN,  Caracol, Institucional, City tv, Capital, Señal Colombia, Canal 55, El Canal, Canal Uno, Canal 13, Enlace Colombia, CNB TV. </w:t>
      </w:r>
    </w:p>
    <w:p w:rsidR="00D63166" w:rsidRDefault="00D63166" w:rsidP="00D63166">
      <w:pPr>
        <w:pStyle w:val="Default"/>
        <w:jc w:val="both"/>
        <w:rPr>
          <w:rFonts w:ascii="Arial" w:hAnsi="Arial" w:cs="Arial"/>
          <w:color w:val="4F81BD" w:themeColor="accent1"/>
          <w:sz w:val="22"/>
          <w:szCs w:val="22"/>
        </w:rPr>
      </w:pPr>
    </w:p>
    <w:p w:rsidR="00D96B9A" w:rsidRDefault="00D96B9A" w:rsidP="00D63166">
      <w:pPr>
        <w:pStyle w:val="Default"/>
        <w:jc w:val="both"/>
        <w:rPr>
          <w:rFonts w:ascii="Arial" w:hAnsi="Arial" w:cs="Arial"/>
          <w:color w:val="4F81BD" w:themeColor="accent1"/>
          <w:sz w:val="22"/>
          <w:szCs w:val="22"/>
        </w:rPr>
      </w:pPr>
    </w:p>
    <w:p w:rsidR="00D63166" w:rsidRPr="00D63166" w:rsidRDefault="00B86F06" w:rsidP="00D63166">
      <w:pPr>
        <w:pStyle w:val="Default"/>
        <w:jc w:val="center"/>
        <w:rPr>
          <w:rFonts w:ascii="Arial" w:hAnsi="Arial" w:cs="Arial"/>
          <w:b/>
          <w:color w:val="auto"/>
          <w:sz w:val="20"/>
          <w:szCs w:val="20"/>
        </w:rPr>
      </w:pPr>
      <w:r>
        <w:rPr>
          <w:rFonts w:ascii="Arial" w:hAnsi="Arial" w:cs="Arial"/>
          <w:b/>
          <w:color w:val="auto"/>
          <w:sz w:val="20"/>
          <w:szCs w:val="20"/>
        </w:rPr>
        <w:t>Publicaciones niños y niñas en el programa y citaciones página web.</w:t>
      </w:r>
    </w:p>
    <w:tbl>
      <w:tblPr>
        <w:tblStyle w:val="Tablaconcuadrcula"/>
        <w:tblW w:w="7938" w:type="dxa"/>
        <w:tblInd w:w="704"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2410"/>
        <w:gridCol w:w="5528"/>
      </w:tblGrid>
      <w:tr w:rsidR="006C03BD" w:rsidRPr="00146181" w:rsidTr="001D31A9">
        <w:trPr>
          <w:trHeight w:val="308"/>
          <w:tblHeader/>
        </w:trPr>
        <w:tc>
          <w:tcPr>
            <w:tcW w:w="2410" w:type="dxa"/>
            <w:shd w:val="clear" w:color="auto" w:fill="76923C" w:themeFill="accent3" w:themeFillShade="BF"/>
            <w:vAlign w:val="center"/>
          </w:tcPr>
          <w:p w:rsidR="006C03BD" w:rsidRPr="00EC2216" w:rsidRDefault="006C03BD" w:rsidP="00B524DF">
            <w:pPr>
              <w:pStyle w:val="Default"/>
              <w:jc w:val="both"/>
              <w:rPr>
                <w:rFonts w:ascii="Arial" w:hAnsi="Arial" w:cs="Arial"/>
                <w:b/>
                <w:color w:val="FFFFFF" w:themeColor="background1"/>
                <w:sz w:val="20"/>
                <w:szCs w:val="20"/>
              </w:rPr>
            </w:pPr>
            <w:r w:rsidRPr="00EC2216">
              <w:rPr>
                <w:rFonts w:ascii="Arial" w:hAnsi="Arial" w:cs="Arial"/>
                <w:b/>
                <w:color w:val="FFFFFF" w:themeColor="background1"/>
                <w:sz w:val="20"/>
                <w:szCs w:val="20"/>
              </w:rPr>
              <w:t>Niños Publicados en el programa</w:t>
            </w:r>
          </w:p>
        </w:tc>
        <w:tc>
          <w:tcPr>
            <w:tcW w:w="5528" w:type="dxa"/>
            <w:shd w:val="clear" w:color="auto" w:fill="76923C" w:themeFill="accent3" w:themeFillShade="BF"/>
            <w:vAlign w:val="center"/>
          </w:tcPr>
          <w:p w:rsidR="006C03BD" w:rsidRPr="00EC2216" w:rsidRDefault="006C03BD" w:rsidP="00B524DF">
            <w:pPr>
              <w:pStyle w:val="Default"/>
              <w:jc w:val="both"/>
              <w:rPr>
                <w:rFonts w:ascii="Arial" w:hAnsi="Arial" w:cs="Arial"/>
                <w:b/>
                <w:color w:val="FFFFFF" w:themeColor="background1"/>
                <w:sz w:val="20"/>
                <w:szCs w:val="20"/>
              </w:rPr>
            </w:pPr>
            <w:r w:rsidRPr="00EC2216">
              <w:rPr>
                <w:rFonts w:ascii="Arial" w:hAnsi="Arial" w:cs="Arial"/>
                <w:b/>
                <w:color w:val="FFFFFF" w:themeColor="background1"/>
                <w:sz w:val="20"/>
                <w:szCs w:val="20"/>
              </w:rPr>
              <w:t>Citaciones página web</w:t>
            </w:r>
          </w:p>
          <w:p w:rsidR="006C03BD" w:rsidRPr="00EC2216" w:rsidRDefault="009A3CC4" w:rsidP="00B524DF">
            <w:pPr>
              <w:pStyle w:val="Default"/>
              <w:jc w:val="both"/>
              <w:rPr>
                <w:rFonts w:ascii="Arial" w:hAnsi="Arial" w:cs="Arial"/>
                <w:color w:val="FFFFFF" w:themeColor="background1"/>
                <w:sz w:val="20"/>
                <w:szCs w:val="20"/>
              </w:rPr>
            </w:pPr>
            <w:hyperlink r:id="rId84" w:history="1">
              <w:r w:rsidR="006C03BD" w:rsidRPr="00EC2216">
                <w:rPr>
                  <w:rStyle w:val="Hipervnculo"/>
                  <w:rFonts w:ascii="Arial" w:hAnsi="Arial" w:cs="Arial"/>
                  <w:color w:val="FFFFFF" w:themeColor="background1"/>
                  <w:sz w:val="20"/>
                  <w:szCs w:val="20"/>
                </w:rPr>
                <w:t>http://www.icbf.gov.co/portal/page/portal/IntranetICBF/medios/ProgramaLNBSH</w:t>
              </w:r>
            </w:hyperlink>
          </w:p>
        </w:tc>
      </w:tr>
      <w:tr w:rsidR="006C03BD" w:rsidRPr="00146181" w:rsidTr="001D31A9">
        <w:tc>
          <w:tcPr>
            <w:tcW w:w="2410" w:type="dxa"/>
            <w:shd w:val="clear" w:color="auto" w:fill="auto"/>
            <w:vAlign w:val="center"/>
          </w:tcPr>
          <w:p w:rsidR="006C03BD" w:rsidRPr="00B42B35" w:rsidRDefault="006C03BD" w:rsidP="00B524DF">
            <w:pPr>
              <w:pStyle w:val="Default"/>
              <w:jc w:val="both"/>
              <w:rPr>
                <w:rFonts w:ascii="Arial" w:hAnsi="Arial" w:cs="Arial"/>
                <w:color w:val="auto"/>
                <w:sz w:val="20"/>
                <w:szCs w:val="20"/>
              </w:rPr>
            </w:pPr>
            <w:r w:rsidRPr="00B42B35">
              <w:rPr>
                <w:rFonts w:ascii="Arial" w:hAnsi="Arial" w:cs="Arial"/>
                <w:color w:val="auto"/>
                <w:sz w:val="20"/>
                <w:szCs w:val="20"/>
              </w:rPr>
              <w:t>4.793</w:t>
            </w:r>
          </w:p>
        </w:tc>
        <w:tc>
          <w:tcPr>
            <w:tcW w:w="5528" w:type="dxa"/>
            <w:shd w:val="clear" w:color="auto" w:fill="auto"/>
            <w:vAlign w:val="center"/>
          </w:tcPr>
          <w:p w:rsidR="006C03BD" w:rsidRPr="00B42B35" w:rsidRDefault="006C03BD" w:rsidP="00B524DF">
            <w:pPr>
              <w:pStyle w:val="Default"/>
              <w:jc w:val="both"/>
              <w:rPr>
                <w:rFonts w:ascii="Arial" w:hAnsi="Arial" w:cs="Arial"/>
                <w:color w:val="auto"/>
                <w:sz w:val="20"/>
                <w:szCs w:val="20"/>
              </w:rPr>
            </w:pPr>
            <w:r w:rsidRPr="00B42B35">
              <w:rPr>
                <w:rFonts w:ascii="Arial" w:hAnsi="Arial" w:cs="Arial"/>
                <w:color w:val="auto"/>
                <w:sz w:val="20"/>
                <w:szCs w:val="20"/>
              </w:rPr>
              <w:t>22.176</w:t>
            </w:r>
          </w:p>
        </w:tc>
      </w:tr>
    </w:tbl>
    <w:p w:rsidR="00D63166" w:rsidRDefault="00D63166" w:rsidP="00D8710A">
      <w:pPr>
        <w:pStyle w:val="Default"/>
        <w:spacing w:line="0" w:lineRule="atLeast"/>
        <w:jc w:val="center"/>
        <w:rPr>
          <w:rStyle w:val="Hipervnculo"/>
          <w:rFonts w:ascii="Arial" w:hAnsi="Arial" w:cs="Arial"/>
          <w:color w:val="auto"/>
          <w:sz w:val="16"/>
          <w:szCs w:val="20"/>
          <w:u w:val="none"/>
        </w:rPr>
      </w:pPr>
      <w:r w:rsidRPr="001D31A9">
        <w:rPr>
          <w:rFonts w:ascii="Arial" w:hAnsi="Arial" w:cs="Arial"/>
          <w:b/>
          <w:color w:val="auto"/>
          <w:sz w:val="16"/>
          <w:szCs w:val="20"/>
        </w:rPr>
        <w:t>Fuente:</w:t>
      </w:r>
      <w:r w:rsidRPr="0090436C">
        <w:rPr>
          <w:rFonts w:ascii="Arial" w:hAnsi="Arial" w:cs="Arial"/>
          <w:color w:val="auto"/>
          <w:sz w:val="16"/>
          <w:szCs w:val="20"/>
        </w:rPr>
        <w:t xml:space="preserve"> Publicaciones Intranet - </w:t>
      </w:r>
      <w:hyperlink r:id="rId85" w:history="1">
        <w:r w:rsidRPr="0090436C">
          <w:rPr>
            <w:rStyle w:val="Hipervnculo"/>
            <w:rFonts w:ascii="Arial" w:hAnsi="Arial" w:cs="Arial"/>
            <w:color w:val="auto"/>
            <w:sz w:val="16"/>
            <w:szCs w:val="20"/>
          </w:rPr>
          <w:t>http://www.icbf.gov.co/portal/page/portal/IntranetICBF/medios/ProgramaLNBSH</w:t>
        </w:r>
      </w:hyperlink>
      <w:r w:rsidR="00501C47" w:rsidRPr="0090436C">
        <w:rPr>
          <w:rStyle w:val="Hipervnculo"/>
          <w:rFonts w:ascii="Arial" w:hAnsi="Arial" w:cs="Arial"/>
          <w:color w:val="auto"/>
          <w:sz w:val="16"/>
          <w:szCs w:val="20"/>
        </w:rPr>
        <w:t xml:space="preserve"> </w:t>
      </w:r>
      <w:r w:rsidR="00501C47" w:rsidRPr="0090436C">
        <w:rPr>
          <w:rStyle w:val="Hipervnculo"/>
          <w:rFonts w:ascii="Arial" w:hAnsi="Arial" w:cs="Arial"/>
          <w:color w:val="auto"/>
          <w:sz w:val="16"/>
          <w:szCs w:val="20"/>
        </w:rPr>
        <w:br/>
      </w:r>
      <w:r w:rsidR="00501C47" w:rsidRPr="0090436C">
        <w:rPr>
          <w:rStyle w:val="Hipervnculo"/>
          <w:rFonts w:ascii="Arial" w:hAnsi="Arial" w:cs="Arial"/>
          <w:color w:val="auto"/>
          <w:sz w:val="16"/>
          <w:szCs w:val="20"/>
          <w:u w:val="none"/>
        </w:rPr>
        <w:t>Fecha de corte 31 de diciembre de 2016.</w:t>
      </w:r>
    </w:p>
    <w:p w:rsidR="00D8710A" w:rsidRDefault="00D8710A"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Default="00756B28" w:rsidP="00D8710A">
      <w:pPr>
        <w:pStyle w:val="Default"/>
        <w:spacing w:line="0" w:lineRule="atLeast"/>
        <w:jc w:val="center"/>
        <w:rPr>
          <w:rStyle w:val="Hipervnculo"/>
          <w:rFonts w:ascii="Arial" w:hAnsi="Arial" w:cs="Arial"/>
          <w:color w:val="auto"/>
          <w:sz w:val="16"/>
          <w:szCs w:val="20"/>
          <w:u w:val="none"/>
        </w:rPr>
      </w:pPr>
    </w:p>
    <w:p w:rsidR="00756B28" w:rsidRPr="0090436C" w:rsidRDefault="00756B28" w:rsidP="00D8710A">
      <w:pPr>
        <w:pStyle w:val="Default"/>
        <w:spacing w:line="0" w:lineRule="atLeast"/>
        <w:jc w:val="center"/>
        <w:rPr>
          <w:rStyle w:val="Hipervnculo"/>
          <w:rFonts w:ascii="Arial" w:hAnsi="Arial" w:cs="Arial"/>
          <w:color w:val="auto"/>
          <w:sz w:val="16"/>
          <w:szCs w:val="20"/>
          <w:u w:val="none"/>
        </w:rPr>
      </w:pPr>
    </w:p>
    <w:p w:rsidR="00E45572" w:rsidRDefault="00624E8E" w:rsidP="007342CF">
      <w:pPr>
        <w:pStyle w:val="Ttulo2"/>
        <w:numPr>
          <w:ilvl w:val="2"/>
          <w:numId w:val="244"/>
        </w:numPr>
        <w:spacing w:line="240" w:lineRule="auto"/>
        <w:rPr>
          <w:rFonts w:cs="Arial"/>
          <w:b/>
          <w:szCs w:val="22"/>
        </w:rPr>
      </w:pPr>
      <w:bookmarkStart w:id="285" w:name="_Toc473581478"/>
      <w:r w:rsidRPr="009B11C5">
        <w:rPr>
          <w:rFonts w:cs="Arial"/>
          <w:b/>
          <w:szCs w:val="22"/>
        </w:rPr>
        <w:t xml:space="preserve">Logros </w:t>
      </w:r>
      <w:r w:rsidR="00E445CB" w:rsidRPr="009B11C5">
        <w:rPr>
          <w:rFonts w:cs="Arial"/>
          <w:b/>
          <w:szCs w:val="22"/>
        </w:rPr>
        <w:t xml:space="preserve"> y Retos</w:t>
      </w:r>
      <w:bookmarkEnd w:id="285"/>
    </w:p>
    <w:p w:rsidR="00756B28" w:rsidRPr="00756B28" w:rsidRDefault="00756B28" w:rsidP="00756B28"/>
    <w:p w:rsidR="00E45572" w:rsidRDefault="00E45572" w:rsidP="00D712DC">
      <w:pPr>
        <w:numPr>
          <w:ilvl w:val="0"/>
          <w:numId w:val="14"/>
        </w:numPr>
        <w:spacing w:after="0" w:line="240" w:lineRule="auto"/>
        <w:jc w:val="both"/>
        <w:rPr>
          <w:rFonts w:cs="Arial"/>
          <w:lang w:val="es-MX"/>
        </w:rPr>
      </w:pPr>
      <w:r w:rsidRPr="00E72542">
        <w:rPr>
          <w:rFonts w:cs="Arial"/>
          <w:lang w:val="es-MX"/>
        </w:rPr>
        <w:t xml:space="preserve">Durante </w:t>
      </w:r>
      <w:r>
        <w:rPr>
          <w:rFonts w:cs="Arial"/>
          <w:lang w:val="es-MX"/>
        </w:rPr>
        <w:t>los meses de marzo a diciembre de 2016</w:t>
      </w:r>
      <w:r w:rsidRPr="00E72542">
        <w:rPr>
          <w:rFonts w:cs="Arial"/>
          <w:lang w:val="es-MX"/>
        </w:rPr>
        <w:t>,</w:t>
      </w:r>
      <w:r>
        <w:rPr>
          <w:rFonts w:cs="Arial"/>
          <w:lang w:val="es-MX"/>
        </w:rPr>
        <w:t xml:space="preserve"> se</w:t>
      </w:r>
      <w:r w:rsidRPr="00E72542">
        <w:rPr>
          <w:rFonts w:cs="Arial"/>
          <w:lang w:val="es-MX"/>
        </w:rPr>
        <w:t xml:space="preserve"> </w:t>
      </w:r>
      <w:r>
        <w:rPr>
          <w:rFonts w:cs="Arial"/>
          <w:lang w:val="es-MX"/>
        </w:rPr>
        <w:t>realizaron</w:t>
      </w:r>
      <w:r w:rsidRPr="00E72542">
        <w:rPr>
          <w:rFonts w:cs="Arial"/>
          <w:lang w:val="es-MX"/>
        </w:rPr>
        <w:t xml:space="preserve"> 45 programas de televisión de diferentes historias de  vidas destacadas, las cuales </w:t>
      </w:r>
      <w:r>
        <w:rPr>
          <w:rFonts w:cs="Arial"/>
          <w:lang w:val="es-MX"/>
        </w:rPr>
        <w:t>fueron</w:t>
      </w:r>
      <w:r w:rsidRPr="00E72542">
        <w:rPr>
          <w:rFonts w:cs="Arial"/>
          <w:lang w:val="es-MX"/>
        </w:rPr>
        <w:t xml:space="preserve"> emitido</w:t>
      </w:r>
      <w:r>
        <w:rPr>
          <w:rFonts w:cs="Arial"/>
          <w:lang w:val="es-MX"/>
        </w:rPr>
        <w:t>s</w:t>
      </w:r>
      <w:r w:rsidRPr="00E72542">
        <w:rPr>
          <w:rFonts w:cs="Arial"/>
          <w:lang w:val="es-MX"/>
        </w:rPr>
        <w:t xml:space="preserve"> por el Canal Institucional</w:t>
      </w:r>
      <w:r>
        <w:rPr>
          <w:rFonts w:cs="Arial"/>
          <w:lang w:val="es-MX"/>
        </w:rPr>
        <w:t>.</w:t>
      </w:r>
    </w:p>
    <w:p w:rsidR="001D31A9" w:rsidRDefault="001D31A9" w:rsidP="001D31A9">
      <w:pPr>
        <w:spacing w:after="0" w:line="240" w:lineRule="auto"/>
        <w:ind w:left="360"/>
        <w:jc w:val="both"/>
        <w:rPr>
          <w:rFonts w:cs="Arial"/>
          <w:lang w:val="es-MX"/>
        </w:rPr>
      </w:pPr>
    </w:p>
    <w:p w:rsidR="00E45572" w:rsidRDefault="00E45572" w:rsidP="00D712DC">
      <w:pPr>
        <w:numPr>
          <w:ilvl w:val="0"/>
          <w:numId w:val="14"/>
        </w:numPr>
        <w:spacing w:after="0" w:line="240" w:lineRule="auto"/>
        <w:jc w:val="both"/>
        <w:rPr>
          <w:rFonts w:cs="Arial"/>
          <w:lang w:val="es-MX"/>
        </w:rPr>
      </w:pPr>
      <w:r w:rsidRPr="00E72542">
        <w:rPr>
          <w:rFonts w:cs="Arial"/>
          <w:lang w:val="es-MX"/>
        </w:rPr>
        <w:t xml:space="preserve">Se </w:t>
      </w:r>
      <w:r>
        <w:rPr>
          <w:rFonts w:cs="Arial"/>
          <w:lang w:val="es-MX"/>
        </w:rPr>
        <w:t>realizó</w:t>
      </w:r>
      <w:r w:rsidRPr="00E72542">
        <w:rPr>
          <w:rFonts w:cs="Arial"/>
          <w:lang w:val="es-MX"/>
        </w:rPr>
        <w:t xml:space="preserve"> el acompañamiento a la estrategia de Entorno Digital con el fin lograr la puesta en marcha del portal, haciendo un trabajo previo de estructuración del material editorial, trabajo articulado con la direcciones de niñez y adolescencia y familias y comunidades.</w:t>
      </w:r>
    </w:p>
    <w:p w:rsidR="001D31A9" w:rsidRDefault="001D31A9" w:rsidP="001D31A9">
      <w:pPr>
        <w:spacing w:after="0" w:line="240" w:lineRule="auto"/>
        <w:jc w:val="both"/>
        <w:rPr>
          <w:rFonts w:cs="Arial"/>
          <w:lang w:val="es-MX"/>
        </w:rPr>
      </w:pPr>
    </w:p>
    <w:p w:rsidR="00E45572" w:rsidRDefault="00E45572" w:rsidP="00D712DC">
      <w:pPr>
        <w:numPr>
          <w:ilvl w:val="0"/>
          <w:numId w:val="14"/>
        </w:numPr>
        <w:spacing w:after="0" w:line="240" w:lineRule="auto"/>
        <w:jc w:val="both"/>
        <w:rPr>
          <w:rFonts w:cs="Arial"/>
          <w:lang w:val="es-MX"/>
        </w:rPr>
      </w:pPr>
      <w:r w:rsidRPr="00E72542">
        <w:rPr>
          <w:rFonts w:cs="Arial"/>
          <w:lang w:val="es-MX"/>
        </w:rPr>
        <w:t xml:space="preserve">En coordinación </w:t>
      </w:r>
      <w:r>
        <w:rPr>
          <w:rFonts w:cs="Arial"/>
          <w:lang w:val="es-MX"/>
        </w:rPr>
        <w:t>c</w:t>
      </w:r>
      <w:r w:rsidRPr="00E72542">
        <w:rPr>
          <w:rFonts w:cs="Arial"/>
          <w:lang w:val="es-MX"/>
        </w:rPr>
        <w:t>on las direcciones de Protección y Servicios y Atención se conceptuali</w:t>
      </w:r>
      <w:r>
        <w:rPr>
          <w:rFonts w:cs="Arial"/>
          <w:lang w:val="es-MX"/>
        </w:rPr>
        <w:t>zaci</w:t>
      </w:r>
      <w:r w:rsidRPr="00E72542">
        <w:rPr>
          <w:rFonts w:cs="Arial"/>
          <w:lang w:val="es-MX"/>
        </w:rPr>
        <w:t>ó</w:t>
      </w:r>
      <w:r>
        <w:rPr>
          <w:rFonts w:cs="Arial"/>
          <w:lang w:val="es-MX"/>
        </w:rPr>
        <w:t>n</w:t>
      </w:r>
      <w:r w:rsidRPr="00E72542">
        <w:rPr>
          <w:rFonts w:cs="Arial"/>
          <w:lang w:val="es-MX"/>
        </w:rPr>
        <w:t>, creó y diseñó la campaña de promoción de la línea 141.</w:t>
      </w:r>
      <w:r>
        <w:rPr>
          <w:rFonts w:cs="Arial"/>
          <w:lang w:val="es-MX"/>
        </w:rPr>
        <w:t xml:space="preserve"> De la cual se hizo su respectiva</w:t>
      </w:r>
      <w:r w:rsidRPr="00E72542">
        <w:rPr>
          <w:rFonts w:cs="Arial"/>
          <w:lang w:val="es-MX"/>
        </w:rPr>
        <w:t xml:space="preserve"> divulgación en los diferentes medios de comunicación a nivel nacional</w:t>
      </w:r>
      <w:r>
        <w:rPr>
          <w:rFonts w:cs="Arial"/>
          <w:lang w:val="es-MX"/>
        </w:rPr>
        <w:t>.</w:t>
      </w:r>
    </w:p>
    <w:p w:rsidR="001D31A9" w:rsidRDefault="001D31A9" w:rsidP="001D31A9">
      <w:pPr>
        <w:spacing w:after="0" w:line="240" w:lineRule="auto"/>
        <w:jc w:val="both"/>
        <w:rPr>
          <w:rFonts w:cs="Arial"/>
          <w:lang w:val="es-MX"/>
        </w:rPr>
      </w:pPr>
    </w:p>
    <w:p w:rsidR="00E45572" w:rsidRDefault="00E45572" w:rsidP="00D712DC">
      <w:pPr>
        <w:numPr>
          <w:ilvl w:val="0"/>
          <w:numId w:val="14"/>
        </w:numPr>
        <w:spacing w:after="0" w:line="240" w:lineRule="auto"/>
        <w:jc w:val="both"/>
        <w:rPr>
          <w:rFonts w:cs="Arial"/>
          <w:lang w:val="es-MX"/>
        </w:rPr>
      </w:pPr>
      <w:r w:rsidRPr="00A87FB9">
        <w:rPr>
          <w:rFonts w:cs="Arial"/>
          <w:lang w:val="es-MX"/>
        </w:rPr>
        <w:t>En coordinación con la direcci</w:t>
      </w:r>
      <w:r>
        <w:rPr>
          <w:rFonts w:cs="Arial"/>
          <w:lang w:val="es-MX"/>
        </w:rPr>
        <w:t>ó</w:t>
      </w:r>
      <w:r w:rsidRPr="00A87FB9">
        <w:rPr>
          <w:rFonts w:cs="Arial"/>
          <w:lang w:val="es-MX"/>
        </w:rPr>
        <w:t>n</w:t>
      </w:r>
      <w:r>
        <w:rPr>
          <w:rFonts w:cs="Arial"/>
          <w:lang w:val="es-MX"/>
        </w:rPr>
        <w:t xml:space="preserve"> de Nutrición se elaboró la Cartilla de Lactancia Materna “Empezar una nueva vida”.</w:t>
      </w:r>
    </w:p>
    <w:p w:rsidR="00756B28" w:rsidRDefault="00756B28" w:rsidP="00756B28">
      <w:pPr>
        <w:spacing w:after="0" w:line="240" w:lineRule="auto"/>
        <w:jc w:val="both"/>
        <w:rPr>
          <w:rFonts w:cs="Arial"/>
          <w:lang w:val="es-MX"/>
        </w:rPr>
      </w:pPr>
    </w:p>
    <w:p w:rsidR="00E45572" w:rsidRPr="001D31A9" w:rsidRDefault="00E45572" w:rsidP="00D712DC">
      <w:pPr>
        <w:pStyle w:val="Prrafodelista"/>
        <w:numPr>
          <w:ilvl w:val="0"/>
          <w:numId w:val="13"/>
        </w:numPr>
        <w:spacing w:line="240" w:lineRule="auto"/>
        <w:contextualSpacing/>
        <w:jc w:val="both"/>
        <w:rPr>
          <w:rFonts w:cs="Arial"/>
          <w:lang w:val="es-CO"/>
        </w:rPr>
      </w:pPr>
      <w:r w:rsidRPr="00E72542">
        <w:rPr>
          <w:rFonts w:cs="Arial"/>
          <w:lang w:val="es-CO"/>
        </w:rPr>
        <w:t>Generar nuevas campañas de comunicación de acuerdo con las necesidades de las direcciones misionales, con el fin de promover derechos y prevenir vulneraciones  de los niñas, niñas y adolescentes y su correcta divulgación en los diferentes medios de comunicación a nivel Nacional</w:t>
      </w:r>
      <w:r w:rsidRPr="007377BC">
        <w:rPr>
          <w:rFonts w:cs="Arial"/>
        </w:rPr>
        <w:t>.</w:t>
      </w:r>
    </w:p>
    <w:p w:rsidR="001D31A9" w:rsidRPr="00712B1D" w:rsidRDefault="001D31A9" w:rsidP="001D31A9">
      <w:pPr>
        <w:pStyle w:val="Prrafodelista"/>
        <w:spacing w:line="240" w:lineRule="auto"/>
        <w:ind w:left="360"/>
        <w:contextualSpacing/>
        <w:jc w:val="both"/>
        <w:rPr>
          <w:rFonts w:cs="Arial"/>
          <w:lang w:val="es-CO"/>
        </w:rPr>
      </w:pPr>
    </w:p>
    <w:p w:rsidR="00E45572" w:rsidRDefault="00E45572" w:rsidP="00D712DC">
      <w:pPr>
        <w:pStyle w:val="Prrafodelista"/>
        <w:numPr>
          <w:ilvl w:val="0"/>
          <w:numId w:val="13"/>
        </w:numPr>
        <w:spacing w:line="240" w:lineRule="auto"/>
        <w:contextualSpacing/>
        <w:jc w:val="both"/>
        <w:rPr>
          <w:rFonts w:cs="Arial"/>
          <w:lang w:val="es-CO"/>
        </w:rPr>
      </w:pPr>
      <w:r w:rsidRPr="00E72542">
        <w:rPr>
          <w:rFonts w:cs="Arial"/>
          <w:lang w:val="es-CO"/>
        </w:rPr>
        <w:t>Fortalecer el trabajo articulado con las Direcciones Regionales, con el fin de lograr mayor presencia institucional en territorio.</w:t>
      </w:r>
    </w:p>
    <w:p w:rsidR="001D31A9" w:rsidRDefault="001D31A9" w:rsidP="001D31A9">
      <w:pPr>
        <w:pStyle w:val="Prrafodelista"/>
        <w:spacing w:line="240" w:lineRule="auto"/>
        <w:ind w:left="360"/>
        <w:contextualSpacing/>
        <w:jc w:val="both"/>
        <w:rPr>
          <w:rFonts w:cs="Arial"/>
          <w:lang w:val="es-CO"/>
        </w:rPr>
      </w:pPr>
    </w:p>
    <w:p w:rsidR="00E45572" w:rsidRPr="007377BC" w:rsidRDefault="00E45572" w:rsidP="00D712DC">
      <w:pPr>
        <w:pStyle w:val="Prrafodelista"/>
        <w:numPr>
          <w:ilvl w:val="0"/>
          <w:numId w:val="13"/>
        </w:numPr>
        <w:spacing w:line="240" w:lineRule="auto"/>
        <w:contextualSpacing/>
        <w:jc w:val="both"/>
        <w:rPr>
          <w:rFonts w:cs="Arial"/>
          <w:lang w:val="es-CO"/>
        </w:rPr>
      </w:pPr>
      <w:r w:rsidRPr="00E72542">
        <w:rPr>
          <w:rFonts w:cs="Arial"/>
          <w:lang w:val="es-CO"/>
        </w:rPr>
        <w:t>Generar noticias y artículos de prensa, en las que se hacen mención al ICBF, en monitoreo de prensa</w:t>
      </w:r>
    </w:p>
    <w:p w:rsidR="0090436C" w:rsidRDefault="0090436C" w:rsidP="00D63166">
      <w:pPr>
        <w:pStyle w:val="Default"/>
        <w:jc w:val="center"/>
        <w:rPr>
          <w:rStyle w:val="Hipervnculo"/>
          <w:rFonts w:ascii="Arial" w:hAnsi="Arial" w:cs="Arial"/>
          <w:color w:val="auto"/>
          <w:sz w:val="20"/>
          <w:szCs w:val="20"/>
          <w:u w:val="none"/>
        </w:rPr>
      </w:pPr>
    </w:p>
    <w:p w:rsidR="0090436C" w:rsidRDefault="0090436C" w:rsidP="00D63166">
      <w:pPr>
        <w:pStyle w:val="Default"/>
        <w:jc w:val="center"/>
        <w:rPr>
          <w:rStyle w:val="Hipervnculo"/>
          <w:rFonts w:ascii="Arial" w:hAnsi="Arial" w:cs="Arial"/>
          <w:color w:val="auto"/>
          <w:sz w:val="20"/>
          <w:szCs w:val="20"/>
          <w:u w:val="none"/>
        </w:rPr>
      </w:pPr>
    </w:p>
    <w:p w:rsidR="0090436C" w:rsidRDefault="0090436C" w:rsidP="00D63166">
      <w:pPr>
        <w:pStyle w:val="Default"/>
        <w:jc w:val="center"/>
        <w:rPr>
          <w:rStyle w:val="Hipervnculo"/>
          <w:rFonts w:ascii="Arial" w:hAnsi="Arial" w:cs="Arial"/>
          <w:color w:val="auto"/>
          <w:sz w:val="20"/>
          <w:szCs w:val="20"/>
          <w:u w:val="none"/>
        </w:rPr>
      </w:pPr>
    </w:p>
    <w:p w:rsidR="009B11C5" w:rsidRDefault="009B11C5">
      <w:pPr>
        <w:spacing w:after="0" w:line="240" w:lineRule="auto"/>
        <w:rPr>
          <w:rStyle w:val="Hipervnculo"/>
          <w:rFonts w:cs="Arial"/>
          <w:color w:val="auto"/>
          <w:sz w:val="20"/>
          <w:szCs w:val="20"/>
          <w:u w:val="none"/>
          <w:lang w:val="es-CO" w:eastAsia="es-CO"/>
        </w:rPr>
      </w:pPr>
      <w:r>
        <w:rPr>
          <w:rStyle w:val="Hipervnculo"/>
          <w:rFonts w:cs="Arial"/>
          <w:color w:val="auto"/>
          <w:sz w:val="20"/>
          <w:szCs w:val="20"/>
          <w:u w:val="none"/>
        </w:rPr>
        <w:br w:type="page"/>
      </w:r>
    </w:p>
    <w:p w:rsidR="003A1CB9" w:rsidRDefault="00B42B35" w:rsidP="00624E8E">
      <w:pPr>
        <w:pStyle w:val="Ttulo1"/>
        <w:numPr>
          <w:ilvl w:val="0"/>
          <w:numId w:val="0"/>
        </w:numPr>
        <w:ind w:left="432" w:hanging="432"/>
        <w:jc w:val="center"/>
        <w:rPr>
          <w:rFonts w:cs="Arial"/>
          <w:szCs w:val="22"/>
        </w:rPr>
      </w:pPr>
      <w:bookmarkStart w:id="286" w:name="_Toc473581479"/>
      <w:r w:rsidRPr="00624E8E">
        <w:rPr>
          <w:rFonts w:cs="Arial"/>
          <w:szCs w:val="22"/>
        </w:rPr>
        <w:t xml:space="preserve">ANEXO 1. </w:t>
      </w:r>
      <w:r w:rsidR="00EA58B9" w:rsidRPr="00624E8E">
        <w:rPr>
          <w:rFonts w:cs="Arial"/>
          <w:szCs w:val="22"/>
        </w:rPr>
        <w:t>Novedades Normativas 2016</w:t>
      </w:r>
      <w:bookmarkEnd w:id="286"/>
    </w:p>
    <w:p w:rsidR="00756B28" w:rsidRPr="00756B28" w:rsidRDefault="00756B28" w:rsidP="00756B28"/>
    <w:p w:rsidR="005A48CB" w:rsidRPr="00624E8E" w:rsidRDefault="004B3577" w:rsidP="00624E8E">
      <w:pPr>
        <w:pStyle w:val="Arialsinespacio"/>
        <w:jc w:val="center"/>
        <w:rPr>
          <w:b/>
        </w:rPr>
      </w:pPr>
      <w:r w:rsidRPr="00624E8E">
        <w:rPr>
          <w:b/>
        </w:rPr>
        <w:t>GESTIÓN JURÍDICA</w:t>
      </w:r>
    </w:p>
    <w:tbl>
      <w:tblPr>
        <w:tblStyle w:val="Tabladecuadrcula4-nfasis321"/>
        <w:tblW w:w="5229" w:type="pct"/>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547"/>
        <w:gridCol w:w="1263"/>
        <w:gridCol w:w="4490"/>
        <w:gridCol w:w="2525"/>
      </w:tblGrid>
      <w:tr w:rsidR="003A1CB9" w:rsidRPr="00B42B35" w:rsidTr="001D31A9">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787" w:type="pct"/>
            <w:tcBorders>
              <w:top w:val="none" w:sz="0" w:space="0" w:color="auto"/>
              <w:left w:val="none" w:sz="0" w:space="0" w:color="auto"/>
              <w:bottom w:val="none" w:sz="0" w:space="0" w:color="auto"/>
              <w:right w:val="none" w:sz="0" w:space="0" w:color="auto"/>
            </w:tcBorders>
            <w:shd w:val="clear" w:color="auto" w:fill="76923C" w:themeFill="accent3" w:themeFillShade="BF"/>
            <w:noWrap/>
            <w:hideMark/>
          </w:tcPr>
          <w:p w:rsidR="003A1CB9" w:rsidRPr="001D31A9" w:rsidRDefault="003A1CB9" w:rsidP="008B7B06">
            <w:pPr>
              <w:spacing w:after="0" w:line="240" w:lineRule="auto"/>
              <w:jc w:val="center"/>
              <w:rPr>
                <w:rFonts w:eastAsia="Times New Roman" w:cs="Arial"/>
                <w:bCs w:val="0"/>
                <w:sz w:val="18"/>
                <w:szCs w:val="18"/>
                <w:lang w:val="es-CO" w:eastAsia="es-CO"/>
              </w:rPr>
            </w:pPr>
            <w:r w:rsidRPr="001D31A9">
              <w:rPr>
                <w:rFonts w:eastAsia="Times New Roman" w:cs="Arial"/>
                <w:bCs w:val="0"/>
                <w:sz w:val="18"/>
                <w:szCs w:val="18"/>
                <w:lang w:val="es-CO" w:eastAsia="es-CO"/>
              </w:rPr>
              <w:t>Norma</w:t>
            </w:r>
          </w:p>
        </w:tc>
        <w:tc>
          <w:tcPr>
            <w:tcW w:w="643" w:type="pct"/>
            <w:tcBorders>
              <w:top w:val="none" w:sz="0" w:space="0" w:color="auto"/>
              <w:left w:val="none" w:sz="0" w:space="0" w:color="auto"/>
              <w:bottom w:val="none" w:sz="0" w:space="0" w:color="auto"/>
              <w:right w:val="none" w:sz="0" w:space="0" w:color="auto"/>
            </w:tcBorders>
            <w:shd w:val="clear" w:color="auto" w:fill="76923C" w:themeFill="accent3" w:themeFillShade="BF"/>
            <w:noWrap/>
            <w:hideMark/>
          </w:tcPr>
          <w:p w:rsidR="003A1CB9" w:rsidRPr="001D31A9" w:rsidRDefault="003A1CB9" w:rsidP="008B7B0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lang w:val="es-CO" w:eastAsia="es-CO"/>
              </w:rPr>
            </w:pPr>
            <w:r w:rsidRPr="001D31A9">
              <w:rPr>
                <w:rFonts w:eastAsia="Times New Roman" w:cs="Arial"/>
                <w:bCs w:val="0"/>
                <w:sz w:val="18"/>
                <w:szCs w:val="18"/>
                <w:lang w:val="es-CO" w:eastAsia="es-CO"/>
              </w:rPr>
              <w:t>Fecha</w:t>
            </w:r>
          </w:p>
        </w:tc>
        <w:tc>
          <w:tcPr>
            <w:tcW w:w="2285" w:type="pct"/>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3A1CB9" w:rsidRPr="001D31A9" w:rsidRDefault="003A1CB9" w:rsidP="008B7B0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lang w:val="es-CO" w:eastAsia="es-CO"/>
              </w:rPr>
            </w:pPr>
            <w:r w:rsidRPr="001D31A9">
              <w:rPr>
                <w:rFonts w:eastAsia="Times New Roman" w:cs="Arial"/>
                <w:bCs w:val="0"/>
                <w:sz w:val="18"/>
                <w:szCs w:val="18"/>
                <w:lang w:val="es-CO" w:eastAsia="es-CO"/>
              </w:rPr>
              <w:t>Asunto</w:t>
            </w:r>
          </w:p>
        </w:tc>
        <w:tc>
          <w:tcPr>
            <w:tcW w:w="1285" w:type="pct"/>
            <w:tcBorders>
              <w:top w:val="none" w:sz="0" w:space="0" w:color="auto"/>
              <w:left w:val="none" w:sz="0" w:space="0" w:color="auto"/>
              <w:bottom w:val="none" w:sz="0" w:space="0" w:color="auto"/>
              <w:right w:val="none" w:sz="0" w:space="0" w:color="auto"/>
            </w:tcBorders>
            <w:shd w:val="clear" w:color="auto" w:fill="76923C" w:themeFill="accent3" w:themeFillShade="BF"/>
            <w:hideMark/>
          </w:tcPr>
          <w:p w:rsidR="00EC2216" w:rsidRPr="001D31A9" w:rsidRDefault="003A1CB9" w:rsidP="00EC221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sz w:val="18"/>
                <w:szCs w:val="18"/>
                <w:lang w:val="es-CO" w:eastAsia="es-CO"/>
              </w:rPr>
            </w:pPr>
            <w:r w:rsidRPr="001D31A9">
              <w:rPr>
                <w:rFonts w:eastAsia="Times New Roman" w:cs="Arial"/>
                <w:bCs w:val="0"/>
                <w:sz w:val="18"/>
                <w:szCs w:val="18"/>
                <w:lang w:val="es-CO" w:eastAsia="es-CO"/>
              </w:rPr>
              <w:t xml:space="preserve">Área </w:t>
            </w:r>
            <w:r w:rsidR="001D31A9">
              <w:rPr>
                <w:rFonts w:eastAsia="Times New Roman" w:cs="Arial"/>
                <w:bCs w:val="0"/>
                <w:sz w:val="18"/>
                <w:szCs w:val="18"/>
                <w:lang w:val="es-CO" w:eastAsia="es-CO"/>
              </w:rPr>
              <w:t>d</w:t>
            </w:r>
            <w:r w:rsidR="001D31A9" w:rsidRPr="001D31A9">
              <w:rPr>
                <w:rFonts w:eastAsia="Times New Roman" w:cs="Arial"/>
                <w:bCs w:val="0"/>
                <w:sz w:val="18"/>
                <w:szCs w:val="18"/>
                <w:lang w:val="es-CO" w:eastAsia="es-CO"/>
              </w:rPr>
              <w:t>e Interés</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1773</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06/01/2016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crea el artículo 116a, se modifican los artículos 68a, 104, 113,359, y 374 de la ley 599 de 2000 y se modifica el artículo 351 de la ley 906 de 2004</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Protección</w:t>
            </w:r>
          </w:p>
        </w:tc>
      </w:tr>
      <w:tr w:rsidR="003A1CB9" w:rsidRPr="00B42B35" w:rsidTr="001D31A9">
        <w:trPr>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124</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26/01/2016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sustituye el Título 4 de la Parte 1 del Libro 2 del Decreto 1081 de 2015, relativo al "Plan Anticorrupción y de Atención al Ciudadano"</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Planeación</w:t>
            </w:r>
            <w:r w:rsidRPr="0090436C">
              <w:rPr>
                <w:rFonts w:eastAsia="Times New Roman" w:cs="Arial"/>
                <w:sz w:val="14"/>
                <w:szCs w:val="20"/>
                <w:lang w:val="es-CO" w:eastAsia="es-CO"/>
              </w:rPr>
              <w:br/>
              <w:t>Dirección de Servicios y Atención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171</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01/02/2016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modifica el artículo 2.2.4.6.37 del capítulo 6 del Título 4 de la Parte 2 del Libro 2 del Decreto 1072 de 2015, Decreto Único Reglamentario del Sector Trabajo, sobre la transición para la implementación del Sistema de Gestión de la Seguridad y Salud en el Trabajo (SG-SST)</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Directiva Presidencial 01</w:t>
            </w:r>
          </w:p>
        </w:tc>
        <w:tc>
          <w:tcPr>
            <w:tcW w:w="643" w:type="pct"/>
            <w:noWrap/>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10/02/2016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Plan de Austeridad 2016</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Oficina Asesora de Comunicaciones, Secretaría General, Dirección Administrativa, Dirección Financiera, 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229</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12/02/2016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fijan las escalas de asignación básica de los empleos que sean desempeñados por empleados públicos de la Rama Ejecutiva, Corporaciones Autónomas Regionales y de Desarrollo Sostenible, Empresas Sociales del Estado, del orden nacional,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231</w:t>
            </w:r>
          </w:p>
        </w:tc>
        <w:tc>
          <w:tcPr>
            <w:tcW w:w="643" w:type="pct"/>
            <w:noWrap/>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12/02/2016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fijan las escalas de viáticos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DAFP 100-07-2016</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01/03/2016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Actualización de la Declaración de Bienes y Rentas en el SIGEP vigencia 2015</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DAFP 100-08-2016</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07/03/2016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Jornada Laboral Semana Santa</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413</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07/03/2016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adicionan unos artículos al Título 6 de la Parte 2 del Libro 2 del Decreto 1083 de 2015, Único Reglamentario del Sector de Función Pública</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76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415</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07/03/2016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 el Decreto Único Reglamentario del sector de la Función Pública, Decreto Numero 1083 de 2015, en lo relacionado con la definición de los lineamientos para el fortalecimiento institucional en materia de tecnologías de la información y las comunicaciones.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 Dirección de Información y Tecnología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DAFP 100-11-2016</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11/03/2016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Fortalecimiento de las Relaciones Laborales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DAFP 100-12-2016</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11/03/2016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Acceso a la información pública por parte de las</w:t>
            </w:r>
            <w:r w:rsidRPr="0090436C">
              <w:rPr>
                <w:rFonts w:eastAsia="Times New Roman" w:cs="Arial"/>
                <w:sz w:val="14"/>
                <w:szCs w:val="20"/>
                <w:lang w:val="es-CO" w:eastAsia="es-CO"/>
              </w:rPr>
              <w:br/>
              <w:t>organizaciones sindicales y</w:t>
            </w:r>
            <w:r w:rsidRPr="0090436C">
              <w:rPr>
                <w:rFonts w:eastAsia="Times New Roman" w:cs="Arial"/>
                <w:sz w:val="14"/>
                <w:szCs w:val="20"/>
                <w:lang w:val="es-CO" w:eastAsia="es-CO"/>
              </w:rPr>
              <w:br/>
              <w:t>promoción de la actividad sindical</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 Dirección de Servicios y Atención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528</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02/04/2016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crea y se organiza el Sistema Nacional de Acompañamiento Social e Infraestructura Social del Programa de Vivienda Gratuita y se dictan otras disposiciones (ICBF es miembro)</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Administrativa</w:t>
            </w:r>
          </w:p>
        </w:tc>
      </w:tr>
      <w:tr w:rsidR="003A1CB9" w:rsidRPr="00B42B35" w:rsidTr="001D31A9">
        <w:trPr>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01 de 2016 Consejo Asesor del Gobierno en materia de control interno</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04/04/2016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Vigencia de Circulares Consejo Asesor del Gobierno Nacional</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Oficina de Control Interno</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1780</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02/05/2016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promueve el empleo y el emprendimiento juvenil, se generan medidas para superar barreras de acceso al mercado de trabajo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Directiva Presidencial 003</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06/05/2016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Lineamientos para la focalización de los recursos de inversión y funcionamiento hacia el logro de estrategias conducentes a alcanzar una paz estable y duradera</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Planeación y Control de Gestión - Subdirección de Programación; Dirección Financiera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780</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06/05/2016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expide el Decreto Único Reglamentario del Sector Salud y Protección Social</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 Dirección Financiera</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Circular 3 CNSC</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18/05/2016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Procedimiento y requisitos para solicitar anotaciones y correcciones en el Registro Público de Carrera Administrativa</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1785</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21/06/2016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 la red para la superación de la pobreza extrema red unidos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del SNBF</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1786</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01/07/2016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modifican algunas disposiciones de la Ley 1760 de 2015.</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Oficina Asesora Jurídica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1166</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16/07/2016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Servicios y Atención</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1167</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19/07/2016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modifican y se suprimen algunas disposiciones del Decreto 1069 de 2015, Decreto Único Reglamentario del Sector Justicia y del Derecho"</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Oficina Asesora Jurídica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1197</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21/07/2016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parcialmente el Decreto 1077 de 2015 en lo relacionado con los requisitos de solicitud, modalidades de las licencias urbanísticas, sus vigencias y prórrogas"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Administrativa</w:t>
            </w:r>
          </w:p>
        </w:tc>
      </w:tr>
      <w:tr w:rsidR="003A1CB9" w:rsidRPr="00B42B35" w:rsidTr="001D31A9">
        <w:trPr>
          <w:trHeight w:val="254"/>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1799</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25/07/2016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prohíben los procedimientos médicos y quirúrgicos estéticos para menores de edad y se dictan otras disposiciones.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Niñez y Adolescencia, Dirección de Protección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1804</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02/08/2016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establece la política de estado para el desarrollo integral de la primera infancia de cero a siempre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Primera Infancia</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1804</w:t>
            </w:r>
          </w:p>
        </w:tc>
        <w:tc>
          <w:tcPr>
            <w:tcW w:w="643" w:type="pct"/>
            <w:noWrap/>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02/08/2016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establece la política de estado para el desarrollo integral de la primera infancia de cero a siempre y se dictan otras disposiciones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Primera Infancia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noWrap/>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1337</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19/08/2016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reglamenta el artículo 78 de la Ley 1753 de 2015</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102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1342</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19/08/2016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modifican los capítulos 4 y 6 del Título 6 de la Parte 8 del Libro 2 del Decreto 1068 de 2015, Único Reglamentario del Sector Hacienda y Crédito Público, en lo relativo al trámite para el pago de los valores dispuestos en sentencias, laudos arbitrales y conciliaciones hasta tanto entre en funcionamiento el Fondo de Contingencias de que trata el artículo 194 del Código de Procedimiento Administrativo y de lo Contencioso Administrativo</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Oficina Asesora Jurídica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1345</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19/08/2016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reglamenta el artículo 111 de la Ley 1769 de 2015, referente al acceso de las Madres Sustitutas al Subsidio otorgado por la Subcuenta de Subsistencia del Fondo de Solidaridad Pensional</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Protección</w:t>
            </w:r>
          </w:p>
        </w:tc>
      </w:tr>
      <w:tr w:rsidR="003A1CB9" w:rsidRPr="00B42B35" w:rsidTr="001D31A9">
        <w:trPr>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1376</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24/08/2016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 al Capítulo 1 del Título 6 de la Parte 2 del Libro 2 del Decreto 1072 de 2015, la Sección 7 que reglamenta la financiación de práctica laboral, judicatura y relación docencia de servicio en el área de la salud para adquirir experiencia laboral.</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1536</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29/09/2016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Título 4 de la Parte 6 del Libro 2 del Decreto Número 1068 de 2015 en lo concerniente al Formulario Único Territorial, se reglamentan los Artículos 31 de la Ley 962 de 2005 y 188 de la Ley 1753 de 2015,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Planeación y Control de Gestión, Oficina de Gestión Regional</w:t>
            </w:r>
          </w:p>
        </w:tc>
      </w:tr>
      <w:tr w:rsidR="003A1CB9" w:rsidRPr="00B42B35" w:rsidTr="001D31A9">
        <w:trPr>
          <w:trHeight w:val="153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Ley 1809</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29/09/2016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adiciona un parágrafo al artículo 102 de la ley 50 de 1990 y se dictan otras disposiciones.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1569</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03/10/2016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Decreto 4690 de 2007, modificado por el Decreto 0552 de 2012 "por el cual se crea la Comisión Intersectorial para la prevención del reclutamiento, la utilización y la violencia sexual contra niños, niñas, adolescentes por grupos armados al margen de la ley y por grupos delictivos organizados.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 xml:space="preserve">Dirección Niñez y </w:t>
            </w:r>
            <w:r w:rsidR="00EC2216" w:rsidRPr="0090436C">
              <w:rPr>
                <w:rFonts w:eastAsia="Times New Roman" w:cs="Arial"/>
                <w:sz w:val="14"/>
                <w:szCs w:val="20"/>
                <w:lang w:val="es-CO" w:eastAsia="es-CO"/>
              </w:rPr>
              <w:t>Adolescencia</w:t>
            </w:r>
          </w:p>
        </w:tc>
      </w:tr>
      <w:tr w:rsidR="003A1CB9" w:rsidRPr="00B42B35" w:rsidTr="001D31A9">
        <w:trPr>
          <w:trHeight w:val="153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1625</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11/10/2016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expide el Decreto Único Reglamentario en materia tributaria</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Financiera, Dirección Administrativa</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204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1669</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21/10/2016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adicionan unos artículos a la Sección 7 del Capítulo 1 del Título 6 de la Parte 2 del Libro 2 del Decreto 1072 de 2015, Decreto Único Reglamentario del Sector Trabajo, que reglamenta la seguridad social de los estudiantes que hagan parte de los programas de incentivo para las prácticas laborales y judicatura en el sector público</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1674</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21/10/2016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adiciona un capítulo al Título 4 de la Parte 1 del Libro 2 del Decreto 1081 de 2015, "por medio del cual se expide el Decreto Reglamentario Único del Sector Presidencia de la República", en relación con la indicación de las Personas Expuestas Políticamente -PEP-, a que se refiere el artículo 52 de la Convención de las Naciones Unidas Contra la Corrupción, aprobada mediante Ley 970 de 2005, y se dictan otras disposiciones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General</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1675</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21/10/2016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Decreto 1082 de 2015, en lo relacionado con la celebración de los Contratos Plan</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Contratación</w:t>
            </w:r>
          </w:p>
        </w:tc>
      </w:tr>
      <w:tr w:rsidR="003A1CB9" w:rsidRPr="00B42B35" w:rsidTr="001D31A9">
        <w:trPr>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1676</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21/10/2016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modifican los artículos 2.1.1.2 y 2.2.1.2.4.1 .1 del Decreto 1082 de 2015, Único Reglamentario del Sector Administrativo de Planeación Nacional, en lo relacionado con el ámbito de aplicación del DUR y la aplicación de Acuerdos Comerciales en Procesos de Contratación</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Contratación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1692</w:t>
            </w:r>
          </w:p>
        </w:tc>
        <w:tc>
          <w:tcPr>
            <w:tcW w:w="643" w:type="pct"/>
            <w:noWrap/>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24/10/2016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crea la Comisión Intersectorial de Lucha contra el Tráfico de Migrantes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General, Subdirección General, Dirección de Protección, Dirección del SNBF</w:t>
            </w:r>
          </w:p>
        </w:tc>
      </w:tr>
      <w:tr w:rsidR="003A1CB9" w:rsidRPr="00B42B35" w:rsidTr="001D31A9">
        <w:trPr>
          <w:trHeight w:val="424"/>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1743</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01/11/2016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reglamenta el artículo 160 de la ley 1753 de 2015 y se adiciona el título 3 a la parte 2 del libro 2 del Decreto 1170 de 2015 Único del Sector Administrativo de Información Estadística</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Subdirección de Programación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1753</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03/11/2016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Decreto 1081 de 2015, en lo relacionado con las listas que acreditan la pertenencia a un grupo armado organizado al margen de la ley, y se dictan otras disposiciones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Protección</w:t>
            </w:r>
          </w:p>
        </w:tc>
      </w:tr>
      <w:tr w:rsidR="003A1CB9" w:rsidRPr="00B42B35" w:rsidTr="001D31A9">
        <w:trPr>
          <w:trHeight w:val="444"/>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1759</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08/11/2016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artículo 2.2.2.26.3.1 del Decreto 1074 de 2015 -Decreto Único Reglamentario del Sector Comercio, Industria y Turismo</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Planeación y Control de Gestión</w:t>
            </w:r>
          </w:p>
        </w:tc>
      </w:tr>
      <w:tr w:rsidR="003A1CB9" w:rsidRPr="00B42B35" w:rsidTr="001D31A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1778</w:t>
            </w:r>
          </w:p>
        </w:tc>
        <w:tc>
          <w:tcPr>
            <w:tcW w:w="643"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10/11/2016</w:t>
            </w:r>
          </w:p>
        </w:tc>
        <w:tc>
          <w:tcPr>
            <w:tcW w:w="2285"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modifica el Título 2 de la Parte 5 del Libro 2 del Decreto 1068 de 2015 en lo relacionado con la movilización de activos, planes de enajenación onerosa y enajenación de participaciones minoritarias</w:t>
            </w:r>
          </w:p>
        </w:tc>
        <w:tc>
          <w:tcPr>
            <w:tcW w:w="1285"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Administrativa, Dirección Financiera</w:t>
            </w:r>
          </w:p>
        </w:tc>
      </w:tr>
      <w:tr w:rsidR="003A1CB9" w:rsidRPr="00B42B35" w:rsidTr="001D31A9">
        <w:trPr>
          <w:trHeight w:val="275"/>
        </w:trPr>
        <w:tc>
          <w:tcPr>
            <w:cnfStyle w:val="001000000000" w:firstRow="0" w:lastRow="0" w:firstColumn="1" w:lastColumn="0" w:oddVBand="0" w:evenVBand="0" w:oddHBand="0" w:evenHBand="0" w:firstRowFirstColumn="0" w:firstRowLastColumn="0" w:lastRowFirstColumn="0" w:lastRowLastColumn="0"/>
            <w:tcW w:w="787" w:type="pct"/>
            <w:hideMark/>
          </w:tcPr>
          <w:p w:rsidR="003A1CB9" w:rsidRPr="0090436C" w:rsidRDefault="003A1CB9" w:rsidP="003A1CB9">
            <w:pPr>
              <w:spacing w:after="0" w:line="240" w:lineRule="auto"/>
              <w:jc w:val="center"/>
              <w:rPr>
                <w:rFonts w:eastAsia="Times New Roman" w:cs="Arial"/>
                <w:sz w:val="14"/>
                <w:szCs w:val="20"/>
                <w:lang w:val="es-CO" w:eastAsia="es-CO"/>
              </w:rPr>
            </w:pPr>
            <w:r w:rsidRPr="0090436C">
              <w:rPr>
                <w:rFonts w:eastAsia="Times New Roman" w:cs="Arial"/>
                <w:sz w:val="14"/>
                <w:szCs w:val="20"/>
                <w:lang w:val="es-CO" w:eastAsia="es-CO"/>
              </w:rPr>
              <w:t>Decreto 1833</w:t>
            </w:r>
          </w:p>
        </w:tc>
        <w:tc>
          <w:tcPr>
            <w:tcW w:w="643"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10/11/2016</w:t>
            </w:r>
          </w:p>
        </w:tc>
        <w:tc>
          <w:tcPr>
            <w:tcW w:w="2285"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compilan las normas del Sistema General de Pensiones</w:t>
            </w:r>
          </w:p>
        </w:tc>
        <w:tc>
          <w:tcPr>
            <w:tcW w:w="1285"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Dirección de Gestión Humana, Dirección de Primera Infancia, Dirección de Protección</w:t>
            </w:r>
          </w:p>
        </w:tc>
      </w:tr>
    </w:tbl>
    <w:p w:rsidR="00A87B8C" w:rsidRPr="00A25484" w:rsidRDefault="00A87B8C" w:rsidP="00A87B8C">
      <w:pPr>
        <w:rPr>
          <w:color w:val="548DD4" w:themeColor="text2" w:themeTint="99"/>
          <w:sz w:val="14"/>
          <w:szCs w:val="20"/>
        </w:rPr>
      </w:pPr>
      <w:r w:rsidRPr="00A87B8C">
        <w:rPr>
          <w:sz w:val="14"/>
          <w:szCs w:val="20"/>
        </w:rPr>
        <w:t>Fuente: Oficina Jurídica, ICBF. (Página de Presidencia de la República - http://es.presidencia.gov.co/normativa)</w:t>
      </w:r>
    </w:p>
    <w:p w:rsidR="00A87B8C" w:rsidRDefault="00A87B8C"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FD2E87" w:rsidRDefault="00FD2E87" w:rsidP="00624E8E">
      <w:pPr>
        <w:pStyle w:val="Arialsinespacio"/>
      </w:pPr>
    </w:p>
    <w:p w:rsidR="00FD2E87" w:rsidRDefault="00FD2E87"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B87FEB" w:rsidRDefault="00B87FEB" w:rsidP="00624E8E">
      <w:pPr>
        <w:pStyle w:val="Arialsinespacio"/>
      </w:pPr>
    </w:p>
    <w:p w:rsidR="004B3577" w:rsidRPr="00B42B35" w:rsidRDefault="00624E8E" w:rsidP="00EA58B9">
      <w:pPr>
        <w:pStyle w:val="Ttulo1"/>
        <w:numPr>
          <w:ilvl w:val="0"/>
          <w:numId w:val="0"/>
        </w:numPr>
        <w:ind w:left="432" w:hanging="432"/>
        <w:jc w:val="center"/>
        <w:rPr>
          <w:rFonts w:cs="Arial"/>
          <w:sz w:val="20"/>
          <w:szCs w:val="20"/>
        </w:rPr>
      </w:pPr>
      <w:bookmarkStart w:id="287" w:name="_Toc473581480"/>
      <w:r>
        <w:rPr>
          <w:rFonts w:cs="Arial"/>
          <w:sz w:val="20"/>
          <w:szCs w:val="20"/>
        </w:rPr>
        <w:t>ANEXO 2</w:t>
      </w:r>
      <w:r w:rsidR="00EA58B9">
        <w:rPr>
          <w:rFonts w:cs="Arial"/>
          <w:sz w:val="20"/>
          <w:szCs w:val="20"/>
        </w:rPr>
        <w:t xml:space="preserve">. </w:t>
      </w:r>
      <w:r w:rsidR="003A1CB9" w:rsidRPr="00B42B35">
        <w:rPr>
          <w:rFonts w:cs="Arial"/>
          <w:sz w:val="20"/>
          <w:szCs w:val="20"/>
        </w:rPr>
        <w:t xml:space="preserve"> </w:t>
      </w:r>
      <w:r w:rsidR="009533DD" w:rsidRPr="00B42B35">
        <w:rPr>
          <w:rFonts w:cs="Arial"/>
          <w:sz w:val="20"/>
          <w:szCs w:val="20"/>
        </w:rPr>
        <w:t>Proyectos de Ley en los cuales el ICBF se ha pronunciado en 2016</w:t>
      </w:r>
      <w:bookmarkEnd w:id="287"/>
    </w:p>
    <w:tbl>
      <w:tblPr>
        <w:tblStyle w:val="Tabladecuadrcula4-nfasis321"/>
        <w:tblW w:w="4977" w:type="pct"/>
        <w:tblLayout w:type="fixed"/>
        <w:tblLook w:val="04A0" w:firstRow="1" w:lastRow="0" w:firstColumn="1" w:lastColumn="0" w:noHBand="0" w:noVBand="1"/>
      </w:tblPr>
      <w:tblGrid>
        <w:gridCol w:w="2264"/>
        <w:gridCol w:w="5104"/>
        <w:gridCol w:w="1984"/>
      </w:tblGrid>
      <w:tr w:rsidR="003A1CB9" w:rsidRPr="0090436C" w:rsidTr="001D31A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210" w:type="pct"/>
            <w:shd w:val="clear" w:color="auto" w:fill="76923C" w:themeFill="accent3" w:themeFillShade="BF"/>
            <w:hideMark/>
          </w:tcPr>
          <w:p w:rsidR="003A1CB9" w:rsidRPr="00441905" w:rsidRDefault="003A1CB9" w:rsidP="003A1CB9">
            <w:pPr>
              <w:spacing w:after="0" w:line="240" w:lineRule="auto"/>
              <w:jc w:val="center"/>
              <w:rPr>
                <w:rFonts w:eastAsia="Times New Roman" w:cs="Arial"/>
                <w:b w:val="0"/>
                <w:bCs w:val="0"/>
                <w:sz w:val="20"/>
                <w:szCs w:val="20"/>
                <w:lang w:val="es-CO" w:eastAsia="es-CO"/>
              </w:rPr>
            </w:pPr>
            <w:r w:rsidRPr="00441905">
              <w:rPr>
                <w:rFonts w:eastAsia="Times New Roman" w:cs="Arial"/>
                <w:b w:val="0"/>
                <w:bCs w:val="0"/>
                <w:sz w:val="20"/>
                <w:szCs w:val="20"/>
                <w:lang w:val="es-CO" w:eastAsia="es-CO"/>
              </w:rPr>
              <w:t>Proyecto de  ley</w:t>
            </w:r>
          </w:p>
        </w:tc>
        <w:tc>
          <w:tcPr>
            <w:tcW w:w="2729" w:type="pct"/>
            <w:shd w:val="clear" w:color="auto" w:fill="76923C" w:themeFill="accent3" w:themeFillShade="BF"/>
            <w:hideMark/>
          </w:tcPr>
          <w:p w:rsidR="003A1CB9" w:rsidRPr="00441905" w:rsidRDefault="008B7B06" w:rsidP="003A1C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s-CO" w:eastAsia="es-CO"/>
              </w:rPr>
            </w:pPr>
            <w:r w:rsidRPr="00441905">
              <w:rPr>
                <w:rFonts w:eastAsia="Times New Roman" w:cs="Arial"/>
                <w:b w:val="0"/>
                <w:bCs w:val="0"/>
                <w:sz w:val="20"/>
                <w:szCs w:val="20"/>
                <w:lang w:val="es-CO" w:eastAsia="es-CO"/>
              </w:rPr>
              <w:t>Descripción</w:t>
            </w:r>
          </w:p>
        </w:tc>
        <w:tc>
          <w:tcPr>
            <w:tcW w:w="1061" w:type="pct"/>
            <w:shd w:val="clear" w:color="auto" w:fill="76923C" w:themeFill="accent3" w:themeFillShade="BF"/>
            <w:hideMark/>
          </w:tcPr>
          <w:p w:rsidR="003A1CB9" w:rsidRPr="00441905" w:rsidRDefault="003A1CB9" w:rsidP="003A1C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s-CO" w:eastAsia="es-CO"/>
              </w:rPr>
            </w:pPr>
            <w:r w:rsidRPr="00441905">
              <w:rPr>
                <w:rFonts w:eastAsia="Times New Roman" w:cs="Arial"/>
                <w:b w:val="0"/>
                <w:bCs w:val="0"/>
                <w:sz w:val="20"/>
                <w:szCs w:val="20"/>
                <w:lang w:val="es-CO" w:eastAsia="es-CO"/>
              </w:rPr>
              <w:t>Observaciones</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No. 024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expide el régimen administrativo sancionatorio especial de las entidades que prestan el servicio público de bienestar familiar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PROPUESTO POR EL ICBF</w:t>
            </w:r>
          </w:p>
        </w:tc>
      </w:tr>
      <w:tr w:rsidR="003A1CB9" w:rsidRPr="0090436C" w:rsidTr="00441905">
        <w:trPr>
          <w:trHeight w:val="102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023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adoptan medidas para el mejoramiento de las condiciones de vida para los niños, niñas, adolescentes que se encuentran bajo medida de protección del ICBF y para la consolidación de su proyecto de vida”</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PROPUESTO POR EL ICBF</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Estatutaria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las formas de coordinación de la Jurisdicción Especial Indígena con el Sistema Judicial Nacional de conformidad con el artículo 246 de la Constitución Política de Colombia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257"/>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054 de 2014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crea el Sistema Nacional para la Seguridad Alimentaria y Nutricional, SINSAN, se crea la Agencia Nacional de Seguridad Alimentaria, y se establecen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149 de 2015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prohíben los procedimientos estéticos para menores de edad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154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reglamenta el servicio de reclutamiento y movilización”</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 el régimen para el ejercicio de la capacidad legal de las personas naturales”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127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148 de 2015 Senado – 181 de 2015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disposiciones para garantizar el derecho de las personas a desarrollarse física e intelectualmente en un ambiente libre de plomo, se fijan límites para el contenido de plomo en productos comercializados en el país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051 de 2015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modifica la Ley 1361 de 2009 para adicionar y complementar las medidas de protección de la familia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10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096 de 2014 Cámara – 130 de 2015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restringe el uso, comercialización, distribución, publicidad y promoción de sistemas electrónicos de administración de nicotina y cigarrillos electrónicos”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157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preserva la vida y la salud de los niños que sufren desnutrición, se prohíbe el desperdicio de alimentos”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Estatutaria 241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crea el Sistema de búsqueda de niños, niñas y adolescentes desaparecidos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002 de 2014 Cámara –  151 de 2015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establece la política de Estado para el desarrollo integral de la primera infancia de Cero a Siempre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“Fortalecimiento de la Política Criminal y Penitenciaria en Colombia”</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crea el Sistema para la Garantía Progresiva del Derecho a la Alimentación"</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549"/>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039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 la práctica del juego, la recreación y el deporte en el periodo vacacional de mitad de año para los estudiantes en todo el territorio nacional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“Busca establecer la cadena perpetua para violadores y asesinos de niños, niñas y adolescentes "</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76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104 de 2016</w:t>
            </w:r>
            <w:r w:rsidRPr="0090436C">
              <w:rPr>
                <w:rFonts w:eastAsia="Times New Roman" w:cs="Arial"/>
                <w:sz w:val="14"/>
                <w:szCs w:val="20"/>
                <w:lang w:val="es-CO" w:eastAsia="es-CO"/>
              </w:rPr>
              <w:t xml:space="preserve"> </w:t>
            </w:r>
            <w:r w:rsidRPr="0090436C">
              <w:rPr>
                <w:rFonts w:eastAsia="Times New Roman" w:cs="Arial"/>
                <w:bCs w:val="0"/>
                <w:sz w:val="14"/>
                <w:szCs w:val="20"/>
                <w:lang w:val="es-CO" w:eastAsia="es-CO"/>
              </w:rPr>
              <w:t>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modifica la Ley 1098 de 2006 Código de la Infancia y la Adolescencia y la Ley 916 de 2004 Reglamento nacional taurino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138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le asigna una función adicional y se crea un mecanismo de mejora del servicio al Fondo Nacional del Ahorro”</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139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reorganiza el sector social de la Nación con criterios de planeación estratégica y optimización de las finanzas públicas”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REALIZO CONCEPTO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169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"Ley anti desperdicios contra el hambre en Colombia"</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76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173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garantiza prestaciones sociales a las madres comunitarias que se asocien o creen fundaciones operadoras de programas de primera infancia"</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244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regula el programa de alimentación escolar, se crea la agencia nacional para la alimentación escolar, se modifican disposiciones orgánicas referentes a la utilización de recursos destinados a la alimentación escolar, y se establecen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026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prohíbe la práctica de alquiler de vientres en Colombia por ser una categoría de trata de personas y una explotación de la mujer con fines reproductivos"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033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disposiciones para garantizar el derecho de las personas a desarrollarse física e intelectualmente en un ambiente libre de plomo, se fijan límites para el contenido de plomo en productos comercializados en el país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019 de 2015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crea el programa de tamizaje neonatal en Colombia"</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057 de 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protege el cuidado de la niñez" - Ley Isaac -</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056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reglamenta la inseminación artificial, la procreación con asistencia científica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044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modifica el artículo 6 de la ley 388 de 1997 y se priorizan los espacios públicos para niños y adolescentes"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303"/>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001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convoca a un referendo constitucional y se somete a consideración del pueblo un proyecto de reforma constitucional por la cual se consagra la adopción de menores solo por parejas conformadas entre hombre y mujer"</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011 de 2015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medidas de protección para personas en condición de discapacidad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083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crea el sistema de búsqueda de niños, niñas y adolescentes desaparecidos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041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tutela el derecho al libre desarrollo sexual de las niñas y niños menores de 14 años"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112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crea registro nacional de ofensores sexuales"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087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el régimen de inhabilidades a quienes hayan sido condenados por delitos sexuales contra menores, se crea el registro de inhabilidades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127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modifica el artículo 162 de la ley 599 de 2000"</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127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adoptan criterios de política pública para los programas estatales de reducción de la pobreza y pobreza extrema, promoción de la movilidad social y se regula el funcionamiento del programa “Más Familias en Acción"</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436"/>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113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crea el sistema nacional de protección a la mujer en estado de embarazo y en el posparto, se establecen los programas de promoción a la acogida de la vida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108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medidas de salud pública para el control de la obesidad y otras enfermedades crónicas no trasmisibles derivadas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323"/>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123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interpreta con autoridad la ley 1620 de 2013, se modifican algunos de sus apartes y se establece el 10 de agosto como el día nacional de la libertad para educar"</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104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reforma la ley 1098 de 2004 código de infancia y adolescencia y la ley 916 de 2004, reglamento nacional taurino"</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3"/>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115 de 2015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medidas de protección al adulto mayor en Colombia, se modifican las leyes 1251 de 2008, 1315 de 2009 y 599 de 2000, se penaliza el maltrato intrafamiliar por abandono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143 de 2016 Senado</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otorga al presunto padre biológico, la titularidad para iniciar autónomamente la acción de impugnación de la paternidad"</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141 de 2016 Senado</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adiciona la ley 1098 de 2006, código de infancia y la adolescencia y se dictan otras disposiciones sobre el registro civil y nacimiento"</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144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el cual se adoptan reglas para la promoción de un modelo de desarrollo territorial equilibrado, y se modifica el artículo 31 de la ley 152 de 1994"</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187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adiciona un artículo nuevo a la ley 4 de 1992"</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167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brinda apoyo y orientación a la mujer gestante o lactante en riesgo y se dictan otras disposiciones"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102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165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del cual se crea una inhabilidad temporal para ejercer cargos en ámbitos educacionales o que tengan como función la protección y atención integral del niño, niña o adolescente y se modifica la ley 599 de 2000"</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158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la cual se regulan los procedimientos médicos y quirúrgicos con fines estéticos"</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102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182 de 2016 Cámara</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"Proyecto de ley mediante el cual se adoptan medidas tendientes a fortalecer la seguridad ciudadana urbana en las capitales, distritos y municipios de primera y segunda categoría, así como aquellos de categoría especial"</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185 de 2016 Cámara</w:t>
            </w:r>
          </w:p>
        </w:tc>
        <w:tc>
          <w:tcPr>
            <w:tcW w:w="2729" w:type="pct"/>
            <w:hideMark/>
          </w:tcPr>
          <w:p w:rsidR="003A1CB9" w:rsidRPr="0090436C" w:rsidRDefault="003A1CB9" w:rsidP="003A1CB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expide la ley general para el manejo integral al sobrepeso y la obesidad"</w:t>
            </w:r>
          </w:p>
        </w:tc>
        <w:tc>
          <w:tcPr>
            <w:tcW w:w="1061" w:type="pct"/>
            <w:hideMark/>
          </w:tcPr>
          <w:p w:rsidR="003A1CB9" w:rsidRPr="0090436C" w:rsidRDefault="003A1CB9" w:rsidP="003A1C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r w:rsidR="003A1CB9" w:rsidRPr="0090436C" w:rsidTr="00441905">
        <w:trPr>
          <w:trHeight w:val="1785"/>
        </w:trPr>
        <w:tc>
          <w:tcPr>
            <w:cnfStyle w:val="001000000000" w:firstRow="0" w:lastRow="0" w:firstColumn="1" w:lastColumn="0" w:oddVBand="0" w:evenVBand="0" w:oddHBand="0" w:evenHBand="0" w:firstRowFirstColumn="0" w:firstRowLastColumn="0" w:lastRowFirstColumn="0" w:lastRowLastColumn="0"/>
            <w:tcW w:w="1210" w:type="pct"/>
            <w:hideMark/>
          </w:tcPr>
          <w:p w:rsidR="003A1CB9" w:rsidRPr="0090436C" w:rsidRDefault="003A1CB9" w:rsidP="003A1CB9">
            <w:pPr>
              <w:spacing w:after="0" w:line="240" w:lineRule="auto"/>
              <w:jc w:val="center"/>
              <w:rPr>
                <w:rFonts w:eastAsia="Times New Roman" w:cs="Arial"/>
                <w:bCs w:val="0"/>
                <w:sz w:val="14"/>
                <w:szCs w:val="20"/>
                <w:lang w:val="es-CO" w:eastAsia="es-CO"/>
              </w:rPr>
            </w:pPr>
            <w:r w:rsidRPr="0090436C">
              <w:rPr>
                <w:rFonts w:eastAsia="Times New Roman" w:cs="Arial"/>
                <w:bCs w:val="0"/>
                <w:sz w:val="14"/>
                <w:szCs w:val="20"/>
                <w:lang w:val="es-CO" w:eastAsia="es-CO"/>
              </w:rPr>
              <w:t>Proyecto de Ley 277/2016C -  127/2015S</w:t>
            </w:r>
          </w:p>
        </w:tc>
        <w:tc>
          <w:tcPr>
            <w:tcW w:w="2729" w:type="pct"/>
            <w:hideMark/>
          </w:tcPr>
          <w:p w:rsidR="003A1CB9" w:rsidRPr="0090436C" w:rsidRDefault="003A1CB9" w:rsidP="003A1CB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"Por medio de la cual se establecen lineamientos para el trabajo desarrollado por las personas que prestan sus servicios en los programas de atención integral a la primera infancia y protección integral de la niñez y adolescencia del Instituto Colombiano de Bienestar Familiar (ICBF), sus derechos laborales, se establecen garantías en materia de seguridad alimentaria y se dictan otras disposiciones"</w:t>
            </w:r>
          </w:p>
        </w:tc>
        <w:tc>
          <w:tcPr>
            <w:tcW w:w="1061" w:type="pct"/>
            <w:hideMark/>
          </w:tcPr>
          <w:p w:rsidR="003A1CB9" w:rsidRPr="0090436C" w:rsidRDefault="003A1CB9" w:rsidP="003A1C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val="es-CO" w:eastAsia="es-CO"/>
              </w:rPr>
            </w:pPr>
            <w:r w:rsidRPr="0090436C">
              <w:rPr>
                <w:rFonts w:eastAsia="Times New Roman" w:cs="Arial"/>
                <w:sz w:val="14"/>
                <w:szCs w:val="20"/>
                <w:lang w:val="es-CO" w:eastAsia="es-CO"/>
              </w:rPr>
              <w:t>SE REALIZA SEGUIMIENTO</w:t>
            </w:r>
          </w:p>
        </w:tc>
      </w:tr>
    </w:tbl>
    <w:p w:rsidR="00A87B8C" w:rsidRPr="00A25484" w:rsidRDefault="00A87B8C" w:rsidP="00A87B8C">
      <w:pPr>
        <w:spacing w:line="240" w:lineRule="auto"/>
        <w:jc w:val="both"/>
        <w:rPr>
          <w:rFonts w:cs="Arial"/>
          <w:color w:val="548DD4" w:themeColor="text2" w:themeTint="99"/>
          <w:sz w:val="14"/>
          <w:szCs w:val="20"/>
        </w:rPr>
      </w:pPr>
      <w:r w:rsidRPr="001D31A9">
        <w:rPr>
          <w:rFonts w:cs="Arial"/>
          <w:b/>
          <w:sz w:val="14"/>
          <w:szCs w:val="20"/>
        </w:rPr>
        <w:t>Fuente:</w:t>
      </w:r>
      <w:r w:rsidRPr="00A87B8C">
        <w:rPr>
          <w:rFonts w:cs="Arial"/>
          <w:sz w:val="14"/>
          <w:szCs w:val="20"/>
        </w:rPr>
        <w:t xml:space="preserve"> Congreso de la República y Matriz de seguimiento a la agenda legislativa y demás asuntos normativos relevantes de la Oficina Asesora Jurídica del ICBF</w:t>
      </w:r>
      <w:r w:rsidRPr="00A25484">
        <w:rPr>
          <w:rFonts w:cs="Arial"/>
          <w:color w:val="548DD4" w:themeColor="text2" w:themeTint="99"/>
          <w:sz w:val="14"/>
          <w:szCs w:val="20"/>
        </w:rPr>
        <w:t>.</w:t>
      </w:r>
    </w:p>
    <w:p w:rsidR="005A48CB" w:rsidRPr="0090436C" w:rsidRDefault="005A48CB" w:rsidP="005A48CB">
      <w:pPr>
        <w:spacing w:after="0" w:line="240" w:lineRule="auto"/>
        <w:jc w:val="center"/>
        <w:rPr>
          <w:rFonts w:cs="Arial"/>
          <w:b/>
          <w:sz w:val="20"/>
        </w:rPr>
      </w:pPr>
    </w:p>
    <w:sectPr w:rsidR="005A48CB" w:rsidRPr="0090436C" w:rsidSect="00707A1C">
      <w:headerReference w:type="even" r:id="rId86"/>
      <w:headerReference w:type="default" r:id="rId87"/>
      <w:footerReference w:type="default" r:id="rId88"/>
      <w:headerReference w:type="first" r:id="rId89"/>
      <w:pgSz w:w="12240" w:h="15840" w:code="1"/>
      <w:pgMar w:top="2410" w:right="1134" w:bottom="1560" w:left="1701" w:header="1531" w:footer="9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CC4" w:rsidRDefault="009A3CC4" w:rsidP="009B2507">
      <w:pPr>
        <w:spacing w:after="0" w:line="240" w:lineRule="auto"/>
      </w:pPr>
      <w:r>
        <w:separator/>
      </w:r>
    </w:p>
  </w:endnote>
  <w:endnote w:type="continuationSeparator" w:id="0">
    <w:p w:rsidR="009A3CC4" w:rsidRDefault="009A3CC4"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BT">
    <w:altName w:val="Times New Roman"/>
    <w:panose1 w:val="00000000000000000000"/>
    <w:charset w:val="00"/>
    <w:family w:val="roman"/>
    <w:notTrueType/>
    <w:pitch w:val="default"/>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55"/>
    <w:family w:val="auto"/>
    <w:pitch w:val="variable"/>
    <w:sig w:usb0="00000081" w:usb1="00000000" w:usb2="00000000" w:usb3="00000000" w:csb0="00000008" w:csb1="00000000"/>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1"/>
    <w:family w:val="roman"/>
    <w:notTrueType/>
    <w:pitch w:val="variable"/>
  </w:font>
  <w:font w:name="DK Crayon Crumble">
    <w:charset w:val="00"/>
    <w:family w:val="roman"/>
    <w:pitch w:val="variable"/>
    <w:sig w:usb0="80000007" w:usb1="0000000A"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280" w:rsidRDefault="00EF5280" w:rsidP="000442E9">
    <w:pPr>
      <w:pBdr>
        <w:top w:val="single" w:sz="4" w:space="1" w:color="auto"/>
      </w:pBdr>
      <w:spacing w:after="0" w:line="240" w:lineRule="auto"/>
    </w:pPr>
    <w:r>
      <w:rPr>
        <w:noProof/>
        <w:lang w:val="es-CO" w:eastAsia="es-CO"/>
      </w:rPr>
      <w:drawing>
        <wp:anchor distT="0" distB="0" distL="114300" distR="114300" simplePos="0" relativeHeight="251656192" behindDoc="1" locked="0" layoutInCell="1" allowOverlap="1" wp14:anchorId="1A93587B" wp14:editId="21B61837">
          <wp:simplePos x="0" y="0"/>
          <wp:positionH relativeFrom="column">
            <wp:posOffset>3169285</wp:posOffset>
          </wp:positionH>
          <wp:positionV relativeFrom="paragraph">
            <wp:posOffset>56185</wp:posOffset>
          </wp:positionV>
          <wp:extent cx="2922905" cy="475615"/>
          <wp:effectExtent l="0" t="0" r="0" b="0"/>
          <wp:wrapNone/>
          <wp:docPr id="41" name="Imagen 4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anchor>
      </w:drawing>
    </w:r>
    <w:r>
      <w:rPr>
        <w:noProof/>
        <w:lang w:val="es-CO" w:eastAsia="es-CO"/>
      </w:rPr>
      <mc:AlternateContent>
        <mc:Choice Requires="wps">
          <w:drawing>
            <wp:anchor distT="0" distB="0" distL="114300" distR="114300" simplePos="0" relativeHeight="251634688" behindDoc="0" locked="0" layoutInCell="1" allowOverlap="1" wp14:anchorId="61CBABED" wp14:editId="5D8F9AE8">
              <wp:simplePos x="0" y="0"/>
              <wp:positionH relativeFrom="column">
                <wp:posOffset>-97155</wp:posOffset>
              </wp:positionH>
              <wp:positionV relativeFrom="paragraph">
                <wp:posOffset>41910</wp:posOffset>
              </wp:positionV>
              <wp:extent cx="3385820" cy="700405"/>
              <wp:effectExtent l="0" t="0" r="5080" b="4445"/>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00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280" w:rsidRPr="00240C30" w:rsidRDefault="00EF5280" w:rsidP="00434ACA">
                          <w:pPr>
                            <w:spacing w:after="0" w:line="240" w:lineRule="auto"/>
                            <w:rPr>
                              <w:rFonts w:cs="Arial"/>
                              <w:sz w:val="20"/>
                            </w:rPr>
                          </w:pPr>
                          <w:r w:rsidRPr="00240C30">
                            <w:rPr>
                              <w:rFonts w:cs="Arial"/>
                              <w:sz w:val="20"/>
                            </w:rPr>
                            <w:t>Sede de la Dirección General</w:t>
                          </w:r>
                        </w:p>
                        <w:p w:rsidR="00EF5280" w:rsidRPr="00240C30" w:rsidRDefault="00EF5280" w:rsidP="00434ACA">
                          <w:pPr>
                            <w:spacing w:after="0" w:line="240" w:lineRule="auto"/>
                            <w:rPr>
                              <w:rFonts w:cs="Arial"/>
                              <w:color w:val="000000"/>
                              <w:sz w:val="20"/>
                            </w:rPr>
                          </w:pPr>
                          <w:r w:rsidRPr="00240C30">
                            <w:rPr>
                              <w:rFonts w:cs="Arial"/>
                              <w:color w:val="000000"/>
                              <w:sz w:val="20"/>
                            </w:rPr>
                            <w:t>Avenida carrera 68 No. 64c – 75. PBX: 437 76 30</w:t>
                          </w:r>
                        </w:p>
                        <w:p w:rsidR="00EF5280" w:rsidRPr="00240C30" w:rsidRDefault="00EF5280" w:rsidP="00434ACA">
                          <w:pPr>
                            <w:spacing w:after="0" w:line="240" w:lineRule="auto"/>
                            <w:rPr>
                              <w:rFonts w:cs="Arial"/>
                              <w:sz w:val="20"/>
                            </w:rPr>
                          </w:pPr>
                          <w:r w:rsidRPr="00240C30">
                            <w:rPr>
                              <w:rFonts w:cs="Arial"/>
                              <w:sz w:val="20"/>
                            </w:rPr>
                            <w:t>Línea gratuita nacional ICBF  01 8000 91 8080</w:t>
                          </w:r>
                        </w:p>
                        <w:p w:rsidR="00EF5280" w:rsidRPr="009F369B" w:rsidRDefault="00EF5280" w:rsidP="00240C30">
                          <w:pPr>
                            <w:spacing w:after="0" w:line="240" w:lineRule="auto"/>
                            <w:rPr>
                              <w:rFonts w:ascii="Times New Roman" w:hAnsi="Times New Roman"/>
                            </w:rPr>
                          </w:pPr>
                          <w:r>
                            <w:rPr>
                              <w:rFonts w:cs="Arial"/>
                              <w:sz w:val="20"/>
                            </w:rPr>
                            <w:t>www.icbf.gov.co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BABED" id="_x0000_t202" coordsize="21600,21600" o:spt="202" path="m,l,21600r21600,l21600,xe">
              <v:stroke joinstyle="miter"/>
              <v:path gradientshapeok="t" o:connecttype="rect"/>
            </v:shapetype>
            <v:shape id="Text Box 17" o:spid="_x0000_s1030" type="#_x0000_t202" style="position:absolute;margin-left:-7.65pt;margin-top:3.3pt;width:266.6pt;height:55.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" stroked="f">
              <v:textbox>
                <w:txbxContent>
                  <w:p w:rsidR="00EF5280" w:rsidRPr="00240C30" w:rsidRDefault="00EF5280" w:rsidP="00434ACA">
                    <w:pPr>
                      <w:spacing w:after="0" w:line="240" w:lineRule="auto"/>
                      <w:rPr>
                        <w:rFonts w:cs="Arial"/>
                        <w:sz w:val="20"/>
                      </w:rPr>
                    </w:pPr>
                    <w:r w:rsidRPr="00240C30">
                      <w:rPr>
                        <w:rFonts w:cs="Arial"/>
                        <w:sz w:val="20"/>
                      </w:rPr>
                      <w:t>Sede de la Dirección General</w:t>
                    </w:r>
                  </w:p>
                  <w:p w:rsidR="00EF5280" w:rsidRPr="00240C30" w:rsidRDefault="00EF5280" w:rsidP="00434ACA">
                    <w:pPr>
                      <w:spacing w:after="0" w:line="240" w:lineRule="auto"/>
                      <w:rPr>
                        <w:rFonts w:cs="Arial"/>
                        <w:color w:val="000000"/>
                        <w:sz w:val="20"/>
                      </w:rPr>
                    </w:pPr>
                    <w:r w:rsidRPr="00240C30">
                      <w:rPr>
                        <w:rFonts w:cs="Arial"/>
                        <w:color w:val="000000"/>
                        <w:sz w:val="20"/>
                      </w:rPr>
                      <w:t>Avenida carrera 68 No. 64c – 75. PBX: 437 76 30</w:t>
                    </w:r>
                  </w:p>
                  <w:p w:rsidR="00EF5280" w:rsidRPr="00240C30" w:rsidRDefault="00EF5280" w:rsidP="00434ACA">
                    <w:pPr>
                      <w:spacing w:after="0" w:line="240" w:lineRule="auto"/>
                      <w:rPr>
                        <w:rFonts w:cs="Arial"/>
                        <w:sz w:val="20"/>
                      </w:rPr>
                    </w:pPr>
                    <w:r w:rsidRPr="00240C30">
                      <w:rPr>
                        <w:rFonts w:cs="Arial"/>
                        <w:sz w:val="20"/>
                      </w:rPr>
                      <w:t>Línea gratuita nacional ICBF  01 8000 91 8080</w:t>
                    </w:r>
                  </w:p>
                  <w:p w:rsidR="00EF5280" w:rsidRPr="009F369B" w:rsidRDefault="00EF5280" w:rsidP="00240C30">
                    <w:pPr>
                      <w:spacing w:after="0" w:line="240" w:lineRule="auto"/>
                      <w:rPr>
                        <w:rFonts w:ascii="Times New Roman" w:hAnsi="Times New Roman"/>
                      </w:rPr>
                    </w:pPr>
                    <w:r>
                      <w:rPr>
                        <w:rFonts w:cs="Arial"/>
                        <w:sz w:val="20"/>
                      </w:rPr>
                      <w:t>www.icbf.gov.co</w:t>
                    </w:r>
                  </w:p>
                </w:txbxContent>
              </v:textbox>
            </v:shape>
          </w:pict>
        </mc:Fallback>
      </mc:AlternateContent>
    </w:r>
  </w:p>
  <w:p w:rsidR="00EF5280" w:rsidRDefault="00EF5280" w:rsidP="00434ACA">
    <w:pPr>
      <w:spacing w:after="0" w:line="240" w:lineRule="auto"/>
    </w:pPr>
  </w:p>
  <w:p w:rsidR="00EF5280" w:rsidRPr="00434ACA" w:rsidRDefault="00EF5280" w:rsidP="00434A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CC4" w:rsidRDefault="009A3CC4" w:rsidP="009B2507">
      <w:pPr>
        <w:spacing w:after="0" w:line="240" w:lineRule="auto"/>
      </w:pPr>
      <w:r>
        <w:separator/>
      </w:r>
    </w:p>
  </w:footnote>
  <w:footnote w:type="continuationSeparator" w:id="0">
    <w:p w:rsidR="009A3CC4" w:rsidRDefault="009A3CC4" w:rsidP="009B2507">
      <w:pPr>
        <w:spacing w:after="0" w:line="240" w:lineRule="auto"/>
      </w:pPr>
      <w:r>
        <w:continuationSeparator/>
      </w:r>
    </w:p>
  </w:footnote>
  <w:footnote w:id="1">
    <w:p w:rsidR="00EF5280" w:rsidRPr="00777A4E" w:rsidRDefault="00EF5280" w:rsidP="00730D76">
      <w:pPr>
        <w:pStyle w:val="Default"/>
        <w:jc w:val="both"/>
        <w:rPr>
          <w:rFonts w:ascii="Arial" w:hAnsi="Arial" w:cs="Arial"/>
          <w:sz w:val="16"/>
          <w:szCs w:val="18"/>
        </w:rPr>
      </w:pPr>
      <w:r w:rsidRPr="00777A4E">
        <w:rPr>
          <w:rStyle w:val="Refdenotaalpie"/>
          <w:rFonts w:ascii="Arial" w:hAnsi="Arial" w:cs="Arial"/>
          <w:sz w:val="16"/>
          <w:szCs w:val="18"/>
        </w:rPr>
        <w:footnoteRef/>
      </w:r>
      <w:r w:rsidRPr="00777A4E">
        <w:rPr>
          <w:rFonts w:ascii="Arial" w:hAnsi="Arial" w:cs="Arial"/>
          <w:sz w:val="16"/>
          <w:szCs w:val="18"/>
        </w:rPr>
        <w:t xml:space="preserve"> Artículos de la Ley 1753 de 2015: Por la cual se expide el Plan Nacional de Desarrollo 2014-2018 “Todos Por un Nuevo País”, relacionados con la operación del ICBF: 56º, 63º, 64º, 82º, 83º, 84º, 117º, 120º, 122º, 123º, 136º, 212º, 213º, 214º, 215º, 217º, 234º y 235º.</w:t>
      </w:r>
    </w:p>
  </w:footnote>
  <w:footnote w:id="2">
    <w:p w:rsidR="00EF5280" w:rsidRPr="00170C38" w:rsidRDefault="00EF5280" w:rsidP="00C74727">
      <w:pPr>
        <w:pStyle w:val="Textonotapie"/>
        <w:jc w:val="both"/>
        <w:rPr>
          <w:rFonts w:ascii="Arial" w:hAnsi="Arial" w:cs="Arial"/>
          <w:sz w:val="14"/>
          <w:szCs w:val="18"/>
        </w:rPr>
      </w:pPr>
      <w:r w:rsidRPr="00170C38">
        <w:rPr>
          <w:rStyle w:val="Refdenotaalpie"/>
          <w:rFonts w:ascii="Arial" w:hAnsi="Arial" w:cs="Arial"/>
          <w:sz w:val="16"/>
          <w:szCs w:val="18"/>
        </w:rPr>
        <w:footnoteRef/>
      </w:r>
      <w:r>
        <w:rPr>
          <w:rFonts w:ascii="Arial" w:hAnsi="Arial" w:cs="Arial"/>
          <w:sz w:val="16"/>
          <w:szCs w:val="18"/>
        </w:rPr>
        <w:t xml:space="preserve">No obstante, </w:t>
      </w:r>
      <w:r w:rsidRPr="00170C38">
        <w:rPr>
          <w:rFonts w:ascii="Arial" w:hAnsi="Arial" w:cs="Arial"/>
          <w:sz w:val="16"/>
          <w:szCs w:val="18"/>
        </w:rPr>
        <w:t>con información y seguimiento niño a niño con el Ministerio de Educación</w:t>
      </w:r>
      <w:r>
        <w:rPr>
          <w:rFonts w:ascii="Arial" w:hAnsi="Arial" w:cs="Arial"/>
          <w:sz w:val="16"/>
          <w:szCs w:val="18"/>
        </w:rPr>
        <w:t xml:space="preserve"> se registró una atención con corte a septiembre de </w:t>
      </w:r>
      <w:r w:rsidRPr="00170C38">
        <w:rPr>
          <w:rFonts w:ascii="Arial" w:hAnsi="Arial" w:cs="Arial"/>
          <w:sz w:val="16"/>
          <w:szCs w:val="18"/>
        </w:rPr>
        <w:t>1.053.491</w:t>
      </w:r>
      <w:r>
        <w:rPr>
          <w:rFonts w:ascii="Arial" w:hAnsi="Arial" w:cs="Arial"/>
          <w:sz w:val="16"/>
          <w:szCs w:val="18"/>
        </w:rPr>
        <w:t xml:space="preserve"> niños y niñas</w:t>
      </w:r>
      <w:r w:rsidRPr="00170C38">
        <w:rPr>
          <w:rFonts w:ascii="Arial" w:hAnsi="Arial" w:cs="Arial"/>
          <w:sz w:val="16"/>
          <w:szCs w:val="18"/>
        </w:rPr>
        <w:t>.</w:t>
      </w:r>
      <w:r w:rsidRPr="00170C38">
        <w:rPr>
          <w:rFonts w:ascii="Arial" w:hAnsi="Arial" w:cs="Arial"/>
          <w:sz w:val="14"/>
          <w:szCs w:val="18"/>
        </w:rPr>
        <w:t xml:space="preserve"> </w:t>
      </w:r>
    </w:p>
  </w:footnote>
  <w:footnote w:id="3">
    <w:p w:rsidR="00EF5280" w:rsidRPr="00F85636" w:rsidRDefault="00EF5280">
      <w:pPr>
        <w:pStyle w:val="Textonotapie"/>
        <w:rPr>
          <w:rFonts w:ascii="Arial" w:hAnsi="Arial" w:cs="Arial"/>
        </w:rPr>
      </w:pPr>
      <w:r w:rsidRPr="00F85636">
        <w:rPr>
          <w:rStyle w:val="Refdenotaalpie"/>
          <w:rFonts w:ascii="Arial" w:hAnsi="Arial" w:cs="Arial"/>
          <w:sz w:val="16"/>
        </w:rPr>
        <w:footnoteRef/>
      </w:r>
      <w:r w:rsidRPr="00F85636">
        <w:rPr>
          <w:rFonts w:ascii="Arial" w:hAnsi="Arial" w:cs="Arial"/>
          <w:sz w:val="16"/>
        </w:rPr>
        <w:t xml:space="preserve"> Información a 31 de Diciembre de 2016</w:t>
      </w:r>
    </w:p>
  </w:footnote>
  <w:footnote w:id="4">
    <w:p w:rsidR="00EF5280" w:rsidRPr="00777A4E" w:rsidRDefault="00EF5280" w:rsidP="008A56FD">
      <w:pPr>
        <w:pStyle w:val="Textonotapie"/>
        <w:jc w:val="both"/>
        <w:rPr>
          <w:rFonts w:ascii="Arial" w:hAnsi="Arial" w:cs="Arial"/>
          <w:sz w:val="16"/>
          <w:szCs w:val="18"/>
        </w:rPr>
      </w:pPr>
      <w:r w:rsidRPr="009E058F">
        <w:rPr>
          <w:rStyle w:val="Refdenotaalpie"/>
          <w:rFonts w:ascii="Arial" w:hAnsi="Arial" w:cs="Arial"/>
          <w:sz w:val="18"/>
          <w:szCs w:val="18"/>
        </w:rPr>
        <w:footnoteRef/>
      </w:r>
      <w:r w:rsidRPr="009E058F">
        <w:rPr>
          <w:rFonts w:ascii="Arial" w:hAnsi="Arial" w:cs="Arial"/>
          <w:sz w:val="18"/>
          <w:szCs w:val="18"/>
        </w:rPr>
        <w:t xml:space="preserve"> </w:t>
      </w:r>
      <w:r w:rsidRPr="00777A4E">
        <w:rPr>
          <w:rFonts w:ascii="Arial" w:hAnsi="Arial" w:cs="Arial"/>
          <w:sz w:val="16"/>
          <w:szCs w:val="18"/>
        </w:rPr>
        <w:t>Artículo 19, Ley 1804 de 2016.</w:t>
      </w:r>
    </w:p>
  </w:footnote>
  <w:footnote w:id="5">
    <w:p w:rsidR="00EF5280" w:rsidRPr="009E058F" w:rsidRDefault="00EF5280" w:rsidP="008A56FD">
      <w:pPr>
        <w:pStyle w:val="Textonotapie"/>
        <w:jc w:val="both"/>
        <w:rPr>
          <w:rFonts w:ascii="Arial" w:hAnsi="Arial" w:cs="Arial"/>
          <w:sz w:val="18"/>
          <w:szCs w:val="18"/>
        </w:rPr>
      </w:pPr>
      <w:r w:rsidRPr="00777A4E">
        <w:rPr>
          <w:rStyle w:val="Refdenotaalpie"/>
          <w:rFonts w:ascii="Arial" w:hAnsi="Arial" w:cs="Arial"/>
          <w:sz w:val="16"/>
          <w:szCs w:val="18"/>
        </w:rPr>
        <w:footnoteRef/>
      </w:r>
      <w:r w:rsidRPr="00777A4E">
        <w:rPr>
          <w:rFonts w:ascii="Arial" w:hAnsi="Arial" w:cs="Arial"/>
          <w:sz w:val="16"/>
          <w:szCs w:val="18"/>
        </w:rPr>
        <w:t xml:space="preserve"> Artículo 19, Ley 1804 de 2016.</w:t>
      </w:r>
    </w:p>
  </w:footnote>
  <w:footnote w:id="6">
    <w:p w:rsidR="00EF5280" w:rsidRPr="00385DBF" w:rsidRDefault="00EF5280" w:rsidP="00FB2352">
      <w:pPr>
        <w:spacing w:after="0" w:line="240" w:lineRule="auto"/>
        <w:jc w:val="both"/>
        <w:rPr>
          <w:rFonts w:cs="Arial"/>
          <w:sz w:val="16"/>
          <w:szCs w:val="18"/>
        </w:rPr>
      </w:pPr>
      <w:r w:rsidRPr="00606C01">
        <w:rPr>
          <w:rStyle w:val="Refdenotaalpie"/>
          <w:rFonts w:cs="Arial"/>
          <w:sz w:val="18"/>
          <w:szCs w:val="18"/>
        </w:rPr>
        <w:footnoteRef/>
      </w:r>
      <w:r w:rsidRPr="00606C01">
        <w:rPr>
          <w:rFonts w:cs="Arial"/>
          <w:sz w:val="18"/>
          <w:szCs w:val="18"/>
        </w:rPr>
        <w:t xml:space="preserve"> </w:t>
      </w:r>
      <w:r w:rsidRPr="00385DBF">
        <w:rPr>
          <w:rFonts w:cs="Arial"/>
          <w:sz w:val="16"/>
          <w:szCs w:val="18"/>
        </w:rPr>
        <w:t>La Estrategia se concentra en las acciones de prevención urgente, las cuales se enfocan en la no consolidación de situaciones vulneradoras de derechos de niños, niñas y adolescentes que se desenvuelven en contextos o en grupos sociales de alto riesgo. No obstante, desde la estrategia se gestan también acciones de prevención temprana, las cuales se encaminan a evitar la aparición de situaciones problemáticas o causantes de riesgo para niños, niñas y adolescentes que se encuentran al margen o alejados de tales circunstancias. Pero también, en casos especiales, la estrategia promueve la prevención en protección, a través de acciones que buscan disminuir las consecuencias negativas de las vulneraciones ya ocurridas, conservando el componente transversal de promoción de derechos y fomento de entornos protectores, propios de toda acción preventiva en cualquier nivel.</w:t>
      </w:r>
    </w:p>
  </w:footnote>
  <w:footnote w:id="7">
    <w:p w:rsidR="00EF5280" w:rsidRPr="003D6F87" w:rsidRDefault="00EF5280" w:rsidP="00FB2352">
      <w:pPr>
        <w:pStyle w:val="Sinespaciado"/>
        <w:jc w:val="both"/>
        <w:rPr>
          <w:rFonts w:cs="Arial"/>
          <w:sz w:val="16"/>
          <w:szCs w:val="16"/>
        </w:rPr>
      </w:pPr>
      <w:r w:rsidRPr="003D6F87">
        <w:rPr>
          <w:rStyle w:val="Refdenotaalpie"/>
          <w:rFonts w:cs="Arial"/>
          <w:sz w:val="16"/>
          <w:szCs w:val="16"/>
        </w:rPr>
        <w:footnoteRef/>
      </w:r>
      <w:r w:rsidRPr="003D6F87">
        <w:rPr>
          <w:rFonts w:cs="Arial"/>
          <w:sz w:val="16"/>
          <w:szCs w:val="16"/>
        </w:rPr>
        <w:t xml:space="preserve"> </w:t>
      </w:r>
      <w:r w:rsidRPr="003D6F87">
        <w:rPr>
          <w:rFonts w:eastAsia="MS Gothic" w:cs="Arial"/>
          <w:bCs/>
          <w:sz w:val="16"/>
          <w:szCs w:val="16"/>
        </w:rPr>
        <w:t xml:space="preserve">Inicialmente la Estrategia abordó la población de padres, madres y cuidadores únicamente, sin embargo, a lo largo de la prueba piloto se evidencia la relevancia de involucrar al cuerpo docente de las instituciones educativas, como agentes que también hacen parte de los entornos protectores de niños, niñas y adolescentes.  </w:t>
      </w:r>
    </w:p>
  </w:footnote>
  <w:footnote w:id="8">
    <w:p w:rsidR="00EF5280" w:rsidRPr="003D6F87" w:rsidRDefault="00EF5280" w:rsidP="00FB2352">
      <w:pPr>
        <w:pStyle w:val="Sinespaciado"/>
        <w:jc w:val="both"/>
        <w:rPr>
          <w:rFonts w:cs="Arial"/>
          <w:sz w:val="16"/>
          <w:szCs w:val="18"/>
        </w:rPr>
      </w:pPr>
      <w:r w:rsidRPr="00606C01">
        <w:rPr>
          <w:rStyle w:val="Refdenotaalpie"/>
          <w:rFonts w:cs="Arial"/>
          <w:sz w:val="18"/>
          <w:szCs w:val="18"/>
        </w:rPr>
        <w:footnoteRef/>
      </w:r>
      <w:r w:rsidRPr="00606C01">
        <w:rPr>
          <w:rFonts w:cs="Arial"/>
          <w:sz w:val="18"/>
          <w:szCs w:val="18"/>
        </w:rPr>
        <w:t xml:space="preserve"> </w:t>
      </w:r>
      <w:r w:rsidRPr="003D6F87">
        <w:rPr>
          <w:rFonts w:eastAsia="MS Gothic" w:cs="Arial"/>
          <w:bCs/>
          <w:sz w:val="16"/>
          <w:szCs w:val="18"/>
        </w:rPr>
        <w:t xml:space="preserve">Será un módulo introductorio que se implementará en la primera sesión de formación que debe desarrollarse con todos los participantes. Lo anterior, debido a su carácter exploratorio desde el reconocimiento de las comunidades a las cuales se llega y al planteamiento de la ruta pedagógica que define los siguientes contenidos. </w:t>
      </w:r>
    </w:p>
  </w:footnote>
  <w:footnote w:id="9">
    <w:p w:rsidR="00EF5280" w:rsidRPr="003D6F87" w:rsidRDefault="00EF5280" w:rsidP="00FB2352">
      <w:pPr>
        <w:pStyle w:val="Textonotapie"/>
        <w:jc w:val="both"/>
        <w:rPr>
          <w:rFonts w:ascii="Arial" w:hAnsi="Arial" w:cs="Arial"/>
          <w:sz w:val="16"/>
          <w:szCs w:val="18"/>
        </w:rPr>
      </w:pPr>
      <w:r w:rsidRPr="003D6F87">
        <w:rPr>
          <w:rStyle w:val="Refdenotaalpie"/>
          <w:rFonts w:ascii="Arial" w:hAnsi="Arial" w:cs="Arial"/>
          <w:sz w:val="16"/>
          <w:szCs w:val="18"/>
        </w:rPr>
        <w:footnoteRef/>
      </w:r>
      <w:r w:rsidRPr="003D6F87">
        <w:rPr>
          <w:rFonts w:ascii="Arial" w:hAnsi="Arial" w:cs="Arial"/>
          <w:sz w:val="16"/>
          <w:szCs w:val="18"/>
        </w:rPr>
        <w:t xml:space="preserve"> E</w:t>
      </w:r>
      <w:r w:rsidRPr="003D6F87">
        <w:rPr>
          <w:rFonts w:ascii="Arial" w:eastAsia="MS Gothic" w:hAnsi="Arial" w:cs="Arial"/>
          <w:bCs/>
          <w:sz w:val="16"/>
          <w:szCs w:val="18"/>
        </w:rPr>
        <w:t>l Módulo 2 tendrá una sesión de formación de 4 horas con el fin de pedirle a los participantes que, en la hora adicional, diligencien la información correspondiente a la ficha de caracterización socio familiar.</w:t>
      </w:r>
    </w:p>
  </w:footnote>
  <w:footnote w:id="10">
    <w:p w:rsidR="00EF5280" w:rsidRPr="000A03EC" w:rsidRDefault="00EF5280" w:rsidP="00086073">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0A03EC">
        <w:rPr>
          <w:rFonts w:ascii="Arial" w:hAnsi="Arial" w:cs="Arial"/>
          <w:sz w:val="16"/>
          <w:szCs w:val="18"/>
        </w:rPr>
        <w:t>Consejo de Estado, Sección Tercera, sentencia del 11 de julio de 2013, exp. 19001-23-31-000-2001-00757-01, C.P. Enrique Gil Botero.</w:t>
      </w:r>
    </w:p>
  </w:footnote>
  <w:footnote w:id="11">
    <w:p w:rsidR="00EF5280" w:rsidRPr="00DA0BEE" w:rsidRDefault="00EF5280" w:rsidP="00AF6DF9">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Fuente: Sistema Información Misional – Reporte programación metas sociales y financieras municipalizado corte 31/10/2016.</w:t>
      </w:r>
    </w:p>
  </w:footnote>
  <w:footnote w:id="12">
    <w:p w:rsidR="00EF5280" w:rsidRPr="00DA0BEE" w:rsidRDefault="00EF5280" w:rsidP="00AF6DF9">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Fuente: Resultado indicador M4-PM1-01 corte 30 de septiembre 2016.</w:t>
      </w:r>
    </w:p>
  </w:footnote>
  <w:footnote w:id="13">
    <w:p w:rsidR="00EF5280" w:rsidRPr="00DA0BEE" w:rsidRDefault="00EF5280" w:rsidP="00AF6DF9">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Fuente: Resultado indicador PA-23 corte 30 de agosto 2016.</w:t>
      </w:r>
    </w:p>
  </w:footnote>
  <w:footnote w:id="14">
    <w:p w:rsidR="00EF5280" w:rsidRPr="00DA0BEE" w:rsidRDefault="00EF5280" w:rsidP="00AF6DF9">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Fuente: Resultado indicador M4-PM1-03 corte 30 de septiembre 2016.</w:t>
      </w:r>
    </w:p>
  </w:footnote>
  <w:footnote w:id="15">
    <w:p w:rsidR="00EF5280" w:rsidRPr="00DA0BEE" w:rsidRDefault="00EF5280" w:rsidP="00AF6DF9">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DA0BEE">
        <w:rPr>
          <w:rFonts w:ascii="Arial" w:hAnsi="Arial" w:cs="Arial"/>
          <w:sz w:val="16"/>
          <w:szCs w:val="18"/>
        </w:rPr>
        <w:t xml:space="preserve">Lo distribuido es mayor a lo producido porque para cada vigencia se determinan inventarios que se producen en la vigencia anterior y se distribuyen en la vigencia siguiente. </w:t>
      </w:r>
    </w:p>
  </w:footnote>
  <w:footnote w:id="16">
    <w:p w:rsidR="00EF5280" w:rsidRPr="00DA0BEE" w:rsidRDefault="00EF5280" w:rsidP="00AF6DF9">
      <w:pPr>
        <w:pStyle w:val="Textonotapie"/>
        <w:jc w:val="both"/>
        <w:rPr>
          <w:rFonts w:ascii="Arial" w:hAnsi="Arial" w:cs="Arial"/>
          <w:sz w:val="16"/>
          <w:szCs w:val="18"/>
        </w:rPr>
      </w:pPr>
      <w:r w:rsidRPr="000C383E">
        <w:rPr>
          <w:rStyle w:val="Refdenotaalpie"/>
          <w:rFonts w:ascii="Arial" w:hAnsi="Arial" w:cs="Arial"/>
          <w:sz w:val="18"/>
          <w:szCs w:val="18"/>
        </w:rPr>
        <w:footnoteRef/>
      </w:r>
      <w:r w:rsidRPr="000C383E">
        <w:rPr>
          <w:rFonts w:ascii="Arial" w:hAnsi="Arial" w:cs="Arial"/>
          <w:sz w:val="18"/>
          <w:szCs w:val="18"/>
        </w:rPr>
        <w:t xml:space="preserve"> </w:t>
      </w:r>
      <w:r w:rsidRPr="00DA0BEE">
        <w:rPr>
          <w:rFonts w:ascii="Arial" w:hAnsi="Arial" w:cs="Arial"/>
          <w:sz w:val="16"/>
          <w:szCs w:val="18"/>
        </w:rPr>
        <w:t>Lo distribuido es mayor a lo producido porque para cada vigencia se determinan inventarios  que se producen en la vigencia anterior y se distribuyen en la vigencia siguiente.</w:t>
      </w:r>
    </w:p>
  </w:footnote>
  <w:footnote w:id="17">
    <w:p w:rsidR="00EF5280" w:rsidRPr="00516340" w:rsidRDefault="00EF5280" w:rsidP="00BC521A">
      <w:pPr>
        <w:pStyle w:val="Textonotapie"/>
        <w:jc w:val="both"/>
        <w:rPr>
          <w:rFonts w:ascii="Arial" w:hAnsi="Arial" w:cs="Arial"/>
          <w:sz w:val="16"/>
        </w:rPr>
      </w:pPr>
      <w:r w:rsidRPr="00DA0BEE">
        <w:rPr>
          <w:rStyle w:val="Refdenotaalpie"/>
          <w:sz w:val="16"/>
        </w:rPr>
        <w:footnoteRef/>
      </w:r>
      <w:r w:rsidRPr="00DA0BEE">
        <w:rPr>
          <w:sz w:val="16"/>
        </w:rPr>
        <w:t xml:space="preserve"> </w:t>
      </w:r>
      <w:r w:rsidRPr="00516340">
        <w:rPr>
          <w:rFonts w:ascii="Arial" w:hAnsi="Arial" w:cs="Arial"/>
          <w:sz w:val="16"/>
        </w:rPr>
        <w:t>Pacto Internacional de Derechos Civiles y Políticos (1966), Pacto Internacional de Derechos Económicos, Sociales y Culturales (1966), Convención Interamericana de Derechos Humanos, el Pacto de San José (1969), la Convención sobre los Derechos del Niño (1989), Convención de los Derechos de las Personas con Discapacidad (2006).</w:t>
      </w:r>
    </w:p>
  </w:footnote>
  <w:footnote w:id="18">
    <w:p w:rsidR="00EF5280" w:rsidRPr="00516340" w:rsidRDefault="00EF5280" w:rsidP="00BC521A">
      <w:pPr>
        <w:pStyle w:val="Textonotapie"/>
        <w:rPr>
          <w:rFonts w:ascii="Arial" w:hAnsi="Arial" w:cs="Arial"/>
          <w:sz w:val="16"/>
        </w:rPr>
      </w:pPr>
      <w:r w:rsidRPr="00516340">
        <w:rPr>
          <w:rStyle w:val="Refdenotaalpie"/>
          <w:rFonts w:ascii="Arial" w:hAnsi="Arial" w:cs="Arial"/>
          <w:sz w:val="16"/>
        </w:rPr>
        <w:footnoteRef/>
      </w:r>
      <w:r w:rsidRPr="00516340">
        <w:rPr>
          <w:rFonts w:ascii="Arial" w:hAnsi="Arial" w:cs="Arial"/>
          <w:sz w:val="16"/>
        </w:rPr>
        <w:t xml:space="preserve"> Convenio de La Haya sobre los Aspectos Civiles de la Sustracción Internacional de Menores, la Convención Interamericana sobre Restitución Internacional de Menores, La Convención Sobre la Obtención de Alimentos en el Extranjero suscrito en New York el 20 de Junio de 1956, aprobada mediante la Ley 471 de 1.998;  la Convención  Interamericana Sobre Obligaciones  Alimentarias, aprobada mediante la Ley 449 de1998; y la Convención de Viena sobre Relaciones Consulares aprobada mediante la Ley 17 de 1971.</w:t>
      </w:r>
    </w:p>
  </w:footnote>
  <w:footnote w:id="19">
    <w:p w:rsidR="00EF5280" w:rsidRPr="00516340" w:rsidRDefault="00EF5280" w:rsidP="00BC521A">
      <w:pPr>
        <w:pStyle w:val="Textonotapie"/>
        <w:jc w:val="both"/>
        <w:rPr>
          <w:rFonts w:ascii="Arial" w:hAnsi="Arial" w:cs="Arial"/>
          <w:sz w:val="16"/>
        </w:rPr>
      </w:pPr>
      <w:r w:rsidRPr="00516340">
        <w:rPr>
          <w:rStyle w:val="Refdenotaalpie"/>
          <w:rFonts w:ascii="Arial" w:hAnsi="Arial" w:cs="Arial"/>
          <w:sz w:val="16"/>
        </w:rPr>
        <w:footnoteRef/>
      </w:r>
      <w:r w:rsidRPr="00516340">
        <w:rPr>
          <w:rFonts w:ascii="Arial" w:hAnsi="Arial" w:cs="Arial"/>
          <w:sz w:val="16"/>
        </w:rPr>
        <w:t xml:space="preserve"> La  Declaración Universal de los Derechos Humanos (1948), la Declaración de los Derechos del Niño de (1959), el las Reglas de Naciones Unidas para la Administración de Justicia – Reglas de Beijing (1990), las Reglas de Naciones Unidas para la Prevención de la Delincuencia Juvenil – Reglas de Riad (1990), las  Reglas de Naciones Unidas sobre las Medidas no Privativas de Libertad – Reglas de Tokio (1990), las Reglas de Naciones Unidas para la Protección de Menores Privados de la Libertad – Reglas de La Habana (1990).</w:t>
      </w:r>
    </w:p>
  </w:footnote>
  <w:footnote w:id="20">
    <w:p w:rsidR="00EF5280" w:rsidRPr="00516340" w:rsidRDefault="00EF5280" w:rsidP="00BC521A">
      <w:pPr>
        <w:pStyle w:val="Textonotapie"/>
        <w:rPr>
          <w:rFonts w:ascii="Arial" w:hAnsi="Arial" w:cs="Arial"/>
          <w:sz w:val="18"/>
        </w:rPr>
      </w:pPr>
      <w:r w:rsidRPr="00516340">
        <w:rPr>
          <w:rStyle w:val="Refdenotaalpie"/>
          <w:rFonts w:ascii="Arial" w:hAnsi="Arial" w:cs="Arial"/>
          <w:sz w:val="16"/>
        </w:rPr>
        <w:footnoteRef/>
      </w:r>
      <w:r w:rsidRPr="00516340">
        <w:rPr>
          <w:rFonts w:ascii="Arial" w:hAnsi="Arial" w:cs="Arial"/>
          <w:sz w:val="16"/>
        </w:rPr>
        <w:t xml:space="preserve"> Constitución Política Colombiana y el Código de Infancia y Adolescencia, en especial el capítulo II.</w:t>
      </w:r>
    </w:p>
  </w:footnote>
  <w:footnote w:id="21">
    <w:p w:rsidR="00EF5280" w:rsidRPr="00DA0BEE" w:rsidRDefault="00EF5280" w:rsidP="00BC521A">
      <w:pPr>
        <w:pStyle w:val="Textonotapie"/>
        <w:jc w:val="both"/>
        <w:rPr>
          <w:rFonts w:ascii="Arial" w:hAnsi="Arial" w:cs="Arial"/>
          <w:sz w:val="16"/>
          <w:szCs w:val="18"/>
        </w:rPr>
      </w:pPr>
      <w:r w:rsidRPr="00DA0BEE">
        <w:rPr>
          <w:rStyle w:val="Refdenotaalpie"/>
          <w:rFonts w:ascii="Arial" w:hAnsi="Arial" w:cs="Arial"/>
          <w:sz w:val="16"/>
          <w:szCs w:val="18"/>
        </w:rPr>
        <w:footnoteRef/>
      </w:r>
      <w:r w:rsidRPr="00DA0BEE">
        <w:rPr>
          <w:rFonts w:ascii="Arial" w:hAnsi="Arial" w:cs="Arial"/>
          <w:sz w:val="16"/>
          <w:szCs w:val="18"/>
        </w:rPr>
        <w:t xml:space="preserve"> </w:t>
      </w:r>
      <w:r w:rsidRPr="00DA0BEE">
        <w:rPr>
          <w:rFonts w:ascii="Arial" w:hAnsi="Arial" w:cs="Arial"/>
          <w:spacing w:val="-4"/>
          <w:sz w:val="16"/>
          <w:szCs w:val="18"/>
        </w:rPr>
        <w:t>Es necesario aclarar que un mismo funcionario o colaborador posiblemente asiste varias veces a un evento.</w:t>
      </w:r>
    </w:p>
  </w:footnote>
  <w:footnote w:id="22">
    <w:p w:rsidR="00EF5280" w:rsidRPr="00B70D99" w:rsidRDefault="00EF5280" w:rsidP="00BC521A">
      <w:pPr>
        <w:pStyle w:val="Textonotapie"/>
        <w:jc w:val="both"/>
        <w:rPr>
          <w:rFonts w:ascii="Arial" w:hAnsi="Arial" w:cs="Arial"/>
          <w:sz w:val="16"/>
          <w:szCs w:val="16"/>
        </w:rPr>
      </w:pPr>
      <w:r w:rsidRPr="002C3521">
        <w:rPr>
          <w:rStyle w:val="Refdenotaalpie"/>
          <w:rFonts w:ascii="Arial" w:hAnsi="Arial" w:cs="Arial"/>
          <w:sz w:val="18"/>
          <w:szCs w:val="18"/>
        </w:rPr>
        <w:footnoteRef/>
      </w:r>
      <w:r w:rsidRPr="002C3521">
        <w:rPr>
          <w:rFonts w:ascii="Arial" w:hAnsi="Arial" w:cs="Arial"/>
          <w:sz w:val="18"/>
          <w:szCs w:val="18"/>
        </w:rPr>
        <w:t xml:space="preserve"> </w:t>
      </w:r>
      <w:r w:rsidRPr="00B70D99">
        <w:rPr>
          <w:rFonts w:ascii="Arial" w:hAnsi="Arial" w:cs="Arial"/>
          <w:sz w:val="16"/>
          <w:szCs w:val="16"/>
        </w:rPr>
        <w:t>Metas Sociales y Financieras-ICBF</w:t>
      </w:r>
    </w:p>
  </w:footnote>
  <w:footnote w:id="23">
    <w:p w:rsidR="00EF5280" w:rsidRPr="00B70D99" w:rsidRDefault="00EF5280" w:rsidP="00BC521A">
      <w:pPr>
        <w:pStyle w:val="Textonotapie"/>
        <w:jc w:val="both"/>
        <w:rPr>
          <w:rFonts w:ascii="Arial" w:hAnsi="Arial" w:cs="Arial"/>
          <w:sz w:val="16"/>
          <w:szCs w:val="16"/>
        </w:rPr>
      </w:pPr>
      <w:r w:rsidRPr="00B70D99">
        <w:rPr>
          <w:rStyle w:val="Refdenotaalpie"/>
          <w:rFonts w:ascii="Arial" w:hAnsi="Arial" w:cs="Arial"/>
          <w:sz w:val="16"/>
          <w:szCs w:val="16"/>
        </w:rPr>
        <w:footnoteRef/>
      </w:r>
      <w:r w:rsidRPr="00B70D99">
        <w:rPr>
          <w:rFonts w:ascii="Arial" w:hAnsi="Arial" w:cs="Arial"/>
          <w:sz w:val="16"/>
          <w:szCs w:val="16"/>
        </w:rPr>
        <w:t xml:space="preserve"> Para el caso de esta modalidad atención se discrimina por sesiones atendidas. </w:t>
      </w:r>
    </w:p>
  </w:footnote>
  <w:footnote w:id="24">
    <w:p w:rsidR="00EF5280" w:rsidRPr="00872A46" w:rsidRDefault="00EF5280" w:rsidP="007E1A7A">
      <w:pPr>
        <w:spacing w:after="0" w:line="240" w:lineRule="auto"/>
        <w:rPr>
          <w:rFonts w:ascii="Calibri" w:eastAsia="Times New Roman" w:hAnsi="Calibri"/>
          <w:color w:val="000000"/>
          <w:sz w:val="12"/>
          <w:szCs w:val="18"/>
          <w:lang w:val="es-CO" w:eastAsia="es-CO"/>
        </w:rPr>
      </w:pPr>
      <w:r>
        <w:rPr>
          <w:rStyle w:val="Refdenotaalpie"/>
        </w:rPr>
        <w:footnoteRef/>
      </w:r>
      <w:r>
        <w:t xml:space="preserve"> </w:t>
      </w:r>
      <w:r w:rsidRPr="00872A46">
        <w:rPr>
          <w:rFonts w:cs="Arial"/>
          <w:iCs/>
          <w:sz w:val="16"/>
        </w:rPr>
        <w:t>Este valor corresponde al disponible en la Base SIM Municipal – Corte Preliminar Diciembre, publicada en la Intranet por la Subdirección de Programación de la Dirección de Planeación. Se actualiza periódicamente por las Sedes Regionales y en la fecha de corte referida, muestra esta cifra de forma oficial.</w:t>
      </w:r>
    </w:p>
    <w:p w:rsidR="00EF5280" w:rsidRDefault="00EF5280">
      <w:pPr>
        <w:pStyle w:val="Textonotapie"/>
      </w:pPr>
    </w:p>
  </w:footnote>
  <w:footnote w:id="25">
    <w:p w:rsidR="00EF5280" w:rsidRPr="002C3521" w:rsidRDefault="00EF5280" w:rsidP="00BC521A">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Corte a Diciembre 2016.</w:t>
      </w:r>
    </w:p>
  </w:footnote>
  <w:footnote w:id="26">
    <w:p w:rsidR="00EF5280" w:rsidRPr="00B70D99" w:rsidRDefault="00EF5280" w:rsidP="00BC521A">
      <w:pPr>
        <w:pStyle w:val="Textonotapie"/>
        <w:jc w:val="both"/>
        <w:rPr>
          <w:rFonts w:ascii="Arial" w:hAnsi="Arial" w:cs="Arial"/>
          <w:sz w:val="16"/>
          <w:szCs w:val="18"/>
        </w:rPr>
      </w:pPr>
      <w:r w:rsidRPr="002C3521">
        <w:rPr>
          <w:rStyle w:val="Refdenotaalpie"/>
          <w:rFonts w:ascii="Arial" w:hAnsi="Arial" w:cs="Arial"/>
          <w:sz w:val="18"/>
          <w:szCs w:val="18"/>
        </w:rPr>
        <w:footnoteRef/>
      </w:r>
      <w:r w:rsidRPr="002C3521">
        <w:rPr>
          <w:rFonts w:ascii="Arial" w:hAnsi="Arial" w:cs="Arial"/>
          <w:sz w:val="18"/>
          <w:szCs w:val="18"/>
        </w:rPr>
        <w:t xml:space="preserve"> </w:t>
      </w:r>
      <w:r w:rsidRPr="00B70D99">
        <w:rPr>
          <w:rFonts w:ascii="Arial" w:hAnsi="Arial" w:cs="Arial"/>
          <w:sz w:val="16"/>
          <w:szCs w:val="18"/>
        </w:rPr>
        <w:t>Metas Sociales y Financieras-ICBF.</w:t>
      </w:r>
    </w:p>
  </w:footnote>
  <w:footnote w:id="27">
    <w:p w:rsidR="00EF5280" w:rsidRPr="00D808AA" w:rsidRDefault="00EF5280" w:rsidP="00D808AA">
      <w:pPr>
        <w:spacing w:after="0" w:line="240" w:lineRule="auto"/>
        <w:jc w:val="both"/>
        <w:rPr>
          <w:rFonts w:cs="Arial"/>
          <w:iCs/>
          <w:sz w:val="16"/>
        </w:rPr>
      </w:pPr>
      <w:r w:rsidRPr="00D808AA">
        <w:rPr>
          <w:rStyle w:val="Refdenotaalpie"/>
          <w:sz w:val="20"/>
        </w:rPr>
        <w:footnoteRef/>
      </w:r>
      <w:r w:rsidRPr="00D808AA">
        <w:rPr>
          <w:sz w:val="20"/>
        </w:rPr>
        <w:t xml:space="preserve"> </w:t>
      </w:r>
      <w:r w:rsidRPr="00D808AA">
        <w:rPr>
          <w:rFonts w:cs="Arial"/>
          <w:iCs/>
          <w:sz w:val="16"/>
        </w:rPr>
        <w:t>Este valor corresponde al disponible en la Base SIM Municipal – Corte Preliminar Diciembre, publicada en la Intranet por la Subdirección de Programación de la Dirección de Planeación. Se actualiza periódicamente por las Sedes Regionales y en la fecha de corte referida, muestra esta cifra de forma oficial.</w:t>
      </w:r>
    </w:p>
    <w:p w:rsidR="00EF5280" w:rsidRPr="00D808AA" w:rsidRDefault="00EF5280" w:rsidP="00D808AA">
      <w:pPr>
        <w:spacing w:after="0" w:line="240" w:lineRule="auto"/>
        <w:jc w:val="both"/>
        <w:rPr>
          <w:rFonts w:cs="Arial"/>
        </w:rPr>
      </w:pPr>
    </w:p>
    <w:p w:rsidR="00EF5280" w:rsidRDefault="00EF5280">
      <w:pPr>
        <w:pStyle w:val="Textonotapie"/>
      </w:pPr>
    </w:p>
  </w:footnote>
  <w:footnote w:id="28">
    <w:p w:rsidR="00EF5280" w:rsidRPr="00B70D99" w:rsidRDefault="00EF5280" w:rsidP="00BC521A">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Metas Sociales y Financieras-ICBF.</w:t>
      </w:r>
    </w:p>
  </w:footnote>
  <w:footnote w:id="29">
    <w:p w:rsidR="00EF5280" w:rsidRPr="002C3521" w:rsidRDefault="00EF5280" w:rsidP="00BC521A">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Convenio 1412 OIM-ICBF del julio 26 de 2016.</w:t>
      </w:r>
    </w:p>
  </w:footnote>
  <w:footnote w:id="30">
    <w:p w:rsidR="00EF5280" w:rsidRPr="00B70D99" w:rsidRDefault="00EF5280" w:rsidP="00BC521A">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Resolución No. 9313 del 12 de septiembre de 2016</w:t>
      </w:r>
    </w:p>
  </w:footnote>
  <w:footnote w:id="31">
    <w:p w:rsidR="00EF5280" w:rsidRPr="00B70D99" w:rsidRDefault="00EF5280" w:rsidP="00BC521A">
      <w:pPr>
        <w:pStyle w:val="Textonotapie"/>
        <w:jc w:val="both"/>
        <w:rPr>
          <w:rFonts w:ascii="Arial" w:hAnsi="Arial" w:cs="Arial"/>
          <w:sz w:val="16"/>
          <w:szCs w:val="18"/>
        </w:rPr>
      </w:pPr>
      <w:r w:rsidRPr="00B70D99">
        <w:rPr>
          <w:rStyle w:val="Refdenotaalpie"/>
          <w:rFonts w:ascii="Arial" w:hAnsi="Arial" w:cs="Arial"/>
          <w:sz w:val="16"/>
          <w:szCs w:val="18"/>
        </w:rPr>
        <w:footnoteRef/>
      </w:r>
      <w:r w:rsidRPr="00B70D99">
        <w:rPr>
          <w:rFonts w:ascii="Arial" w:hAnsi="Arial" w:cs="Arial"/>
          <w:sz w:val="16"/>
          <w:szCs w:val="18"/>
        </w:rPr>
        <w:t xml:space="preserve"> Metas Sociales y Financieras - ICBF</w:t>
      </w:r>
    </w:p>
  </w:footnote>
  <w:footnote w:id="32">
    <w:p w:rsidR="00EF5280" w:rsidRPr="00D808AA" w:rsidRDefault="00EF5280" w:rsidP="00D808AA">
      <w:pPr>
        <w:autoSpaceDE w:val="0"/>
        <w:autoSpaceDN w:val="0"/>
        <w:adjustRightInd w:val="0"/>
        <w:spacing w:after="0" w:line="240" w:lineRule="auto"/>
        <w:jc w:val="both"/>
        <w:rPr>
          <w:rFonts w:cs="Arial"/>
          <w:iCs/>
          <w:sz w:val="16"/>
        </w:rPr>
      </w:pPr>
      <w:r w:rsidRPr="00D808AA">
        <w:rPr>
          <w:rStyle w:val="Refdenotaalpie"/>
          <w:sz w:val="20"/>
        </w:rPr>
        <w:footnoteRef/>
      </w:r>
      <w:r w:rsidRPr="00D808AA">
        <w:rPr>
          <w:sz w:val="20"/>
        </w:rPr>
        <w:t xml:space="preserve"> </w:t>
      </w:r>
      <w:r w:rsidRPr="00D808AA">
        <w:rPr>
          <w:rFonts w:cs="Arial"/>
          <w:iCs/>
          <w:sz w:val="16"/>
        </w:rPr>
        <w:t>*Este valor corresponde al disponible en la Base SIM Municipal – Corte Preliminar Diciembre, publicada en la Intranet por la Subdirección de Programación de la Dirección de Planeación. Se actualiza periódicamente por las Sedes Regionales y en la fecha de corte referida, muestra esta cifra de forma oficial.</w:t>
      </w:r>
    </w:p>
    <w:p w:rsidR="00EF5280" w:rsidRDefault="00EF5280">
      <w:pPr>
        <w:pStyle w:val="Textonotapie"/>
      </w:pPr>
    </w:p>
  </w:footnote>
  <w:footnote w:id="33">
    <w:p w:rsidR="00EF5280" w:rsidRPr="002C3521" w:rsidRDefault="00EF5280" w:rsidP="002E55CD">
      <w:pPr>
        <w:pStyle w:val="Textonotapie"/>
        <w:jc w:val="both"/>
        <w:rPr>
          <w:rFonts w:ascii="Arial" w:hAnsi="Arial" w:cs="Arial"/>
          <w:sz w:val="18"/>
          <w:szCs w:val="18"/>
        </w:rPr>
      </w:pPr>
      <w:r w:rsidRPr="00B70D99">
        <w:rPr>
          <w:rStyle w:val="Refdenotaalpie"/>
          <w:rFonts w:ascii="Arial" w:hAnsi="Arial" w:cs="Arial"/>
          <w:sz w:val="16"/>
          <w:szCs w:val="18"/>
        </w:rPr>
        <w:footnoteRef/>
      </w:r>
      <w:r w:rsidRPr="00B70D99">
        <w:rPr>
          <w:rFonts w:ascii="Arial" w:hAnsi="Arial" w:cs="Arial"/>
          <w:sz w:val="16"/>
          <w:szCs w:val="18"/>
        </w:rPr>
        <w:t xml:space="preserve"> Cifra PARD Trabajo Infantil octubre 2016.</w:t>
      </w:r>
    </w:p>
  </w:footnote>
  <w:footnote w:id="34">
    <w:p w:rsidR="00EF5280" w:rsidRPr="002C3521" w:rsidRDefault="00EF5280" w:rsidP="00BC521A">
      <w:pPr>
        <w:pStyle w:val="Textonotapie"/>
        <w:jc w:val="both"/>
        <w:rPr>
          <w:rFonts w:ascii="Arial" w:hAnsi="Arial" w:cs="Arial"/>
          <w:sz w:val="18"/>
          <w:szCs w:val="18"/>
        </w:rPr>
      </w:pPr>
      <w:r w:rsidRPr="002C3521">
        <w:rPr>
          <w:rStyle w:val="Refdenotaalpie"/>
          <w:rFonts w:ascii="Arial" w:hAnsi="Arial" w:cs="Arial"/>
          <w:sz w:val="18"/>
          <w:szCs w:val="18"/>
        </w:rPr>
        <w:footnoteRef/>
      </w:r>
      <w:r w:rsidRPr="002C3521">
        <w:rPr>
          <w:rFonts w:ascii="Arial" w:hAnsi="Arial" w:cs="Arial"/>
          <w:sz w:val="18"/>
          <w:szCs w:val="18"/>
        </w:rPr>
        <w:t xml:space="preserve"> Quienes tienen la calidad de Defensor de Familia. </w:t>
      </w:r>
    </w:p>
  </w:footnote>
  <w:footnote w:id="35">
    <w:p w:rsidR="00EF5280" w:rsidRPr="002C3521" w:rsidRDefault="00EF5280" w:rsidP="00BC521A">
      <w:pPr>
        <w:pStyle w:val="Textonotapie"/>
        <w:jc w:val="both"/>
        <w:rPr>
          <w:rFonts w:ascii="Arial" w:hAnsi="Arial" w:cs="Arial"/>
          <w:sz w:val="18"/>
          <w:szCs w:val="18"/>
        </w:rPr>
      </w:pPr>
      <w:r w:rsidRPr="00764ECE">
        <w:rPr>
          <w:rStyle w:val="Refdenotaalpie"/>
          <w:rFonts w:ascii="Arial" w:hAnsi="Arial" w:cs="Arial"/>
          <w:sz w:val="16"/>
          <w:szCs w:val="18"/>
        </w:rPr>
        <w:footnoteRef/>
      </w:r>
      <w:r w:rsidRPr="00764ECE">
        <w:rPr>
          <w:rFonts w:ascii="Arial" w:hAnsi="Arial" w:cs="Arial"/>
          <w:sz w:val="16"/>
          <w:szCs w:val="18"/>
        </w:rPr>
        <w:t xml:space="preserve"> </w:t>
      </w:r>
      <w:r w:rsidRPr="00006807">
        <w:rPr>
          <w:rFonts w:ascii="Arial" w:hAnsi="Arial" w:cs="Arial"/>
          <w:sz w:val="16"/>
          <w:szCs w:val="18"/>
        </w:rPr>
        <w:t>Corte 20 octubre 2016.</w:t>
      </w:r>
    </w:p>
  </w:footnote>
  <w:footnote w:id="36">
    <w:p w:rsidR="00EF5280" w:rsidRPr="000B18BB" w:rsidRDefault="00EF5280" w:rsidP="00622F24">
      <w:pPr>
        <w:pStyle w:val="Textonotapie"/>
        <w:rPr>
          <w:rFonts w:ascii="Arial" w:hAnsi="Arial" w:cs="Arial"/>
          <w:sz w:val="16"/>
        </w:rPr>
      </w:pPr>
      <w:r w:rsidRPr="009B1C7D">
        <w:rPr>
          <w:rStyle w:val="Refdenotaalpie"/>
          <w:rFonts w:ascii="Arial" w:hAnsi="Arial" w:cs="Arial"/>
          <w:sz w:val="18"/>
        </w:rPr>
        <w:footnoteRef/>
      </w:r>
      <w:r w:rsidRPr="009B1C7D">
        <w:rPr>
          <w:rFonts w:ascii="Arial" w:hAnsi="Arial" w:cs="Arial"/>
          <w:sz w:val="18"/>
        </w:rPr>
        <w:t xml:space="preserve"> </w:t>
      </w:r>
      <w:r w:rsidRPr="000B18BB">
        <w:rPr>
          <w:rFonts w:ascii="Arial" w:hAnsi="Arial" w:cs="Arial"/>
          <w:iCs/>
          <w:sz w:val="16"/>
          <w:lang w:val="es-MX"/>
        </w:rPr>
        <w:t>Si bien la meta SINERGIA para reportar a Plan Nacional de Desarrollo son 220 entidades territoriales, se logró el acompañamiento a 263 entidades territoriales, es decir 43 adicionales</w:t>
      </w:r>
    </w:p>
  </w:footnote>
  <w:footnote w:id="37">
    <w:p w:rsidR="00EF5280" w:rsidRPr="005A341D" w:rsidRDefault="00EF5280" w:rsidP="00E273F4">
      <w:pPr>
        <w:pStyle w:val="Textonotapie"/>
        <w:rPr>
          <w:rFonts w:ascii="Arial" w:hAnsi="Arial" w:cs="Arial"/>
          <w:sz w:val="18"/>
          <w:szCs w:val="18"/>
        </w:rPr>
      </w:pPr>
      <w:r w:rsidRPr="005A341D">
        <w:rPr>
          <w:rStyle w:val="Refdenotaalpie"/>
          <w:rFonts w:ascii="Arial" w:hAnsi="Arial" w:cs="Arial"/>
          <w:sz w:val="18"/>
          <w:szCs w:val="18"/>
        </w:rPr>
        <w:footnoteRef/>
      </w:r>
      <w:r w:rsidRPr="005A341D">
        <w:rPr>
          <w:rFonts w:ascii="Arial" w:hAnsi="Arial" w:cs="Arial"/>
          <w:sz w:val="18"/>
          <w:szCs w:val="18"/>
        </w:rPr>
        <w:t xml:space="preserve"> Incluyen recursos de apalancamiento 2015.</w:t>
      </w:r>
    </w:p>
  </w:footnote>
  <w:footnote w:id="38">
    <w:p w:rsidR="00EF5280" w:rsidRPr="00D50D3A" w:rsidRDefault="00EF5280" w:rsidP="00D50D3A">
      <w:pPr>
        <w:pStyle w:val="Textonotapie"/>
        <w:jc w:val="both"/>
        <w:rPr>
          <w:rFonts w:ascii="Arial" w:hAnsi="Arial" w:cs="Arial"/>
          <w:sz w:val="14"/>
          <w:szCs w:val="14"/>
        </w:rPr>
      </w:pPr>
      <w:r w:rsidRPr="00D50D3A">
        <w:rPr>
          <w:rStyle w:val="Refdenotaalpie"/>
          <w:rFonts w:ascii="Arial" w:eastAsiaTheme="majorEastAsia" w:hAnsi="Arial" w:cs="Arial"/>
          <w:sz w:val="22"/>
          <w:szCs w:val="18"/>
        </w:rPr>
        <w:footnoteRef/>
      </w:r>
      <w:r w:rsidRPr="00D50D3A">
        <w:rPr>
          <w:rFonts w:ascii="Arial" w:hAnsi="Arial" w:cs="Arial"/>
          <w:sz w:val="22"/>
          <w:szCs w:val="18"/>
        </w:rPr>
        <w:t xml:space="preserve"> </w:t>
      </w:r>
      <w:r w:rsidRPr="00D50D3A">
        <w:rPr>
          <w:rFonts w:ascii="Arial" w:hAnsi="Arial" w:cs="Arial"/>
          <w:sz w:val="14"/>
          <w:szCs w:val="14"/>
        </w:rPr>
        <w:t>El porcentaje de avance está relacionado con la articulación y socialización de la ruta “Trámite Administrativo para el Restablecimiento de los Derechos de los niños, niñas y adolescentes pertenecientes a comunidades indígenas” con Resolución actualizada Nº 1526 de 23 de febrero de 2016 y en la focalización de dos experiencias para la prevención y atención de la violencia sexual, así como de 4 experiencias para la generación de propuestas de atención propias para los niños, niñas y adolescentes indígenas desvinculados. Sin embargo, falta por responder a 3 solicitudes de los pueblos (Uwa, Kokonuco, Wounnan) y de los 17 departamentos restantes donde se encuentra el pueblo Emberá, en relación con desarrollar experiencias para la prevención y atención de la violencia sexual, en el marco de la estrategia intercultural para la prevención y atención de la violencia sexual en niños, niñas, adolescentes y mujeres indígenas. Asimismo, falta por desarrollar experiencias de generación de propuestas de atención propias</w:t>
      </w:r>
      <w:r w:rsidRPr="00D50D3A">
        <w:rPr>
          <w:rFonts w:ascii="Arial" w:hAnsi="Arial" w:cs="Arial"/>
          <w:sz w:val="16"/>
          <w:szCs w:val="16"/>
        </w:rPr>
        <w:t xml:space="preserve"> para los niños, </w:t>
      </w:r>
      <w:r w:rsidRPr="00D50D3A">
        <w:rPr>
          <w:rFonts w:ascii="Arial" w:hAnsi="Arial" w:cs="Arial"/>
          <w:sz w:val="14"/>
          <w:szCs w:val="14"/>
        </w:rPr>
        <w:t>niñas y adolescentes indígenas desvinculados, en los otros 17 departamentos restantes del pueblo Emberá, así como con el pueblo Wounnan que se encuentra en el departamento del Chocó y ampliación del proceso con el pueblo Awá. Falta por avanzar en la</w:t>
      </w:r>
      <w:r w:rsidRPr="00D50D3A">
        <w:rPr>
          <w:rFonts w:ascii="Arial" w:hAnsi="Arial" w:cs="Arial"/>
          <w:sz w:val="16"/>
          <w:szCs w:val="16"/>
        </w:rPr>
        <w:t xml:space="preserve"> </w:t>
      </w:r>
      <w:r w:rsidRPr="00D50D3A">
        <w:rPr>
          <w:rFonts w:ascii="Arial" w:hAnsi="Arial" w:cs="Arial"/>
          <w:sz w:val="14"/>
          <w:szCs w:val="14"/>
        </w:rPr>
        <w:t>propuesta de articulación para el</w:t>
      </w:r>
      <w:r w:rsidRPr="00D50D3A">
        <w:rPr>
          <w:rFonts w:ascii="Arial" w:hAnsi="Arial" w:cs="Arial"/>
          <w:sz w:val="16"/>
          <w:szCs w:val="16"/>
        </w:rPr>
        <w:t xml:space="preserve"> </w:t>
      </w:r>
      <w:r w:rsidRPr="00D50D3A">
        <w:rPr>
          <w:rFonts w:ascii="Arial" w:hAnsi="Arial" w:cs="Arial"/>
          <w:sz w:val="14"/>
          <w:szCs w:val="14"/>
        </w:rPr>
        <w:t xml:space="preserve">restablecimiento de derechos de los niños, niñas y adolescentes indígenas Emberá que se encuentran en condición de discapacidad. La mayoría de pueblos indígenas han solicitado la generación de modalidades propias para la protección de los niños, niñas y adolescentes, cuando sus derechos están vulnerados y la generación de hogares sustitutos en la mayoría de comunidades. Frente a estas solicitudes no se ha podido avanzar.  </w:t>
      </w:r>
    </w:p>
  </w:footnote>
  <w:footnote w:id="39">
    <w:p w:rsidR="00EF5280" w:rsidRPr="00E07128" w:rsidRDefault="00EF5280" w:rsidP="00E50049">
      <w:pPr>
        <w:pStyle w:val="Textonotapie"/>
        <w:jc w:val="both"/>
        <w:rPr>
          <w:rFonts w:ascii="Arial" w:hAnsi="Arial" w:cs="Arial"/>
          <w:sz w:val="16"/>
          <w:szCs w:val="16"/>
        </w:rPr>
      </w:pPr>
      <w:r w:rsidRPr="00E07128">
        <w:rPr>
          <w:rStyle w:val="Refdenotaalpie"/>
          <w:rFonts w:ascii="Arial" w:hAnsi="Arial" w:cs="Arial"/>
          <w:sz w:val="16"/>
          <w:szCs w:val="16"/>
        </w:rPr>
        <w:footnoteRef/>
      </w:r>
      <w:r w:rsidRPr="00E07128">
        <w:rPr>
          <w:rFonts w:ascii="Arial" w:hAnsi="Arial" w:cs="Arial"/>
          <w:sz w:val="16"/>
          <w:szCs w:val="16"/>
        </w:rPr>
        <w:t xml:space="preserve"> Esta actividad se enmarca en la facultad de Inspección, Vigilancia y Control otorgada por el artículo 16 de la Ley 1098 de 2006.</w:t>
      </w:r>
    </w:p>
  </w:footnote>
  <w:footnote w:id="40">
    <w:p w:rsidR="00EF5280" w:rsidRDefault="00EF5280" w:rsidP="00D35939">
      <w:pPr>
        <w:pStyle w:val="Textonotapie"/>
      </w:pPr>
      <w:r>
        <w:rPr>
          <w:rStyle w:val="Refdenotaalpie"/>
        </w:rPr>
        <w:footnoteRef/>
      </w:r>
      <w:r>
        <w:t xml:space="preserve"> </w:t>
      </w:r>
      <w:r w:rsidRPr="00D5174A">
        <w:rPr>
          <w:sz w:val="16"/>
          <w:szCs w:val="16"/>
        </w:rPr>
        <w:t>Procedimiento</w:t>
      </w:r>
      <w:r w:rsidRPr="00D5174A">
        <w:t xml:space="preserve"> </w:t>
      </w:r>
      <w:r w:rsidRPr="00D5174A">
        <w:rPr>
          <w:sz w:val="16"/>
          <w:szCs w:val="16"/>
        </w:rPr>
        <w:t>de Actualización de Información del Portafolio Web:</w:t>
      </w:r>
      <w:r>
        <w:t xml:space="preserve"> </w:t>
      </w:r>
      <w:hyperlink r:id="rId1" w:history="1">
        <w:r w:rsidRPr="003A7924">
          <w:rPr>
            <w:rStyle w:val="Hipervnculo"/>
            <w:sz w:val="16"/>
          </w:rPr>
          <w:t>http://www.icbf.gov.co/portal/page/portal/PortalICBF/procesos/estrategico/comunicacion-estrategica/P6.CE%20Procedimiento%20Actualizaci%C3%B3n%20Portafolio%20Web%20ICBF%20v1.pdf</w:t>
        </w:r>
      </w:hyperlink>
      <w:r>
        <w:rPr>
          <w:sz w:val="16"/>
        </w:rPr>
        <w:t xml:space="preserve"> </w:t>
      </w:r>
    </w:p>
  </w:footnote>
  <w:footnote w:id="41">
    <w:p w:rsidR="00EF5280" w:rsidRDefault="00EF5280" w:rsidP="00D35939">
      <w:pPr>
        <w:pStyle w:val="Textonotapie"/>
      </w:pPr>
      <w:r>
        <w:rPr>
          <w:rStyle w:val="Refdenotaalpie"/>
        </w:rPr>
        <w:footnoteRef/>
      </w:r>
      <w:r>
        <w:t xml:space="preserve"> </w:t>
      </w:r>
      <w:r w:rsidRPr="00D5174A">
        <w:rPr>
          <w:sz w:val="16"/>
          <w:szCs w:val="16"/>
        </w:rPr>
        <w:t>Guía para la gestión de contenidos en el Portafolio Web del ICBF</w:t>
      </w:r>
      <w:r>
        <w:rPr>
          <w:sz w:val="16"/>
          <w:szCs w:val="16"/>
        </w:rPr>
        <w:t xml:space="preserve">: </w:t>
      </w:r>
      <w:hyperlink r:id="rId2" w:history="1">
        <w:r w:rsidRPr="003A7924">
          <w:rPr>
            <w:rStyle w:val="Hipervnculo"/>
            <w:sz w:val="16"/>
            <w:szCs w:val="16"/>
          </w:rPr>
          <w:t>http://www.icbf.gov.co/portal/page/portal/PortalICBF/LeyTransparencia/Gu%C3%ADa_para_la_gestion_de_contenidos_en_portafolio%20web_ICBF.pdf</w:t>
        </w:r>
      </w:hyperlink>
      <w:r>
        <w:rPr>
          <w:sz w:val="16"/>
          <w:szCs w:val="16"/>
        </w:rPr>
        <w:t xml:space="preserve"> </w:t>
      </w:r>
    </w:p>
  </w:footnote>
  <w:footnote w:id="42">
    <w:p w:rsidR="00EF5280" w:rsidRPr="00E07128" w:rsidRDefault="00EF5280" w:rsidP="00212EB6">
      <w:pPr>
        <w:pStyle w:val="Textonotapie"/>
        <w:jc w:val="both"/>
        <w:rPr>
          <w:rFonts w:ascii="Arial" w:hAnsi="Arial" w:cs="Arial"/>
          <w:sz w:val="18"/>
        </w:rPr>
      </w:pPr>
      <w:r w:rsidRPr="00E5144B">
        <w:rPr>
          <w:rStyle w:val="Refdenotaalpie"/>
          <w:rFonts w:ascii="Arial" w:hAnsi="Arial" w:cs="Arial"/>
          <w:sz w:val="18"/>
        </w:rPr>
        <w:footnoteRef/>
      </w:r>
      <w:r w:rsidRPr="00E5144B">
        <w:rPr>
          <w:rFonts w:ascii="Arial" w:hAnsi="Arial" w:cs="Arial"/>
          <w:sz w:val="18"/>
        </w:rPr>
        <w:t xml:space="preserve"> </w:t>
      </w:r>
      <w:r w:rsidRPr="00E07128">
        <w:rPr>
          <w:rFonts w:ascii="Arial" w:hAnsi="Arial" w:cs="Arial"/>
          <w:sz w:val="16"/>
        </w:rPr>
        <w:t>El plan de incentivos está incluido dentro del Plan de Bienestar, pero se adoptan mediante resoluciones individuales.</w:t>
      </w:r>
    </w:p>
  </w:footnote>
  <w:footnote w:id="43">
    <w:p w:rsidR="00EF5280" w:rsidRPr="00E07128" w:rsidRDefault="00EF5280" w:rsidP="00212EB6">
      <w:pPr>
        <w:pStyle w:val="Textonotapie"/>
        <w:jc w:val="both"/>
        <w:rPr>
          <w:rFonts w:ascii="Arial" w:hAnsi="Arial" w:cs="Arial"/>
          <w:sz w:val="16"/>
          <w:szCs w:val="18"/>
        </w:rPr>
      </w:pPr>
      <w:r w:rsidRPr="00E07128">
        <w:rPr>
          <w:rStyle w:val="Refdenotaalpie"/>
          <w:rFonts w:ascii="Arial" w:hAnsi="Arial" w:cs="Arial"/>
          <w:sz w:val="16"/>
          <w:szCs w:val="18"/>
        </w:rPr>
        <w:footnoteRef/>
      </w:r>
      <w:r w:rsidRPr="00E07128">
        <w:rPr>
          <w:rFonts w:ascii="Arial" w:hAnsi="Arial" w:cs="Arial"/>
          <w:sz w:val="16"/>
          <w:szCs w:val="18"/>
        </w:rPr>
        <w:t xml:space="preserve"> Esta actividad se fundamenta en el Acuerdo 031 de 1975, aclarado por el Acuerdo 039 de 1984, con el que se crea el auxilio escolar para los hijos e hijas de las y los servidores públicos del ICBF. Además, se encuentra  reglamentado por las Resoluciones 515 de 2005 y 0568 de 2006, las cuales fueron ajustadas en lo correspondiente al Apoyo Escolar con la Resolución 2398 de 2015, con lo que se amplía este  beneficio para las personas en Planta Temporal; custodios e hijos e hijas con discapacidad.</w:t>
      </w:r>
    </w:p>
  </w:footnote>
  <w:footnote w:id="44">
    <w:p w:rsidR="00EF5280" w:rsidRPr="00E07128" w:rsidRDefault="00EF5280" w:rsidP="00212EB6">
      <w:pPr>
        <w:pStyle w:val="Textonotapie"/>
        <w:rPr>
          <w:sz w:val="16"/>
        </w:rPr>
      </w:pPr>
      <w:r w:rsidRPr="00E07128">
        <w:rPr>
          <w:rStyle w:val="Refdenotaalpie"/>
          <w:sz w:val="16"/>
        </w:rPr>
        <w:footnoteRef/>
      </w:r>
      <w:r w:rsidRPr="00E07128">
        <w:rPr>
          <w:sz w:val="16"/>
        </w:rPr>
        <w:t xml:space="preserve"> Ver Plan de Bienestar e Incentivos en este documento: pág. 213.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280" w:rsidRDefault="009A3CC4">
    <w:pPr>
      <w:pStyle w:val="Encabezado"/>
    </w:pPr>
    <w:r>
      <w:rPr>
        <w:noProof/>
        <w:lang w:val="es-CO" w:eastAsia="es-CO"/>
      </w:rPr>
      <w:pict w14:anchorId="7DD47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58.35pt;height:593.2pt;z-index:-251636736;mso-position-horizontal:center;mso-position-horizontal-relative:margin;mso-position-vertical:center;mso-position-vertical-relative:margin" o:allowincell="f">
          <v:imagedata r:id="rId1" o:title="Marc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280" w:rsidRDefault="009A3CC4" w:rsidP="00232FC1">
    <w:pPr>
      <w:pStyle w:val="Encabezado"/>
      <w:tabs>
        <w:tab w:val="clear" w:pos="8504"/>
        <w:tab w:val="right" w:pos="9214"/>
      </w:tabs>
      <w:spacing w:after="0"/>
      <w:ind w:right="-567"/>
    </w:pPr>
    <w:r>
      <w:rPr>
        <w:noProof/>
        <w:lang w:val="es-CO" w:eastAsia="es-CO"/>
      </w:rPr>
      <w:pict w14:anchorId="19344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58.35pt;height:593.2pt;z-index:-251635712;mso-position-horizontal:center;mso-position-horizontal-relative:margin;mso-position-vertical:center;mso-position-vertical-relative:margin" o:allowincell="f">
          <v:imagedata r:id="rId1" o:title="Marca" gain="19661f" blacklevel="22938f"/>
          <w10:wrap anchorx="margin" anchory="margin"/>
        </v:shape>
      </w:pict>
    </w:r>
    <w:r w:rsidR="00EF5280">
      <w:rPr>
        <w:noProof/>
        <w:lang w:val="es-CO" w:eastAsia="es-CO"/>
      </w:rPr>
      <mc:AlternateContent>
        <mc:Choice Requires="wps">
          <w:drawing>
            <wp:anchor distT="0" distB="0" distL="114300" distR="114300" simplePos="0" relativeHeight="251674112" behindDoc="1" locked="0" layoutInCell="0" allowOverlap="1" wp14:anchorId="588DF625" wp14:editId="5928D7E2">
              <wp:simplePos x="0" y="0"/>
              <wp:positionH relativeFrom="margin">
                <wp:align>center</wp:align>
              </wp:positionH>
              <wp:positionV relativeFrom="margin">
                <wp:align>center</wp:align>
              </wp:positionV>
              <wp:extent cx="7448550" cy="106680"/>
              <wp:effectExtent l="0" t="0" r="0" b="0"/>
              <wp:wrapNone/>
              <wp:docPr id="2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4855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F5280" w:rsidRDefault="00EF5280" w:rsidP="00EF5B33">
                          <w:pPr>
                            <w:pStyle w:val="NormalWeb"/>
                            <w:spacing w:before="0" w:beforeAutospacing="0" w:after="0" w:afterAutospacing="0"/>
                            <w:jc w:val="center"/>
                          </w:pPr>
                          <w:r>
                            <w:rPr>
                              <w:rFonts w:ascii="Calibri" w:hAnsi="Calibri"/>
                              <w:color w:val="C0C0C0"/>
                              <w:sz w:val="2"/>
                              <w:szCs w:val="2"/>
                            </w:rPr>
                            <w:t>DOCUMENTO EN ELABORACIÓN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8DF625" id="_x0000_t202" coordsize="21600,21600" o:spt="202" path="m,l,21600r21600,l21600,xe">
              <v:stroke joinstyle="miter"/>
              <v:path gradientshapeok="t" o:connecttype="rect"/>
            </v:shapetype>
            <v:shape id="WordArt 9" o:spid="_x0000_s1027" type="#_x0000_t202" style="position:absolute;margin-left:0;margin-top:0;width:586.5pt;height:8.4pt;rotation:-45;z-index:-251642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" o:allowincell="f" filled="f" stroked="f">
              <v:stroke joinstyle="round"/>
              <o:lock v:ext="edit" shapetype="t"/>
              <v:textbox style="mso-fit-shape-to-text:t">
                <w:txbxContent>
                  <w:p w:rsidR="00EF5280" w:rsidRDefault="00EF5280" w:rsidP="00EF5B33">
                    <w:pPr>
                      <w:pStyle w:val="NormalWeb"/>
                      <w:spacing w:before="0" w:beforeAutospacing="0" w:after="0" w:afterAutospacing="0"/>
                      <w:jc w:val="center"/>
                    </w:pPr>
                    <w:r>
                      <w:rPr>
                        <w:rFonts w:ascii="Calibri" w:hAnsi="Calibri"/>
                        <w:color w:val="C0C0C0"/>
                        <w:sz w:val="2"/>
                        <w:szCs w:val="2"/>
                      </w:rPr>
                      <w:t>DOCUMENTO EN ELABORACIÓN</w:t>
                    </w:r>
                  </w:p>
                </w:txbxContent>
              </v:textbox>
              <w10:wrap anchorx="margin" anchory="margin"/>
            </v:shape>
          </w:pict>
        </mc:Fallback>
      </mc:AlternateContent>
    </w:r>
    <w:r w:rsidR="00EF5280">
      <w:rPr>
        <w:noProof/>
        <w:lang w:val="es-CO" w:eastAsia="es-CO"/>
      </w:rPr>
      <mc:AlternateContent>
        <mc:Choice Requires="wps">
          <w:drawing>
            <wp:anchor distT="0" distB="0" distL="114300" distR="114300" simplePos="0" relativeHeight="251677696" behindDoc="0" locked="0" layoutInCell="0" allowOverlap="1" wp14:anchorId="0EEEEF44" wp14:editId="7F5DC855">
              <wp:simplePos x="0" y="0"/>
              <wp:positionH relativeFrom="rightMargin">
                <wp:align>right</wp:align>
              </wp:positionH>
              <wp:positionV relativeFrom="margin">
                <wp:align>center</wp:align>
              </wp:positionV>
              <wp:extent cx="727710" cy="329565"/>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280" w:rsidRDefault="00EF5280">
                          <w:pPr>
                            <w:pBdr>
                              <w:bottom w:val="single" w:sz="4" w:space="1" w:color="auto"/>
                            </w:pBdr>
                          </w:pPr>
                          <w:r>
                            <w:fldChar w:fldCharType="begin"/>
                          </w:r>
                          <w:r>
                            <w:instrText>PAGE   \* MERGEFORMAT</w:instrText>
                          </w:r>
                          <w:r>
                            <w:fldChar w:fldCharType="separate"/>
                          </w:r>
                          <w:r w:rsidR="00576998">
                            <w:rPr>
                              <w:noProof/>
                            </w:rPr>
                            <w:t>203</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EEEEF44" id="Rectángulo 34" o:spid="_x0000_s1028" style="position:absolute;margin-left:6.1pt;margin-top:0;width:57.3pt;height:25.95pt;z-index:2516776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56I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" o:allowincell="f" stroked="f">
              <v:textbox>
                <w:txbxContent>
                  <w:p w:rsidR="00EF5280" w:rsidRDefault="00EF5280">
                    <w:pPr>
                      <w:pBdr>
                        <w:bottom w:val="single" w:sz="4" w:space="1" w:color="auto"/>
                      </w:pBdr>
                    </w:pPr>
                    <w:r>
                      <w:fldChar w:fldCharType="begin"/>
                    </w:r>
                    <w:r>
                      <w:instrText>PAGE   \* MERGEFORMAT</w:instrText>
                    </w:r>
                    <w:r>
                      <w:fldChar w:fldCharType="separate"/>
                    </w:r>
                    <w:r w:rsidR="00576998">
                      <w:rPr>
                        <w:noProof/>
                      </w:rPr>
                      <w:t>203</w:t>
                    </w:r>
                    <w:r>
                      <w:rPr>
                        <w:noProof/>
                      </w:rPr>
                      <w:fldChar w:fldCharType="end"/>
                    </w:r>
                  </w:p>
                </w:txbxContent>
              </v:textbox>
              <w10:wrap anchorx="margin" anchory="margin"/>
            </v:rect>
          </w:pict>
        </mc:Fallback>
      </mc:AlternateContent>
    </w:r>
    <w:r w:rsidR="00EF5280">
      <w:rPr>
        <w:noProof/>
        <w:lang w:val="es-CO" w:eastAsia="es-CO"/>
      </w:rPr>
      <mc:AlternateContent>
        <mc:Choice Requires="wps">
          <w:drawing>
            <wp:anchor distT="0" distB="0" distL="114300" distR="114300" simplePos="0" relativeHeight="251671552" behindDoc="0" locked="0" layoutInCell="1" allowOverlap="1" wp14:anchorId="4BDB73C4" wp14:editId="3CF50F07">
              <wp:simplePos x="0" y="0"/>
              <wp:positionH relativeFrom="column">
                <wp:posOffset>1108075</wp:posOffset>
              </wp:positionH>
              <wp:positionV relativeFrom="paragraph">
                <wp:posOffset>-380365</wp:posOffset>
              </wp:positionV>
              <wp:extent cx="3419475" cy="650875"/>
              <wp:effectExtent l="0" t="0" r="9525" b="0"/>
              <wp:wrapNone/>
              <wp:docPr id="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50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280" w:rsidRPr="00051A18" w:rsidRDefault="00EF5280" w:rsidP="00E6444E">
                          <w:pPr>
                            <w:autoSpaceDE w:val="0"/>
                            <w:autoSpaceDN w:val="0"/>
                            <w:adjustRightInd w:val="0"/>
                            <w:spacing w:after="0" w:line="240" w:lineRule="auto"/>
                            <w:jc w:val="center"/>
                            <w:rPr>
                              <w:rFonts w:cs="Arial"/>
                              <w:b/>
                            </w:rPr>
                          </w:pPr>
                          <w:r w:rsidRPr="00051A18">
                            <w:rPr>
                              <w:rFonts w:cs="Arial"/>
                              <w:b/>
                            </w:rPr>
                            <w:t>República de Colombia</w:t>
                          </w:r>
                        </w:p>
                        <w:p w:rsidR="00EF5280" w:rsidRPr="00051A18" w:rsidRDefault="00EF5280"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EF5280" w:rsidRPr="00240C30" w:rsidRDefault="00EF5280"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B73C4" id="Text Box 13" o:spid="_x0000_s1029" type="#_x0000_t202" style="position:absolute;margin-left:87.25pt;margin-top:-29.95pt;width:269.25pt;height: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r+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" stroked="f">
              <v:textbox>
                <w:txbxContent>
                  <w:p w:rsidR="00EF5280" w:rsidRPr="00051A18" w:rsidRDefault="00EF5280" w:rsidP="00E6444E">
                    <w:pPr>
                      <w:autoSpaceDE w:val="0"/>
                      <w:autoSpaceDN w:val="0"/>
                      <w:adjustRightInd w:val="0"/>
                      <w:spacing w:after="0" w:line="240" w:lineRule="auto"/>
                      <w:jc w:val="center"/>
                      <w:rPr>
                        <w:rFonts w:cs="Arial"/>
                        <w:b/>
                      </w:rPr>
                    </w:pPr>
                    <w:r w:rsidRPr="00051A18">
                      <w:rPr>
                        <w:rFonts w:cs="Arial"/>
                        <w:b/>
                      </w:rPr>
                      <w:t>República de Colombia</w:t>
                    </w:r>
                  </w:p>
                  <w:p w:rsidR="00EF5280" w:rsidRPr="00051A18" w:rsidRDefault="00EF5280" w:rsidP="00E6444E">
                    <w:pPr>
                      <w:autoSpaceDE w:val="0"/>
                      <w:autoSpaceDN w:val="0"/>
                      <w:adjustRightInd w:val="0"/>
                      <w:spacing w:after="0" w:line="240" w:lineRule="auto"/>
                      <w:jc w:val="center"/>
                      <w:rPr>
                        <w:rFonts w:cs="Arial"/>
                        <w:b/>
                      </w:rPr>
                    </w:pPr>
                    <w:r w:rsidRPr="00051A18">
                      <w:rPr>
                        <w:rFonts w:cs="Arial"/>
                        <w:b/>
                      </w:rPr>
                      <w:t>Instituto Colombiano de Bienestar Familiar</w:t>
                    </w:r>
                  </w:p>
                  <w:p w:rsidR="00EF5280" w:rsidRPr="00240C30" w:rsidRDefault="00EF5280" w:rsidP="00240C30">
                    <w:pPr>
                      <w:autoSpaceDE w:val="0"/>
                      <w:autoSpaceDN w:val="0"/>
                      <w:adjustRightInd w:val="0"/>
                      <w:spacing w:after="0" w:line="240" w:lineRule="auto"/>
                      <w:jc w:val="center"/>
                      <w:rPr>
                        <w:rFonts w:cs="Arial"/>
                        <w:color w:val="808080"/>
                      </w:rPr>
                    </w:pPr>
                    <w:r w:rsidRPr="00051A18">
                      <w:rPr>
                        <w:rFonts w:cs="Arial"/>
                        <w:color w:val="808080"/>
                      </w:rPr>
                      <w:t xml:space="preserve">Cecilia De la Fuente de Lleras </w:t>
                    </w:r>
                  </w:p>
                </w:txbxContent>
              </v:textbox>
            </v:shape>
          </w:pict>
        </mc:Fallback>
      </mc:AlternateContent>
    </w:r>
    <w:r w:rsidR="00EF5280">
      <w:rPr>
        <w:noProof/>
        <w:lang w:val="es-CO" w:eastAsia="es-CO"/>
      </w:rPr>
      <w:drawing>
        <wp:anchor distT="0" distB="0" distL="114300" distR="114300" simplePos="0" relativeHeight="251673600" behindDoc="1" locked="0" layoutInCell="1" allowOverlap="1" wp14:anchorId="204E5DCE" wp14:editId="79716EA4">
          <wp:simplePos x="0" y="0"/>
          <wp:positionH relativeFrom="column">
            <wp:posOffset>-19050</wp:posOffset>
          </wp:positionH>
          <wp:positionV relativeFrom="paragraph">
            <wp:posOffset>-573735</wp:posOffset>
          </wp:positionV>
          <wp:extent cx="633095" cy="791845"/>
          <wp:effectExtent l="0" t="0" r="0" b="8255"/>
          <wp:wrapNone/>
          <wp:docPr id="37" name="Imagen 37"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anchor>
      </w:drawing>
    </w:r>
    <w:r w:rsidR="00EF5280">
      <w:rPr>
        <w:noProof/>
        <w:lang w:val="es-CO" w:eastAsia="es-CO"/>
      </w:rPr>
      <w:drawing>
        <wp:anchor distT="0" distB="0" distL="114300" distR="114300" simplePos="0" relativeHeight="251675648" behindDoc="1" locked="0" layoutInCell="1" allowOverlap="1" wp14:anchorId="0FAE7C5F" wp14:editId="33E6067A">
          <wp:simplePos x="0" y="0"/>
          <wp:positionH relativeFrom="column">
            <wp:posOffset>4711700</wp:posOffset>
          </wp:positionH>
          <wp:positionV relativeFrom="paragraph">
            <wp:posOffset>-457200</wp:posOffset>
          </wp:positionV>
          <wp:extent cx="1200150" cy="600075"/>
          <wp:effectExtent l="0" t="0" r="0" b="9525"/>
          <wp:wrapNone/>
          <wp:docPr id="38" name="Imagen 38"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de pantalla 2014-10-23 a las 14 36 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anchor>
      </w:drawing>
    </w:r>
  </w:p>
  <w:p w:rsidR="00EF5280" w:rsidRDefault="00EF5280" w:rsidP="000442E9">
    <w:pPr>
      <w:pStyle w:val="Encabezado"/>
      <w:pBdr>
        <w:bottom w:val="single" w:sz="4" w:space="1" w:color="auto"/>
      </w:pBdr>
      <w:tabs>
        <w:tab w:val="clear" w:pos="8504"/>
        <w:tab w:val="right" w:pos="9214"/>
      </w:tabs>
      <w:ind w:right="-56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280" w:rsidRDefault="009A3CC4">
    <w:pPr>
      <w:pStyle w:val="Encabezado"/>
    </w:pPr>
    <w:r>
      <w:rPr>
        <w:noProof/>
        <w:lang w:val="es-CO" w:eastAsia="es-CO"/>
      </w:rPr>
      <w:pict w14:anchorId="12814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58.35pt;height:593.2pt;z-index:-251637760;mso-position-horizontal:center;mso-position-horizontal-relative:margin;mso-position-vertical:center;mso-position-vertical-relative:margin" o:allowincell="f">
          <v:imagedata r:id="rId1" o:title="Marc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ABEBF9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62394"/>
    <w:multiLevelType w:val="hybridMultilevel"/>
    <w:tmpl w:val="368E3E40"/>
    <w:lvl w:ilvl="0" w:tplc="80326A80">
      <w:numFmt w:val="bullet"/>
      <w:lvlText w:val="-"/>
      <w:lvlJc w:val="left"/>
      <w:pPr>
        <w:ind w:left="1428" w:hanging="360"/>
      </w:pPr>
      <w:rPr>
        <w:rFonts w:ascii="Arial" w:eastAsia="Times New Roman"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nsid w:val="000B419A"/>
    <w:multiLevelType w:val="hybridMultilevel"/>
    <w:tmpl w:val="C846C00E"/>
    <w:lvl w:ilvl="0" w:tplc="2C4EFA30">
      <w:start w:val="1"/>
      <w:numFmt w:val="bullet"/>
      <w:lvlText w:val="•"/>
      <w:lvlJc w:val="left"/>
      <w:pPr>
        <w:tabs>
          <w:tab w:val="num" w:pos="720"/>
        </w:tabs>
        <w:ind w:left="720" w:hanging="360"/>
      </w:pPr>
      <w:rPr>
        <w:rFonts w:ascii="Arial" w:hAnsi="Arial" w:hint="default"/>
      </w:rPr>
    </w:lvl>
    <w:lvl w:ilvl="1" w:tplc="80326A80">
      <w:numFmt w:val="bullet"/>
      <w:lvlText w:val="-"/>
      <w:lvlJc w:val="left"/>
      <w:pPr>
        <w:tabs>
          <w:tab w:val="num" w:pos="1440"/>
        </w:tabs>
        <w:ind w:left="1440" w:hanging="360"/>
      </w:pPr>
      <w:rPr>
        <w:rFonts w:ascii="Arial" w:eastAsia="Times New Roman" w:hAnsi="Arial" w:cs="Arial" w:hint="default"/>
      </w:rPr>
    </w:lvl>
    <w:lvl w:ilvl="2" w:tplc="9732D55E" w:tentative="1">
      <w:start w:val="1"/>
      <w:numFmt w:val="bullet"/>
      <w:lvlText w:val="•"/>
      <w:lvlJc w:val="left"/>
      <w:pPr>
        <w:tabs>
          <w:tab w:val="num" w:pos="2160"/>
        </w:tabs>
        <w:ind w:left="2160" w:hanging="360"/>
      </w:pPr>
      <w:rPr>
        <w:rFonts w:ascii="Arial" w:hAnsi="Arial" w:hint="default"/>
      </w:rPr>
    </w:lvl>
    <w:lvl w:ilvl="3" w:tplc="1C50862A" w:tentative="1">
      <w:start w:val="1"/>
      <w:numFmt w:val="bullet"/>
      <w:lvlText w:val="•"/>
      <w:lvlJc w:val="left"/>
      <w:pPr>
        <w:tabs>
          <w:tab w:val="num" w:pos="2880"/>
        </w:tabs>
        <w:ind w:left="2880" w:hanging="360"/>
      </w:pPr>
      <w:rPr>
        <w:rFonts w:ascii="Arial" w:hAnsi="Arial" w:hint="default"/>
      </w:rPr>
    </w:lvl>
    <w:lvl w:ilvl="4" w:tplc="97C6EAB2" w:tentative="1">
      <w:start w:val="1"/>
      <w:numFmt w:val="bullet"/>
      <w:lvlText w:val="•"/>
      <w:lvlJc w:val="left"/>
      <w:pPr>
        <w:tabs>
          <w:tab w:val="num" w:pos="3600"/>
        </w:tabs>
        <w:ind w:left="3600" w:hanging="360"/>
      </w:pPr>
      <w:rPr>
        <w:rFonts w:ascii="Arial" w:hAnsi="Arial" w:hint="default"/>
      </w:rPr>
    </w:lvl>
    <w:lvl w:ilvl="5" w:tplc="6D8E7DB8" w:tentative="1">
      <w:start w:val="1"/>
      <w:numFmt w:val="bullet"/>
      <w:lvlText w:val="•"/>
      <w:lvlJc w:val="left"/>
      <w:pPr>
        <w:tabs>
          <w:tab w:val="num" w:pos="4320"/>
        </w:tabs>
        <w:ind w:left="4320" w:hanging="360"/>
      </w:pPr>
      <w:rPr>
        <w:rFonts w:ascii="Arial" w:hAnsi="Arial" w:hint="default"/>
      </w:rPr>
    </w:lvl>
    <w:lvl w:ilvl="6" w:tplc="6908D6AE" w:tentative="1">
      <w:start w:val="1"/>
      <w:numFmt w:val="bullet"/>
      <w:lvlText w:val="•"/>
      <w:lvlJc w:val="left"/>
      <w:pPr>
        <w:tabs>
          <w:tab w:val="num" w:pos="5040"/>
        </w:tabs>
        <w:ind w:left="5040" w:hanging="360"/>
      </w:pPr>
      <w:rPr>
        <w:rFonts w:ascii="Arial" w:hAnsi="Arial" w:hint="default"/>
      </w:rPr>
    </w:lvl>
    <w:lvl w:ilvl="7" w:tplc="82D251F4" w:tentative="1">
      <w:start w:val="1"/>
      <w:numFmt w:val="bullet"/>
      <w:lvlText w:val="•"/>
      <w:lvlJc w:val="left"/>
      <w:pPr>
        <w:tabs>
          <w:tab w:val="num" w:pos="5760"/>
        </w:tabs>
        <w:ind w:left="5760" w:hanging="360"/>
      </w:pPr>
      <w:rPr>
        <w:rFonts w:ascii="Arial" w:hAnsi="Arial" w:hint="default"/>
      </w:rPr>
    </w:lvl>
    <w:lvl w:ilvl="8" w:tplc="4ED6DF66" w:tentative="1">
      <w:start w:val="1"/>
      <w:numFmt w:val="bullet"/>
      <w:lvlText w:val="•"/>
      <w:lvlJc w:val="left"/>
      <w:pPr>
        <w:tabs>
          <w:tab w:val="num" w:pos="6480"/>
        </w:tabs>
        <w:ind w:left="6480" w:hanging="360"/>
      </w:pPr>
      <w:rPr>
        <w:rFonts w:ascii="Arial" w:hAnsi="Arial" w:hint="default"/>
      </w:rPr>
    </w:lvl>
  </w:abstractNum>
  <w:abstractNum w:abstractNumId="3">
    <w:nsid w:val="01137775"/>
    <w:multiLevelType w:val="hybridMultilevel"/>
    <w:tmpl w:val="457C21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1C22F91"/>
    <w:multiLevelType w:val="hybridMultilevel"/>
    <w:tmpl w:val="278205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1C75258"/>
    <w:multiLevelType w:val="hybridMultilevel"/>
    <w:tmpl w:val="865ACF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029F3198"/>
    <w:multiLevelType w:val="hybridMultilevel"/>
    <w:tmpl w:val="8318A9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42D5353"/>
    <w:multiLevelType w:val="hybridMultilevel"/>
    <w:tmpl w:val="C87602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04351C7C"/>
    <w:multiLevelType w:val="hybridMultilevel"/>
    <w:tmpl w:val="D83ABA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4427C83"/>
    <w:multiLevelType w:val="hybridMultilevel"/>
    <w:tmpl w:val="23B8AE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05873CB2"/>
    <w:multiLevelType w:val="hybridMultilevel"/>
    <w:tmpl w:val="F11A2FA4"/>
    <w:lvl w:ilvl="0" w:tplc="5EAAFD6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060F3008"/>
    <w:multiLevelType w:val="hybridMultilevel"/>
    <w:tmpl w:val="A060335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06982525"/>
    <w:multiLevelType w:val="hybridMultilevel"/>
    <w:tmpl w:val="5450E1AC"/>
    <w:lvl w:ilvl="0" w:tplc="24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F9330B"/>
    <w:multiLevelType w:val="hybridMultilevel"/>
    <w:tmpl w:val="8FAC616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1">
      <w:start w:val="1"/>
      <w:numFmt w:val="bullet"/>
      <w:lvlText w:val=""/>
      <w:lvlJc w:val="left"/>
      <w:pPr>
        <w:ind w:left="1800" w:hanging="360"/>
      </w:pPr>
      <w:rPr>
        <w:rFonts w:ascii="Symbol" w:hAnsi="Symbo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074D3A50"/>
    <w:multiLevelType w:val="hybridMultilevel"/>
    <w:tmpl w:val="B83A12EA"/>
    <w:lvl w:ilvl="0" w:tplc="80326A80">
      <w:numFmt w:val="bullet"/>
      <w:lvlText w:val="-"/>
      <w:lvlJc w:val="left"/>
      <w:pPr>
        <w:tabs>
          <w:tab w:val="num" w:pos="786"/>
        </w:tabs>
        <w:ind w:left="786" w:hanging="360"/>
      </w:pPr>
      <w:rPr>
        <w:rFonts w:ascii="Arial" w:eastAsia="Times New Roman" w:hAnsi="Arial" w:cs="Arial" w:hint="default"/>
      </w:rPr>
    </w:lvl>
    <w:lvl w:ilvl="1" w:tplc="BB44A460" w:tentative="1">
      <w:start w:val="1"/>
      <w:numFmt w:val="bullet"/>
      <w:lvlText w:val=""/>
      <w:lvlJc w:val="left"/>
      <w:pPr>
        <w:tabs>
          <w:tab w:val="num" w:pos="1506"/>
        </w:tabs>
        <w:ind w:left="1506" w:hanging="360"/>
      </w:pPr>
      <w:rPr>
        <w:rFonts w:ascii="Wingdings" w:hAnsi="Wingdings" w:hint="default"/>
      </w:rPr>
    </w:lvl>
    <w:lvl w:ilvl="2" w:tplc="9C82D1DA" w:tentative="1">
      <w:start w:val="1"/>
      <w:numFmt w:val="bullet"/>
      <w:lvlText w:val=""/>
      <w:lvlJc w:val="left"/>
      <w:pPr>
        <w:tabs>
          <w:tab w:val="num" w:pos="2226"/>
        </w:tabs>
        <w:ind w:left="2226" w:hanging="360"/>
      </w:pPr>
      <w:rPr>
        <w:rFonts w:ascii="Wingdings" w:hAnsi="Wingdings" w:hint="default"/>
      </w:rPr>
    </w:lvl>
    <w:lvl w:ilvl="3" w:tplc="1F6AAD88" w:tentative="1">
      <w:start w:val="1"/>
      <w:numFmt w:val="bullet"/>
      <w:lvlText w:val=""/>
      <w:lvlJc w:val="left"/>
      <w:pPr>
        <w:tabs>
          <w:tab w:val="num" w:pos="2946"/>
        </w:tabs>
        <w:ind w:left="2946" w:hanging="360"/>
      </w:pPr>
      <w:rPr>
        <w:rFonts w:ascii="Wingdings" w:hAnsi="Wingdings" w:hint="default"/>
      </w:rPr>
    </w:lvl>
    <w:lvl w:ilvl="4" w:tplc="B470D986" w:tentative="1">
      <w:start w:val="1"/>
      <w:numFmt w:val="bullet"/>
      <w:lvlText w:val=""/>
      <w:lvlJc w:val="left"/>
      <w:pPr>
        <w:tabs>
          <w:tab w:val="num" w:pos="3666"/>
        </w:tabs>
        <w:ind w:left="3666" w:hanging="360"/>
      </w:pPr>
      <w:rPr>
        <w:rFonts w:ascii="Wingdings" w:hAnsi="Wingdings" w:hint="default"/>
      </w:rPr>
    </w:lvl>
    <w:lvl w:ilvl="5" w:tplc="828EEE76" w:tentative="1">
      <w:start w:val="1"/>
      <w:numFmt w:val="bullet"/>
      <w:lvlText w:val=""/>
      <w:lvlJc w:val="left"/>
      <w:pPr>
        <w:tabs>
          <w:tab w:val="num" w:pos="4386"/>
        </w:tabs>
        <w:ind w:left="4386" w:hanging="360"/>
      </w:pPr>
      <w:rPr>
        <w:rFonts w:ascii="Wingdings" w:hAnsi="Wingdings" w:hint="default"/>
      </w:rPr>
    </w:lvl>
    <w:lvl w:ilvl="6" w:tplc="BAAA8F1A" w:tentative="1">
      <w:start w:val="1"/>
      <w:numFmt w:val="bullet"/>
      <w:lvlText w:val=""/>
      <w:lvlJc w:val="left"/>
      <w:pPr>
        <w:tabs>
          <w:tab w:val="num" w:pos="5106"/>
        </w:tabs>
        <w:ind w:left="5106" w:hanging="360"/>
      </w:pPr>
      <w:rPr>
        <w:rFonts w:ascii="Wingdings" w:hAnsi="Wingdings" w:hint="default"/>
      </w:rPr>
    </w:lvl>
    <w:lvl w:ilvl="7" w:tplc="7110CDCE" w:tentative="1">
      <w:start w:val="1"/>
      <w:numFmt w:val="bullet"/>
      <w:lvlText w:val=""/>
      <w:lvlJc w:val="left"/>
      <w:pPr>
        <w:tabs>
          <w:tab w:val="num" w:pos="5826"/>
        </w:tabs>
        <w:ind w:left="5826" w:hanging="360"/>
      </w:pPr>
      <w:rPr>
        <w:rFonts w:ascii="Wingdings" w:hAnsi="Wingdings" w:hint="default"/>
      </w:rPr>
    </w:lvl>
    <w:lvl w:ilvl="8" w:tplc="0938012E" w:tentative="1">
      <w:start w:val="1"/>
      <w:numFmt w:val="bullet"/>
      <w:lvlText w:val=""/>
      <w:lvlJc w:val="left"/>
      <w:pPr>
        <w:tabs>
          <w:tab w:val="num" w:pos="6546"/>
        </w:tabs>
        <w:ind w:left="6546" w:hanging="360"/>
      </w:pPr>
      <w:rPr>
        <w:rFonts w:ascii="Wingdings" w:hAnsi="Wingdings" w:hint="default"/>
      </w:rPr>
    </w:lvl>
  </w:abstractNum>
  <w:abstractNum w:abstractNumId="15">
    <w:nsid w:val="076D10A6"/>
    <w:multiLevelType w:val="hybridMultilevel"/>
    <w:tmpl w:val="CF6E5D1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07A43E7A"/>
    <w:multiLevelType w:val="hybridMultilevel"/>
    <w:tmpl w:val="6CCC305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08654E50"/>
    <w:multiLevelType w:val="hybridMultilevel"/>
    <w:tmpl w:val="34C25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09426792"/>
    <w:multiLevelType w:val="hybridMultilevel"/>
    <w:tmpl w:val="2F1CB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0A022798"/>
    <w:multiLevelType w:val="hybridMultilevel"/>
    <w:tmpl w:val="1E1C6AE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0A5933CE"/>
    <w:multiLevelType w:val="hybridMultilevel"/>
    <w:tmpl w:val="3C6C5A2C"/>
    <w:lvl w:ilvl="0" w:tplc="80326A80">
      <w:numFmt w:val="bullet"/>
      <w:lvlText w:val="-"/>
      <w:lvlJc w:val="left"/>
      <w:pPr>
        <w:ind w:left="1080" w:hanging="360"/>
      </w:pPr>
      <w:rPr>
        <w:rFonts w:ascii="Arial" w:eastAsia="Times New Roman" w:hAnsi="Arial" w:cs="Aria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0AC143A8"/>
    <w:multiLevelType w:val="hybridMultilevel"/>
    <w:tmpl w:val="A5AE9BD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0B044D94"/>
    <w:multiLevelType w:val="hybridMultilevel"/>
    <w:tmpl w:val="CA8C0F88"/>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0BCC30E1"/>
    <w:multiLevelType w:val="hybridMultilevel"/>
    <w:tmpl w:val="C47A347E"/>
    <w:lvl w:ilvl="0" w:tplc="240A0001">
      <w:start w:val="1"/>
      <w:numFmt w:val="bullet"/>
      <w:lvlText w:val=""/>
      <w:lvlJc w:val="left"/>
      <w:pPr>
        <w:ind w:left="360" w:hanging="360"/>
      </w:pPr>
      <w:rPr>
        <w:rFonts w:ascii="Symbol" w:hAnsi="Symbol" w:hint="default"/>
      </w:rPr>
    </w:lvl>
    <w:lvl w:ilvl="1" w:tplc="240A0001">
      <w:start w:val="1"/>
      <w:numFmt w:val="bullet"/>
      <w:lvlText w:val=""/>
      <w:lvlJc w:val="left"/>
      <w:pPr>
        <w:ind w:left="1440" w:hanging="720"/>
      </w:pPr>
      <w:rPr>
        <w:rFonts w:ascii="Symbol" w:hAnsi="Symbo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0D39682B"/>
    <w:multiLevelType w:val="hybridMultilevel"/>
    <w:tmpl w:val="1C76523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0D551DAA"/>
    <w:multiLevelType w:val="hybridMultilevel"/>
    <w:tmpl w:val="79227B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0DBE5C76"/>
    <w:multiLevelType w:val="hybridMultilevel"/>
    <w:tmpl w:val="B5C60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0E434754"/>
    <w:multiLevelType w:val="hybridMultilevel"/>
    <w:tmpl w:val="7FCAE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0F032BEF"/>
    <w:multiLevelType w:val="hybridMultilevel"/>
    <w:tmpl w:val="38E8A26A"/>
    <w:lvl w:ilvl="0" w:tplc="240A0003">
      <w:start w:val="1"/>
      <w:numFmt w:val="bullet"/>
      <w:lvlText w:val="o"/>
      <w:lvlJc w:val="left"/>
      <w:pPr>
        <w:tabs>
          <w:tab w:val="num" w:pos="1068"/>
        </w:tabs>
        <w:ind w:left="1068" w:hanging="360"/>
      </w:pPr>
      <w:rPr>
        <w:rFonts w:ascii="Courier New" w:hAnsi="Courier New" w:cs="Courier New" w:hint="default"/>
      </w:rPr>
    </w:lvl>
    <w:lvl w:ilvl="1" w:tplc="BFB87AC4" w:tentative="1">
      <w:start w:val="1"/>
      <w:numFmt w:val="bullet"/>
      <w:lvlText w:val=""/>
      <w:lvlJc w:val="left"/>
      <w:pPr>
        <w:tabs>
          <w:tab w:val="num" w:pos="1788"/>
        </w:tabs>
        <w:ind w:left="1788" w:hanging="360"/>
      </w:pPr>
      <w:rPr>
        <w:rFonts w:ascii="Wingdings" w:hAnsi="Wingdings" w:hint="default"/>
      </w:rPr>
    </w:lvl>
    <w:lvl w:ilvl="2" w:tplc="3DBA9CCC" w:tentative="1">
      <w:start w:val="1"/>
      <w:numFmt w:val="bullet"/>
      <w:lvlText w:val=""/>
      <w:lvlJc w:val="left"/>
      <w:pPr>
        <w:tabs>
          <w:tab w:val="num" w:pos="2508"/>
        </w:tabs>
        <w:ind w:left="2508" w:hanging="360"/>
      </w:pPr>
      <w:rPr>
        <w:rFonts w:ascii="Wingdings" w:hAnsi="Wingdings" w:hint="default"/>
      </w:rPr>
    </w:lvl>
    <w:lvl w:ilvl="3" w:tplc="B072A268" w:tentative="1">
      <w:start w:val="1"/>
      <w:numFmt w:val="bullet"/>
      <w:lvlText w:val=""/>
      <w:lvlJc w:val="left"/>
      <w:pPr>
        <w:tabs>
          <w:tab w:val="num" w:pos="3228"/>
        </w:tabs>
        <w:ind w:left="3228" w:hanging="360"/>
      </w:pPr>
      <w:rPr>
        <w:rFonts w:ascii="Wingdings" w:hAnsi="Wingdings" w:hint="default"/>
      </w:rPr>
    </w:lvl>
    <w:lvl w:ilvl="4" w:tplc="E8F477E4" w:tentative="1">
      <w:start w:val="1"/>
      <w:numFmt w:val="bullet"/>
      <w:lvlText w:val=""/>
      <w:lvlJc w:val="left"/>
      <w:pPr>
        <w:tabs>
          <w:tab w:val="num" w:pos="3948"/>
        </w:tabs>
        <w:ind w:left="3948" w:hanging="360"/>
      </w:pPr>
      <w:rPr>
        <w:rFonts w:ascii="Wingdings" w:hAnsi="Wingdings" w:hint="default"/>
      </w:rPr>
    </w:lvl>
    <w:lvl w:ilvl="5" w:tplc="01C8B414" w:tentative="1">
      <w:start w:val="1"/>
      <w:numFmt w:val="bullet"/>
      <w:lvlText w:val=""/>
      <w:lvlJc w:val="left"/>
      <w:pPr>
        <w:tabs>
          <w:tab w:val="num" w:pos="4668"/>
        </w:tabs>
        <w:ind w:left="4668" w:hanging="360"/>
      </w:pPr>
      <w:rPr>
        <w:rFonts w:ascii="Wingdings" w:hAnsi="Wingdings" w:hint="default"/>
      </w:rPr>
    </w:lvl>
    <w:lvl w:ilvl="6" w:tplc="05248ED2" w:tentative="1">
      <w:start w:val="1"/>
      <w:numFmt w:val="bullet"/>
      <w:lvlText w:val=""/>
      <w:lvlJc w:val="left"/>
      <w:pPr>
        <w:tabs>
          <w:tab w:val="num" w:pos="5388"/>
        </w:tabs>
        <w:ind w:left="5388" w:hanging="360"/>
      </w:pPr>
      <w:rPr>
        <w:rFonts w:ascii="Wingdings" w:hAnsi="Wingdings" w:hint="default"/>
      </w:rPr>
    </w:lvl>
    <w:lvl w:ilvl="7" w:tplc="92DCADBA" w:tentative="1">
      <w:start w:val="1"/>
      <w:numFmt w:val="bullet"/>
      <w:lvlText w:val=""/>
      <w:lvlJc w:val="left"/>
      <w:pPr>
        <w:tabs>
          <w:tab w:val="num" w:pos="6108"/>
        </w:tabs>
        <w:ind w:left="6108" w:hanging="360"/>
      </w:pPr>
      <w:rPr>
        <w:rFonts w:ascii="Wingdings" w:hAnsi="Wingdings" w:hint="default"/>
      </w:rPr>
    </w:lvl>
    <w:lvl w:ilvl="8" w:tplc="64441A78" w:tentative="1">
      <w:start w:val="1"/>
      <w:numFmt w:val="bullet"/>
      <w:lvlText w:val=""/>
      <w:lvlJc w:val="left"/>
      <w:pPr>
        <w:tabs>
          <w:tab w:val="num" w:pos="6828"/>
        </w:tabs>
        <w:ind w:left="6828" w:hanging="360"/>
      </w:pPr>
      <w:rPr>
        <w:rFonts w:ascii="Wingdings" w:hAnsi="Wingdings" w:hint="default"/>
      </w:rPr>
    </w:lvl>
  </w:abstractNum>
  <w:abstractNum w:abstractNumId="30">
    <w:nsid w:val="0F362FEC"/>
    <w:multiLevelType w:val="hybridMultilevel"/>
    <w:tmpl w:val="4E825EB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0F4C1239"/>
    <w:multiLevelType w:val="hybridMultilevel"/>
    <w:tmpl w:val="A5263AAC"/>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0FA5635D"/>
    <w:multiLevelType w:val="multilevel"/>
    <w:tmpl w:val="0FC6863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104D106E"/>
    <w:multiLevelType w:val="hybridMultilevel"/>
    <w:tmpl w:val="BFA47912"/>
    <w:lvl w:ilvl="0" w:tplc="80326A80">
      <w:numFmt w:val="bullet"/>
      <w:lvlText w:val="-"/>
      <w:lvlJc w:val="left"/>
      <w:pPr>
        <w:ind w:left="360" w:hanging="360"/>
      </w:pPr>
      <w:rPr>
        <w:rFonts w:ascii="Arial" w:eastAsia="Times New Roman" w:hAnsi="Arial" w:cs="Arial" w:hint="default"/>
      </w:rPr>
    </w:lvl>
    <w:lvl w:ilvl="1" w:tplc="240A0017">
      <w:start w:val="1"/>
      <w:numFmt w:val="lowerLetter"/>
      <w:lvlText w:val="%2)"/>
      <w:lvlJc w:val="left"/>
      <w:pPr>
        <w:ind w:left="1080" w:hanging="360"/>
      </w:pPr>
      <w:rPr>
        <w:rFonts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10B76F9C"/>
    <w:multiLevelType w:val="hybridMultilevel"/>
    <w:tmpl w:val="2A50C47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10D2776D"/>
    <w:multiLevelType w:val="hybridMultilevel"/>
    <w:tmpl w:val="7BC6F2A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nsid w:val="11301725"/>
    <w:multiLevelType w:val="hybridMultilevel"/>
    <w:tmpl w:val="1FA2D9CC"/>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117A16DB"/>
    <w:multiLevelType w:val="hybridMultilevel"/>
    <w:tmpl w:val="847025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11AA52C1"/>
    <w:multiLevelType w:val="hybridMultilevel"/>
    <w:tmpl w:val="8634F2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11F6492C"/>
    <w:multiLevelType w:val="hybridMultilevel"/>
    <w:tmpl w:val="B05EB96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nsid w:val="12AD34BB"/>
    <w:multiLevelType w:val="multilevel"/>
    <w:tmpl w:val="2AF07E2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nsid w:val="12ED4101"/>
    <w:multiLevelType w:val="hybridMultilevel"/>
    <w:tmpl w:val="2DBE4EA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nsid w:val="1331783F"/>
    <w:multiLevelType w:val="hybridMultilevel"/>
    <w:tmpl w:val="9372E7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nsid w:val="137640A2"/>
    <w:multiLevelType w:val="hybridMultilevel"/>
    <w:tmpl w:val="AC4C7B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139D3198"/>
    <w:multiLevelType w:val="hybridMultilevel"/>
    <w:tmpl w:val="A8C06D1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155C0FB3"/>
    <w:multiLevelType w:val="hybridMultilevel"/>
    <w:tmpl w:val="D07E25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6">
    <w:nsid w:val="164330D4"/>
    <w:multiLevelType w:val="hybridMultilevel"/>
    <w:tmpl w:val="8A488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1825773D"/>
    <w:multiLevelType w:val="hybridMultilevel"/>
    <w:tmpl w:val="714E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8AE0334"/>
    <w:multiLevelType w:val="multilevel"/>
    <w:tmpl w:val="170A61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18AF18F0"/>
    <w:multiLevelType w:val="hybridMultilevel"/>
    <w:tmpl w:val="E5BA8F62"/>
    <w:lvl w:ilvl="0" w:tplc="240A0001">
      <w:start w:val="1"/>
      <w:numFmt w:val="bullet"/>
      <w:lvlText w:val=""/>
      <w:lvlJc w:val="left"/>
      <w:pPr>
        <w:ind w:left="720" w:hanging="360"/>
      </w:pPr>
      <w:rPr>
        <w:rFonts w:ascii="Symbol" w:hAnsi="Symbol" w:hint="default"/>
      </w:rPr>
    </w:lvl>
    <w:lvl w:ilvl="1" w:tplc="7EE47F92">
      <w:start w:val="1"/>
      <w:numFmt w:val="bullet"/>
      <w:lvlText w:val="-"/>
      <w:lvlJc w:val="left"/>
      <w:pPr>
        <w:ind w:left="1440" w:hanging="360"/>
      </w:pPr>
      <w:rPr>
        <w:rFonts w:ascii="Arial Narrow" w:eastAsia="Times New Roman" w:hAnsi="Arial Narrow" w:cs="Arial"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19976506"/>
    <w:multiLevelType w:val="hybridMultilevel"/>
    <w:tmpl w:val="E376E29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19992D59"/>
    <w:multiLevelType w:val="hybridMultilevel"/>
    <w:tmpl w:val="BC3E4C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nsid w:val="1A9A47B6"/>
    <w:multiLevelType w:val="hybridMultilevel"/>
    <w:tmpl w:val="C5E21C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3">
    <w:nsid w:val="1AAA2CA0"/>
    <w:multiLevelType w:val="hybridMultilevel"/>
    <w:tmpl w:val="82BE28CC"/>
    <w:lvl w:ilvl="0" w:tplc="0409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1ACB221F"/>
    <w:multiLevelType w:val="hybridMultilevel"/>
    <w:tmpl w:val="4E42950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1B00186F"/>
    <w:multiLevelType w:val="hybridMultilevel"/>
    <w:tmpl w:val="0FF0CB1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1BD575F6"/>
    <w:multiLevelType w:val="hybridMultilevel"/>
    <w:tmpl w:val="4F1A2A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nsid w:val="1C034347"/>
    <w:multiLevelType w:val="hybridMultilevel"/>
    <w:tmpl w:val="84AAF1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1CC14FA0"/>
    <w:multiLevelType w:val="hybridMultilevel"/>
    <w:tmpl w:val="10840C18"/>
    <w:lvl w:ilvl="0" w:tplc="2C4EFA30">
      <w:start w:val="1"/>
      <w:numFmt w:val="bullet"/>
      <w:lvlText w:val="•"/>
      <w:lvlJc w:val="left"/>
      <w:pPr>
        <w:tabs>
          <w:tab w:val="num" w:pos="720"/>
        </w:tabs>
        <w:ind w:left="720" w:hanging="360"/>
      </w:pPr>
      <w:rPr>
        <w:rFonts w:ascii="Arial" w:hAnsi="Arial" w:hint="default"/>
      </w:rPr>
    </w:lvl>
    <w:lvl w:ilvl="1" w:tplc="240A0017">
      <w:start w:val="1"/>
      <w:numFmt w:val="lowerLetter"/>
      <w:lvlText w:val="%2)"/>
      <w:lvlJc w:val="left"/>
      <w:pPr>
        <w:tabs>
          <w:tab w:val="num" w:pos="1440"/>
        </w:tabs>
        <w:ind w:left="1440" w:hanging="360"/>
      </w:pPr>
      <w:rPr>
        <w:rFonts w:hint="default"/>
      </w:rPr>
    </w:lvl>
    <w:lvl w:ilvl="2" w:tplc="472493F8">
      <w:start w:val="7"/>
      <w:numFmt w:val="decimal"/>
      <w:lvlText w:val="%3-"/>
      <w:lvlJc w:val="left"/>
      <w:pPr>
        <w:ind w:left="2160" w:hanging="360"/>
      </w:pPr>
      <w:rPr>
        <w:rFonts w:hint="default"/>
      </w:rPr>
    </w:lvl>
    <w:lvl w:ilvl="3" w:tplc="1C50862A" w:tentative="1">
      <w:start w:val="1"/>
      <w:numFmt w:val="bullet"/>
      <w:lvlText w:val="•"/>
      <w:lvlJc w:val="left"/>
      <w:pPr>
        <w:tabs>
          <w:tab w:val="num" w:pos="2880"/>
        </w:tabs>
        <w:ind w:left="2880" w:hanging="360"/>
      </w:pPr>
      <w:rPr>
        <w:rFonts w:ascii="Arial" w:hAnsi="Arial" w:hint="default"/>
      </w:rPr>
    </w:lvl>
    <w:lvl w:ilvl="4" w:tplc="97C6EAB2" w:tentative="1">
      <w:start w:val="1"/>
      <w:numFmt w:val="bullet"/>
      <w:lvlText w:val="•"/>
      <w:lvlJc w:val="left"/>
      <w:pPr>
        <w:tabs>
          <w:tab w:val="num" w:pos="3600"/>
        </w:tabs>
        <w:ind w:left="3600" w:hanging="360"/>
      </w:pPr>
      <w:rPr>
        <w:rFonts w:ascii="Arial" w:hAnsi="Arial" w:hint="default"/>
      </w:rPr>
    </w:lvl>
    <w:lvl w:ilvl="5" w:tplc="6D8E7DB8" w:tentative="1">
      <w:start w:val="1"/>
      <w:numFmt w:val="bullet"/>
      <w:lvlText w:val="•"/>
      <w:lvlJc w:val="left"/>
      <w:pPr>
        <w:tabs>
          <w:tab w:val="num" w:pos="4320"/>
        </w:tabs>
        <w:ind w:left="4320" w:hanging="360"/>
      </w:pPr>
      <w:rPr>
        <w:rFonts w:ascii="Arial" w:hAnsi="Arial" w:hint="default"/>
      </w:rPr>
    </w:lvl>
    <w:lvl w:ilvl="6" w:tplc="6908D6AE" w:tentative="1">
      <w:start w:val="1"/>
      <w:numFmt w:val="bullet"/>
      <w:lvlText w:val="•"/>
      <w:lvlJc w:val="left"/>
      <w:pPr>
        <w:tabs>
          <w:tab w:val="num" w:pos="5040"/>
        </w:tabs>
        <w:ind w:left="5040" w:hanging="360"/>
      </w:pPr>
      <w:rPr>
        <w:rFonts w:ascii="Arial" w:hAnsi="Arial" w:hint="default"/>
      </w:rPr>
    </w:lvl>
    <w:lvl w:ilvl="7" w:tplc="82D251F4" w:tentative="1">
      <w:start w:val="1"/>
      <w:numFmt w:val="bullet"/>
      <w:lvlText w:val="•"/>
      <w:lvlJc w:val="left"/>
      <w:pPr>
        <w:tabs>
          <w:tab w:val="num" w:pos="5760"/>
        </w:tabs>
        <w:ind w:left="5760" w:hanging="360"/>
      </w:pPr>
      <w:rPr>
        <w:rFonts w:ascii="Arial" w:hAnsi="Arial" w:hint="default"/>
      </w:rPr>
    </w:lvl>
    <w:lvl w:ilvl="8" w:tplc="4ED6DF66" w:tentative="1">
      <w:start w:val="1"/>
      <w:numFmt w:val="bullet"/>
      <w:lvlText w:val="•"/>
      <w:lvlJc w:val="left"/>
      <w:pPr>
        <w:tabs>
          <w:tab w:val="num" w:pos="6480"/>
        </w:tabs>
        <w:ind w:left="6480" w:hanging="360"/>
      </w:pPr>
      <w:rPr>
        <w:rFonts w:ascii="Arial" w:hAnsi="Arial" w:hint="default"/>
      </w:rPr>
    </w:lvl>
  </w:abstractNum>
  <w:abstractNum w:abstractNumId="59">
    <w:nsid w:val="1CE704EA"/>
    <w:multiLevelType w:val="hybridMultilevel"/>
    <w:tmpl w:val="59F695DC"/>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1DE753EA"/>
    <w:multiLevelType w:val="hybridMultilevel"/>
    <w:tmpl w:val="DE82DD54"/>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1">
    <w:nsid w:val="1E031493"/>
    <w:multiLevelType w:val="hybridMultilevel"/>
    <w:tmpl w:val="ECF075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nsid w:val="1E584DCD"/>
    <w:multiLevelType w:val="hybridMultilevel"/>
    <w:tmpl w:val="E5602AD0"/>
    <w:lvl w:ilvl="0" w:tplc="13C4994E">
      <w:numFmt w:val="bullet"/>
      <w:lvlText w:val="-"/>
      <w:lvlJc w:val="left"/>
      <w:pPr>
        <w:ind w:left="786" w:hanging="360"/>
      </w:pPr>
      <w:rPr>
        <w:rFonts w:ascii="Calibri Light" w:eastAsia="Calibri" w:hAnsi="Calibri Light" w:cs="Times New Roman"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3">
    <w:nsid w:val="1EC93CCA"/>
    <w:multiLevelType w:val="hybridMultilevel"/>
    <w:tmpl w:val="B18A85A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1EE15001"/>
    <w:multiLevelType w:val="hybridMultilevel"/>
    <w:tmpl w:val="1CA66B3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5">
    <w:nsid w:val="1F8E45A7"/>
    <w:multiLevelType w:val="multilevel"/>
    <w:tmpl w:val="B01492C4"/>
    <w:lvl w:ilvl="0">
      <w:start w:val="1"/>
      <w:numFmt w:val="bullet"/>
      <w:lvlText w:val=""/>
      <w:lvlJc w:val="left"/>
      <w:pPr>
        <w:ind w:left="420" w:hanging="420"/>
      </w:pPr>
      <w:rPr>
        <w:rFonts w:ascii="Symbol" w:hAnsi="Symbol"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205B74EA"/>
    <w:multiLevelType w:val="hybridMultilevel"/>
    <w:tmpl w:val="F3B046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20DD73FC"/>
    <w:multiLevelType w:val="multilevel"/>
    <w:tmpl w:val="976CA6E2"/>
    <w:lvl w:ilvl="0">
      <w:start w:val="1"/>
      <w:numFmt w:val="decimal"/>
      <w:lvlText w:val="%1."/>
      <w:lvlJc w:val="left"/>
      <w:pPr>
        <w:ind w:left="360" w:hanging="360"/>
      </w:pPr>
    </w:lvl>
    <w:lvl w:ilvl="1">
      <w:start w:val="2"/>
      <w:numFmt w:val="decimal"/>
      <w:isLgl/>
      <w:lvlText w:val="%1.%2"/>
      <w:lvlJc w:val="left"/>
      <w:pPr>
        <w:ind w:left="675" w:hanging="67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211609DE"/>
    <w:multiLevelType w:val="hybridMultilevel"/>
    <w:tmpl w:val="CFB63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217E16C2"/>
    <w:multiLevelType w:val="hybridMultilevel"/>
    <w:tmpl w:val="D1867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nsid w:val="21865421"/>
    <w:multiLevelType w:val="multilevel"/>
    <w:tmpl w:val="D470766A"/>
    <w:lvl w:ilvl="0">
      <w:start w:val="1"/>
      <w:numFmt w:val="decimal"/>
      <w:lvlText w:val="%1."/>
      <w:lvlJc w:val="left"/>
      <w:pPr>
        <w:ind w:left="360" w:hanging="360"/>
      </w:pPr>
      <w:rPr>
        <w:rFonts w:ascii="Arial Narrow" w:hAnsi="Arial Narrow" w:hint="default"/>
        <w:sz w:val="18"/>
      </w:rPr>
    </w:lvl>
    <w:lvl w:ilvl="1">
      <w:start w:val="4"/>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1">
    <w:nsid w:val="258817F2"/>
    <w:multiLevelType w:val="multilevel"/>
    <w:tmpl w:val="C44AC65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nsid w:val="260D7526"/>
    <w:multiLevelType w:val="hybridMultilevel"/>
    <w:tmpl w:val="478AF40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3">
    <w:nsid w:val="261A68D1"/>
    <w:multiLevelType w:val="multilevel"/>
    <w:tmpl w:val="7F323A00"/>
    <w:lvl w:ilvl="0">
      <w:start w:val="1"/>
      <w:numFmt w:val="decimal"/>
      <w:lvlText w:val="%1."/>
      <w:lvlJc w:val="left"/>
      <w:pPr>
        <w:ind w:left="360" w:hanging="360"/>
      </w:p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4">
    <w:nsid w:val="276932F0"/>
    <w:multiLevelType w:val="hybridMultilevel"/>
    <w:tmpl w:val="826C00C6"/>
    <w:lvl w:ilvl="0" w:tplc="272C417E">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nsid w:val="27854682"/>
    <w:multiLevelType w:val="hybridMultilevel"/>
    <w:tmpl w:val="6958B92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6">
    <w:nsid w:val="27F345D9"/>
    <w:multiLevelType w:val="hybridMultilevel"/>
    <w:tmpl w:val="C5E0C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7">
    <w:nsid w:val="288F32FA"/>
    <w:multiLevelType w:val="hybridMultilevel"/>
    <w:tmpl w:val="9EB86118"/>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8">
    <w:nsid w:val="28ED4FAA"/>
    <w:multiLevelType w:val="hybridMultilevel"/>
    <w:tmpl w:val="EB1E6CB0"/>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nsid w:val="29112E20"/>
    <w:multiLevelType w:val="hybridMultilevel"/>
    <w:tmpl w:val="889896A2"/>
    <w:lvl w:ilvl="0" w:tplc="240A0001">
      <w:start w:val="1"/>
      <w:numFmt w:val="bullet"/>
      <w:lvlText w:val=""/>
      <w:lvlJc w:val="left"/>
      <w:pPr>
        <w:tabs>
          <w:tab w:val="num" w:pos="720"/>
        </w:tabs>
        <w:ind w:left="720" w:hanging="360"/>
      </w:pPr>
      <w:rPr>
        <w:rFonts w:ascii="Symbol" w:hAnsi="Symbol" w:hint="default"/>
      </w:rPr>
    </w:lvl>
    <w:lvl w:ilvl="1" w:tplc="BFA485D0">
      <w:start w:val="1"/>
      <w:numFmt w:val="bullet"/>
      <w:lvlText w:val=""/>
      <w:lvlJc w:val="left"/>
      <w:pPr>
        <w:tabs>
          <w:tab w:val="num" w:pos="1440"/>
        </w:tabs>
        <w:ind w:left="1440" w:hanging="360"/>
      </w:pPr>
      <w:rPr>
        <w:rFonts w:ascii="Wingdings" w:hAnsi="Wingdings" w:hint="default"/>
      </w:rPr>
    </w:lvl>
    <w:lvl w:ilvl="2" w:tplc="1D6ADC8A" w:tentative="1">
      <w:start w:val="1"/>
      <w:numFmt w:val="bullet"/>
      <w:lvlText w:val=""/>
      <w:lvlJc w:val="left"/>
      <w:pPr>
        <w:tabs>
          <w:tab w:val="num" w:pos="2160"/>
        </w:tabs>
        <w:ind w:left="2160" w:hanging="360"/>
      </w:pPr>
      <w:rPr>
        <w:rFonts w:ascii="Wingdings" w:hAnsi="Wingdings" w:hint="default"/>
      </w:rPr>
    </w:lvl>
    <w:lvl w:ilvl="3" w:tplc="29643800" w:tentative="1">
      <w:start w:val="1"/>
      <w:numFmt w:val="bullet"/>
      <w:lvlText w:val=""/>
      <w:lvlJc w:val="left"/>
      <w:pPr>
        <w:tabs>
          <w:tab w:val="num" w:pos="2880"/>
        </w:tabs>
        <w:ind w:left="2880" w:hanging="360"/>
      </w:pPr>
      <w:rPr>
        <w:rFonts w:ascii="Wingdings" w:hAnsi="Wingdings" w:hint="default"/>
      </w:rPr>
    </w:lvl>
    <w:lvl w:ilvl="4" w:tplc="B066EF04" w:tentative="1">
      <w:start w:val="1"/>
      <w:numFmt w:val="bullet"/>
      <w:lvlText w:val=""/>
      <w:lvlJc w:val="left"/>
      <w:pPr>
        <w:tabs>
          <w:tab w:val="num" w:pos="3600"/>
        </w:tabs>
        <w:ind w:left="3600" w:hanging="360"/>
      </w:pPr>
      <w:rPr>
        <w:rFonts w:ascii="Wingdings" w:hAnsi="Wingdings" w:hint="default"/>
      </w:rPr>
    </w:lvl>
    <w:lvl w:ilvl="5" w:tplc="283499A2" w:tentative="1">
      <w:start w:val="1"/>
      <w:numFmt w:val="bullet"/>
      <w:lvlText w:val=""/>
      <w:lvlJc w:val="left"/>
      <w:pPr>
        <w:tabs>
          <w:tab w:val="num" w:pos="4320"/>
        </w:tabs>
        <w:ind w:left="4320" w:hanging="360"/>
      </w:pPr>
      <w:rPr>
        <w:rFonts w:ascii="Wingdings" w:hAnsi="Wingdings" w:hint="default"/>
      </w:rPr>
    </w:lvl>
    <w:lvl w:ilvl="6" w:tplc="85EAC8C2" w:tentative="1">
      <w:start w:val="1"/>
      <w:numFmt w:val="bullet"/>
      <w:lvlText w:val=""/>
      <w:lvlJc w:val="left"/>
      <w:pPr>
        <w:tabs>
          <w:tab w:val="num" w:pos="5040"/>
        </w:tabs>
        <w:ind w:left="5040" w:hanging="360"/>
      </w:pPr>
      <w:rPr>
        <w:rFonts w:ascii="Wingdings" w:hAnsi="Wingdings" w:hint="default"/>
      </w:rPr>
    </w:lvl>
    <w:lvl w:ilvl="7" w:tplc="4C4091D6" w:tentative="1">
      <w:start w:val="1"/>
      <w:numFmt w:val="bullet"/>
      <w:lvlText w:val=""/>
      <w:lvlJc w:val="left"/>
      <w:pPr>
        <w:tabs>
          <w:tab w:val="num" w:pos="5760"/>
        </w:tabs>
        <w:ind w:left="5760" w:hanging="360"/>
      </w:pPr>
      <w:rPr>
        <w:rFonts w:ascii="Wingdings" w:hAnsi="Wingdings" w:hint="default"/>
      </w:rPr>
    </w:lvl>
    <w:lvl w:ilvl="8" w:tplc="549675E6" w:tentative="1">
      <w:start w:val="1"/>
      <w:numFmt w:val="bullet"/>
      <w:lvlText w:val=""/>
      <w:lvlJc w:val="left"/>
      <w:pPr>
        <w:tabs>
          <w:tab w:val="num" w:pos="6480"/>
        </w:tabs>
        <w:ind w:left="6480" w:hanging="360"/>
      </w:pPr>
      <w:rPr>
        <w:rFonts w:ascii="Wingdings" w:hAnsi="Wingdings" w:hint="default"/>
      </w:rPr>
    </w:lvl>
  </w:abstractNum>
  <w:abstractNum w:abstractNumId="80">
    <w:nsid w:val="291D67A6"/>
    <w:multiLevelType w:val="hybridMultilevel"/>
    <w:tmpl w:val="534E52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1">
    <w:nsid w:val="29735B16"/>
    <w:multiLevelType w:val="hybridMultilevel"/>
    <w:tmpl w:val="AD2C2686"/>
    <w:lvl w:ilvl="0" w:tplc="BAA4CD62">
      <w:start w:val="1"/>
      <w:numFmt w:val="bullet"/>
      <w:lvlText w:val="•"/>
      <w:lvlJc w:val="left"/>
      <w:pPr>
        <w:tabs>
          <w:tab w:val="num" w:pos="720"/>
        </w:tabs>
        <w:ind w:left="720" w:hanging="360"/>
      </w:pPr>
      <w:rPr>
        <w:rFonts w:ascii="Arial" w:hAnsi="Arial" w:cs="Times New Roman" w:hint="default"/>
      </w:rPr>
    </w:lvl>
    <w:lvl w:ilvl="1" w:tplc="AEAA669A">
      <w:start w:val="1"/>
      <w:numFmt w:val="bullet"/>
      <w:lvlText w:val="•"/>
      <w:lvlJc w:val="left"/>
      <w:pPr>
        <w:tabs>
          <w:tab w:val="num" w:pos="1440"/>
        </w:tabs>
        <w:ind w:left="1440" w:hanging="360"/>
      </w:pPr>
      <w:rPr>
        <w:rFonts w:ascii="Arial" w:hAnsi="Arial" w:cs="Times New Roman" w:hint="default"/>
      </w:rPr>
    </w:lvl>
    <w:lvl w:ilvl="2" w:tplc="93DAAF24">
      <w:start w:val="1"/>
      <w:numFmt w:val="bullet"/>
      <w:lvlText w:val="•"/>
      <w:lvlJc w:val="left"/>
      <w:pPr>
        <w:tabs>
          <w:tab w:val="num" w:pos="2160"/>
        </w:tabs>
        <w:ind w:left="2160" w:hanging="360"/>
      </w:pPr>
      <w:rPr>
        <w:rFonts w:ascii="Arial" w:hAnsi="Arial" w:cs="Times New Roman" w:hint="default"/>
      </w:rPr>
    </w:lvl>
    <w:lvl w:ilvl="3" w:tplc="88B6369A">
      <w:start w:val="1"/>
      <w:numFmt w:val="bullet"/>
      <w:lvlText w:val="•"/>
      <w:lvlJc w:val="left"/>
      <w:pPr>
        <w:tabs>
          <w:tab w:val="num" w:pos="2880"/>
        </w:tabs>
        <w:ind w:left="2880" w:hanging="360"/>
      </w:pPr>
      <w:rPr>
        <w:rFonts w:ascii="Arial" w:hAnsi="Arial" w:cs="Times New Roman" w:hint="default"/>
      </w:rPr>
    </w:lvl>
    <w:lvl w:ilvl="4" w:tplc="38AA28C0">
      <w:start w:val="1"/>
      <w:numFmt w:val="bullet"/>
      <w:lvlText w:val="•"/>
      <w:lvlJc w:val="left"/>
      <w:pPr>
        <w:tabs>
          <w:tab w:val="num" w:pos="3600"/>
        </w:tabs>
        <w:ind w:left="3600" w:hanging="360"/>
      </w:pPr>
      <w:rPr>
        <w:rFonts w:ascii="Arial" w:hAnsi="Arial" w:cs="Times New Roman" w:hint="default"/>
      </w:rPr>
    </w:lvl>
    <w:lvl w:ilvl="5" w:tplc="935EF26C">
      <w:start w:val="1"/>
      <w:numFmt w:val="bullet"/>
      <w:lvlText w:val="•"/>
      <w:lvlJc w:val="left"/>
      <w:pPr>
        <w:tabs>
          <w:tab w:val="num" w:pos="4320"/>
        </w:tabs>
        <w:ind w:left="4320" w:hanging="360"/>
      </w:pPr>
      <w:rPr>
        <w:rFonts w:ascii="Arial" w:hAnsi="Arial" w:cs="Times New Roman" w:hint="default"/>
      </w:rPr>
    </w:lvl>
    <w:lvl w:ilvl="6" w:tplc="9B48AFA0">
      <w:start w:val="1"/>
      <w:numFmt w:val="bullet"/>
      <w:lvlText w:val="•"/>
      <w:lvlJc w:val="left"/>
      <w:pPr>
        <w:tabs>
          <w:tab w:val="num" w:pos="5040"/>
        </w:tabs>
        <w:ind w:left="5040" w:hanging="360"/>
      </w:pPr>
      <w:rPr>
        <w:rFonts w:ascii="Arial" w:hAnsi="Arial" w:cs="Times New Roman" w:hint="default"/>
      </w:rPr>
    </w:lvl>
    <w:lvl w:ilvl="7" w:tplc="302098EA">
      <w:start w:val="1"/>
      <w:numFmt w:val="bullet"/>
      <w:lvlText w:val="•"/>
      <w:lvlJc w:val="left"/>
      <w:pPr>
        <w:tabs>
          <w:tab w:val="num" w:pos="5760"/>
        </w:tabs>
        <w:ind w:left="5760" w:hanging="360"/>
      </w:pPr>
      <w:rPr>
        <w:rFonts w:ascii="Arial" w:hAnsi="Arial" w:cs="Times New Roman" w:hint="default"/>
      </w:rPr>
    </w:lvl>
    <w:lvl w:ilvl="8" w:tplc="DBBE9924">
      <w:start w:val="1"/>
      <w:numFmt w:val="bullet"/>
      <w:lvlText w:val="•"/>
      <w:lvlJc w:val="left"/>
      <w:pPr>
        <w:tabs>
          <w:tab w:val="num" w:pos="6480"/>
        </w:tabs>
        <w:ind w:left="6480" w:hanging="360"/>
      </w:pPr>
      <w:rPr>
        <w:rFonts w:ascii="Arial" w:hAnsi="Arial" w:cs="Times New Roman" w:hint="default"/>
      </w:rPr>
    </w:lvl>
  </w:abstractNum>
  <w:abstractNum w:abstractNumId="82">
    <w:nsid w:val="299D2BD8"/>
    <w:multiLevelType w:val="hybridMultilevel"/>
    <w:tmpl w:val="86F609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3">
    <w:nsid w:val="29A432FF"/>
    <w:multiLevelType w:val="hybridMultilevel"/>
    <w:tmpl w:val="4D784BF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2A680068"/>
    <w:multiLevelType w:val="hybridMultilevel"/>
    <w:tmpl w:val="6AACC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2A8F76EC"/>
    <w:multiLevelType w:val="multilevel"/>
    <w:tmpl w:val="88000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nsid w:val="2B80161D"/>
    <w:multiLevelType w:val="hybridMultilevel"/>
    <w:tmpl w:val="10E68364"/>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nsid w:val="2C2A1285"/>
    <w:multiLevelType w:val="hybridMultilevel"/>
    <w:tmpl w:val="4F06E9EC"/>
    <w:lvl w:ilvl="0" w:tplc="240A0001">
      <w:start w:val="1"/>
      <w:numFmt w:val="bullet"/>
      <w:lvlText w:val=""/>
      <w:lvlJc w:val="left"/>
      <w:pPr>
        <w:ind w:left="73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8">
    <w:nsid w:val="2C880C29"/>
    <w:multiLevelType w:val="hybridMultilevel"/>
    <w:tmpl w:val="32A07A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2DF30A4E"/>
    <w:multiLevelType w:val="hybridMultilevel"/>
    <w:tmpl w:val="6130E7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nsid w:val="2E082A6E"/>
    <w:multiLevelType w:val="hybridMultilevel"/>
    <w:tmpl w:val="F064F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1">
    <w:nsid w:val="2F1A3BDF"/>
    <w:multiLevelType w:val="hybridMultilevel"/>
    <w:tmpl w:val="1E3C278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nsid w:val="2F65694E"/>
    <w:multiLevelType w:val="hybridMultilevel"/>
    <w:tmpl w:val="29FE676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nsid w:val="2FD81E6D"/>
    <w:multiLevelType w:val="hybridMultilevel"/>
    <w:tmpl w:val="C9D2272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303E6785"/>
    <w:multiLevelType w:val="hybridMultilevel"/>
    <w:tmpl w:val="DC6476D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nsid w:val="30544412"/>
    <w:multiLevelType w:val="hybridMultilevel"/>
    <w:tmpl w:val="73064392"/>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nsid w:val="311C3A66"/>
    <w:multiLevelType w:val="hybridMultilevel"/>
    <w:tmpl w:val="1B2246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7">
    <w:nsid w:val="323D0E9A"/>
    <w:multiLevelType w:val="hybridMultilevel"/>
    <w:tmpl w:val="9AC4B7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nsid w:val="323F46AB"/>
    <w:multiLevelType w:val="hybridMultilevel"/>
    <w:tmpl w:val="9B14FA66"/>
    <w:lvl w:ilvl="0" w:tplc="16AAC24C">
      <w:start w:val="1"/>
      <w:numFmt w:val="bullet"/>
      <w:lvlText w:val=""/>
      <w:lvlJc w:val="left"/>
      <w:pPr>
        <w:ind w:left="1080" w:hanging="720"/>
      </w:pPr>
      <w:rPr>
        <w:rFonts w:ascii="Wingdings" w:hAnsi="Wingding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9">
    <w:nsid w:val="32AD5677"/>
    <w:multiLevelType w:val="hybridMultilevel"/>
    <w:tmpl w:val="92CE7CF2"/>
    <w:lvl w:ilvl="0" w:tplc="240A0001">
      <w:start w:val="1"/>
      <w:numFmt w:val="bullet"/>
      <w:lvlText w:val=""/>
      <w:lvlJc w:val="left"/>
      <w:pPr>
        <w:ind w:left="635" w:hanging="360"/>
      </w:pPr>
      <w:rPr>
        <w:rFonts w:ascii="Symbol" w:hAnsi="Symbol" w:hint="default"/>
      </w:rPr>
    </w:lvl>
    <w:lvl w:ilvl="1" w:tplc="240A0003" w:tentative="1">
      <w:start w:val="1"/>
      <w:numFmt w:val="bullet"/>
      <w:lvlText w:val="o"/>
      <w:lvlJc w:val="left"/>
      <w:pPr>
        <w:ind w:left="1355" w:hanging="360"/>
      </w:pPr>
      <w:rPr>
        <w:rFonts w:ascii="Courier New" w:hAnsi="Courier New" w:cs="Courier New"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100">
    <w:nsid w:val="33951779"/>
    <w:multiLevelType w:val="hybridMultilevel"/>
    <w:tmpl w:val="D46AA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1">
    <w:nsid w:val="33F15728"/>
    <w:multiLevelType w:val="hybridMultilevel"/>
    <w:tmpl w:val="A03C96CE"/>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2">
    <w:nsid w:val="342F363F"/>
    <w:multiLevelType w:val="hybridMultilevel"/>
    <w:tmpl w:val="7ABC00DA"/>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nsid w:val="347B1031"/>
    <w:multiLevelType w:val="hybridMultilevel"/>
    <w:tmpl w:val="CC0CA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34FF5428"/>
    <w:multiLevelType w:val="hybridMultilevel"/>
    <w:tmpl w:val="88E0A0B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nsid w:val="35412B06"/>
    <w:multiLevelType w:val="multilevel"/>
    <w:tmpl w:val="6EE0F33C"/>
    <w:lvl w:ilvl="0">
      <w:start w:val="1"/>
      <w:numFmt w:val="decimal"/>
      <w:lvlText w:val="%1."/>
      <w:lvlJc w:val="left"/>
      <w:pPr>
        <w:ind w:left="360" w:hanging="360"/>
      </w:pPr>
      <w:rPr>
        <w:rFonts w:hint="default"/>
      </w:rPr>
    </w:lvl>
    <w:lvl w:ilvl="1">
      <w:start w:val="8"/>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nsid w:val="354274A6"/>
    <w:multiLevelType w:val="multilevel"/>
    <w:tmpl w:val="BCB859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357868FE"/>
    <w:multiLevelType w:val="hybridMultilevel"/>
    <w:tmpl w:val="94F89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35A11682"/>
    <w:multiLevelType w:val="hybridMultilevel"/>
    <w:tmpl w:val="36CCB2F6"/>
    <w:lvl w:ilvl="0" w:tplc="C664A0F2">
      <w:start w:val="1"/>
      <w:numFmt w:val="bullet"/>
      <w:lvlText w:val=""/>
      <w:lvlJc w:val="left"/>
      <w:pPr>
        <w:ind w:left="360" w:hanging="360"/>
      </w:pPr>
      <w:rPr>
        <w:rFonts w:ascii="Symbol" w:hAnsi="Symbol" w:hint="default"/>
        <w:color w:val="7AB41E"/>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9">
    <w:nsid w:val="35E85215"/>
    <w:multiLevelType w:val="hybridMultilevel"/>
    <w:tmpl w:val="7A3CE3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35F8181D"/>
    <w:multiLevelType w:val="multilevel"/>
    <w:tmpl w:val="7D4C536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nsid w:val="362910E6"/>
    <w:multiLevelType w:val="hybridMultilevel"/>
    <w:tmpl w:val="D2605A8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2">
    <w:nsid w:val="36B339BA"/>
    <w:multiLevelType w:val="hybridMultilevel"/>
    <w:tmpl w:val="04CA12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3">
    <w:nsid w:val="37434DEC"/>
    <w:multiLevelType w:val="hybridMultilevel"/>
    <w:tmpl w:val="367A4FE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nsid w:val="37654DCA"/>
    <w:multiLevelType w:val="hybridMultilevel"/>
    <w:tmpl w:val="281648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nsid w:val="37740CA6"/>
    <w:multiLevelType w:val="hybridMultilevel"/>
    <w:tmpl w:val="F3E89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378F2999"/>
    <w:multiLevelType w:val="hybridMultilevel"/>
    <w:tmpl w:val="238E7A3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37BA172D"/>
    <w:multiLevelType w:val="multilevel"/>
    <w:tmpl w:val="8CF0714E"/>
    <w:lvl w:ilvl="0">
      <w:start w:val="1"/>
      <w:numFmt w:val="decimal"/>
      <w:lvlText w:val="%1."/>
      <w:lvlJc w:val="left"/>
      <w:pPr>
        <w:ind w:left="360" w:hanging="360"/>
      </w:pPr>
      <w:rPr>
        <w:rFonts w:hint="default"/>
      </w:rPr>
    </w:lvl>
    <w:lvl w:ilvl="1">
      <w:start w:val="6"/>
      <w:numFmt w:val="decimal"/>
      <w:isLgl/>
      <w:lvlText w:val="%1.%2."/>
      <w:lvlJc w:val="left"/>
      <w:pPr>
        <w:ind w:left="900" w:hanging="900"/>
      </w:pPr>
      <w:rPr>
        <w:rFonts w:hint="default"/>
      </w:rPr>
    </w:lvl>
    <w:lvl w:ilvl="2">
      <w:start w:val="3"/>
      <w:numFmt w:val="decimal"/>
      <w:isLgl/>
      <w:lvlText w:val="%1.%2.%3."/>
      <w:lvlJc w:val="left"/>
      <w:pPr>
        <w:ind w:left="900" w:hanging="900"/>
      </w:pPr>
      <w:rPr>
        <w:rFonts w:hint="default"/>
      </w:rPr>
    </w:lvl>
    <w:lvl w:ilvl="3">
      <w:start w:val="4"/>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8">
    <w:nsid w:val="38485FE0"/>
    <w:multiLevelType w:val="hybridMultilevel"/>
    <w:tmpl w:val="A0B4831E"/>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9">
    <w:nsid w:val="3889315F"/>
    <w:multiLevelType w:val="hybridMultilevel"/>
    <w:tmpl w:val="9D928E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38E03A3F"/>
    <w:multiLevelType w:val="hybridMultilevel"/>
    <w:tmpl w:val="8F1EF2E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3A104957"/>
    <w:multiLevelType w:val="hybridMultilevel"/>
    <w:tmpl w:val="C6F0872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2">
    <w:nsid w:val="3A383F05"/>
    <w:multiLevelType w:val="hybridMultilevel"/>
    <w:tmpl w:val="C0AE7784"/>
    <w:lvl w:ilvl="0" w:tplc="240A0003">
      <w:start w:val="1"/>
      <w:numFmt w:val="bullet"/>
      <w:lvlText w:val="o"/>
      <w:lvlJc w:val="left"/>
      <w:pPr>
        <w:ind w:left="1776" w:hanging="360"/>
      </w:pPr>
      <w:rPr>
        <w:rFonts w:ascii="Courier New" w:hAnsi="Courier New" w:cs="Courier New"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23">
    <w:nsid w:val="3A3B1F0C"/>
    <w:multiLevelType w:val="hybridMultilevel"/>
    <w:tmpl w:val="A93031F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nsid w:val="3A8A0BF9"/>
    <w:multiLevelType w:val="hybridMultilevel"/>
    <w:tmpl w:val="FCF61E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5">
    <w:nsid w:val="3B1722D2"/>
    <w:multiLevelType w:val="hybridMultilevel"/>
    <w:tmpl w:val="0AC0DE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nsid w:val="3B196C5C"/>
    <w:multiLevelType w:val="hybridMultilevel"/>
    <w:tmpl w:val="9296FDC0"/>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3B1B3A72"/>
    <w:multiLevelType w:val="hybridMultilevel"/>
    <w:tmpl w:val="CA4EC8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8">
    <w:nsid w:val="3B40472C"/>
    <w:multiLevelType w:val="hybridMultilevel"/>
    <w:tmpl w:val="83D62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9">
    <w:nsid w:val="3BF73277"/>
    <w:multiLevelType w:val="multilevel"/>
    <w:tmpl w:val="5C30188A"/>
    <w:lvl w:ilvl="0">
      <w:start w:val="2"/>
      <w:numFmt w:val="decimal"/>
      <w:lvlText w:val="%1"/>
      <w:lvlJc w:val="left"/>
      <w:pPr>
        <w:ind w:left="405" w:hanging="405"/>
      </w:pPr>
      <w:rPr>
        <w:rFonts w:hint="default"/>
      </w:rPr>
    </w:lvl>
    <w:lvl w:ilvl="1">
      <w:start w:val="1"/>
      <w:numFmt w:val="decimal"/>
      <w:lvlText w:val="%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30">
    <w:nsid w:val="3C3C1352"/>
    <w:multiLevelType w:val="hybridMultilevel"/>
    <w:tmpl w:val="91AC06EC"/>
    <w:lvl w:ilvl="0" w:tplc="80326A80">
      <w:numFmt w:val="bullet"/>
      <w:lvlText w:val="-"/>
      <w:lvlJc w:val="left"/>
      <w:pPr>
        <w:tabs>
          <w:tab w:val="num" w:pos="720"/>
        </w:tabs>
        <w:ind w:left="720" w:hanging="360"/>
      </w:pPr>
      <w:rPr>
        <w:rFonts w:ascii="Arial" w:eastAsia="Times New Roman" w:hAnsi="Arial" w:cs="Arial" w:hint="default"/>
      </w:rPr>
    </w:lvl>
    <w:lvl w:ilvl="1" w:tplc="6A5CA1E8">
      <w:start w:val="1"/>
      <w:numFmt w:val="decimal"/>
      <w:lvlText w:val="%2."/>
      <w:lvlJc w:val="left"/>
      <w:pPr>
        <w:tabs>
          <w:tab w:val="num" w:pos="1440"/>
        </w:tabs>
        <w:ind w:left="1440" w:hanging="360"/>
      </w:pPr>
    </w:lvl>
    <w:lvl w:ilvl="2" w:tplc="B2701E74" w:tentative="1">
      <w:start w:val="1"/>
      <w:numFmt w:val="bullet"/>
      <w:lvlText w:val=""/>
      <w:lvlJc w:val="left"/>
      <w:pPr>
        <w:tabs>
          <w:tab w:val="num" w:pos="2160"/>
        </w:tabs>
        <w:ind w:left="2160" w:hanging="360"/>
      </w:pPr>
      <w:rPr>
        <w:rFonts w:ascii="Wingdings" w:hAnsi="Wingdings" w:hint="default"/>
      </w:rPr>
    </w:lvl>
    <w:lvl w:ilvl="3" w:tplc="94AACB8A" w:tentative="1">
      <w:start w:val="1"/>
      <w:numFmt w:val="bullet"/>
      <w:lvlText w:val=""/>
      <w:lvlJc w:val="left"/>
      <w:pPr>
        <w:tabs>
          <w:tab w:val="num" w:pos="2880"/>
        </w:tabs>
        <w:ind w:left="2880" w:hanging="360"/>
      </w:pPr>
      <w:rPr>
        <w:rFonts w:ascii="Wingdings" w:hAnsi="Wingdings" w:hint="default"/>
      </w:rPr>
    </w:lvl>
    <w:lvl w:ilvl="4" w:tplc="E8F46AB8" w:tentative="1">
      <w:start w:val="1"/>
      <w:numFmt w:val="bullet"/>
      <w:lvlText w:val=""/>
      <w:lvlJc w:val="left"/>
      <w:pPr>
        <w:tabs>
          <w:tab w:val="num" w:pos="3600"/>
        </w:tabs>
        <w:ind w:left="3600" w:hanging="360"/>
      </w:pPr>
      <w:rPr>
        <w:rFonts w:ascii="Wingdings" w:hAnsi="Wingdings" w:hint="default"/>
      </w:rPr>
    </w:lvl>
    <w:lvl w:ilvl="5" w:tplc="B55033A4" w:tentative="1">
      <w:start w:val="1"/>
      <w:numFmt w:val="bullet"/>
      <w:lvlText w:val=""/>
      <w:lvlJc w:val="left"/>
      <w:pPr>
        <w:tabs>
          <w:tab w:val="num" w:pos="4320"/>
        </w:tabs>
        <w:ind w:left="4320" w:hanging="360"/>
      </w:pPr>
      <w:rPr>
        <w:rFonts w:ascii="Wingdings" w:hAnsi="Wingdings" w:hint="default"/>
      </w:rPr>
    </w:lvl>
    <w:lvl w:ilvl="6" w:tplc="9E0E049C" w:tentative="1">
      <w:start w:val="1"/>
      <w:numFmt w:val="bullet"/>
      <w:lvlText w:val=""/>
      <w:lvlJc w:val="left"/>
      <w:pPr>
        <w:tabs>
          <w:tab w:val="num" w:pos="5040"/>
        </w:tabs>
        <w:ind w:left="5040" w:hanging="360"/>
      </w:pPr>
      <w:rPr>
        <w:rFonts w:ascii="Wingdings" w:hAnsi="Wingdings" w:hint="default"/>
      </w:rPr>
    </w:lvl>
    <w:lvl w:ilvl="7" w:tplc="36640CE6" w:tentative="1">
      <w:start w:val="1"/>
      <w:numFmt w:val="bullet"/>
      <w:lvlText w:val=""/>
      <w:lvlJc w:val="left"/>
      <w:pPr>
        <w:tabs>
          <w:tab w:val="num" w:pos="5760"/>
        </w:tabs>
        <w:ind w:left="5760" w:hanging="360"/>
      </w:pPr>
      <w:rPr>
        <w:rFonts w:ascii="Wingdings" w:hAnsi="Wingdings" w:hint="default"/>
      </w:rPr>
    </w:lvl>
    <w:lvl w:ilvl="8" w:tplc="44C80C7C" w:tentative="1">
      <w:start w:val="1"/>
      <w:numFmt w:val="bullet"/>
      <w:lvlText w:val=""/>
      <w:lvlJc w:val="left"/>
      <w:pPr>
        <w:tabs>
          <w:tab w:val="num" w:pos="6480"/>
        </w:tabs>
        <w:ind w:left="6480" w:hanging="360"/>
      </w:pPr>
      <w:rPr>
        <w:rFonts w:ascii="Wingdings" w:hAnsi="Wingdings" w:hint="default"/>
      </w:rPr>
    </w:lvl>
  </w:abstractNum>
  <w:abstractNum w:abstractNumId="131">
    <w:nsid w:val="3CCE7B73"/>
    <w:multiLevelType w:val="hybridMultilevel"/>
    <w:tmpl w:val="681A04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2">
    <w:nsid w:val="3D867077"/>
    <w:multiLevelType w:val="hybridMultilevel"/>
    <w:tmpl w:val="8DA69AA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3DB20F4B"/>
    <w:multiLevelType w:val="hybridMultilevel"/>
    <w:tmpl w:val="BAAE18A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4">
    <w:nsid w:val="3E335B96"/>
    <w:multiLevelType w:val="hybridMultilevel"/>
    <w:tmpl w:val="EAE4CD4C"/>
    <w:lvl w:ilvl="0" w:tplc="4F0E559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5">
    <w:nsid w:val="3FFF5CC0"/>
    <w:multiLevelType w:val="hybridMultilevel"/>
    <w:tmpl w:val="D7F2E3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nsid w:val="40B75CA0"/>
    <w:multiLevelType w:val="hybridMultilevel"/>
    <w:tmpl w:val="50FAF7B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41297319"/>
    <w:multiLevelType w:val="hybridMultilevel"/>
    <w:tmpl w:val="AB50A8DE"/>
    <w:lvl w:ilvl="0" w:tplc="80326A80">
      <w:numFmt w:val="bullet"/>
      <w:lvlText w:val="-"/>
      <w:lvlJc w:val="left"/>
      <w:pPr>
        <w:ind w:left="1068" w:hanging="360"/>
      </w:pPr>
      <w:rPr>
        <w:rFonts w:ascii="Arial" w:eastAsia="Times New Roman" w:hAnsi="Arial" w:cs="Aria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8">
    <w:nsid w:val="425C0F69"/>
    <w:multiLevelType w:val="hybridMultilevel"/>
    <w:tmpl w:val="2F507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43461D78"/>
    <w:multiLevelType w:val="multilevel"/>
    <w:tmpl w:val="12D614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0">
    <w:nsid w:val="439160D1"/>
    <w:multiLevelType w:val="hybridMultilevel"/>
    <w:tmpl w:val="03E231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1">
    <w:nsid w:val="43E85886"/>
    <w:multiLevelType w:val="multilevel"/>
    <w:tmpl w:val="DBEA3818"/>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2">
    <w:nsid w:val="443151C8"/>
    <w:multiLevelType w:val="hybridMultilevel"/>
    <w:tmpl w:val="7A08FF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3">
    <w:nsid w:val="444B2A98"/>
    <w:multiLevelType w:val="hybridMultilevel"/>
    <w:tmpl w:val="9B1C2F00"/>
    <w:lvl w:ilvl="0" w:tplc="240A0001">
      <w:start w:val="1"/>
      <w:numFmt w:val="bullet"/>
      <w:lvlText w:val=""/>
      <w:lvlJc w:val="left"/>
      <w:pPr>
        <w:ind w:left="720"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nsid w:val="45662B6F"/>
    <w:multiLevelType w:val="hybridMultilevel"/>
    <w:tmpl w:val="FFC6DB1E"/>
    <w:lvl w:ilvl="0" w:tplc="894247C4">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nsid w:val="45DE16AA"/>
    <w:multiLevelType w:val="hybridMultilevel"/>
    <w:tmpl w:val="ED0455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6">
    <w:nsid w:val="46614D64"/>
    <w:multiLevelType w:val="hybridMultilevel"/>
    <w:tmpl w:val="1A128D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7">
    <w:nsid w:val="47B06264"/>
    <w:multiLevelType w:val="hybridMultilevel"/>
    <w:tmpl w:val="4E1C13E4"/>
    <w:lvl w:ilvl="0" w:tplc="4626A6E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8">
    <w:nsid w:val="47C50238"/>
    <w:multiLevelType w:val="hybridMultilevel"/>
    <w:tmpl w:val="79FE7B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9">
    <w:nsid w:val="483F4F5A"/>
    <w:multiLevelType w:val="multilevel"/>
    <w:tmpl w:val="07440FFA"/>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0">
    <w:nsid w:val="48AF331E"/>
    <w:multiLevelType w:val="hybridMultilevel"/>
    <w:tmpl w:val="76D084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1">
    <w:nsid w:val="48B92AB7"/>
    <w:multiLevelType w:val="hybridMultilevel"/>
    <w:tmpl w:val="F0047CF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2">
    <w:nsid w:val="4B00067B"/>
    <w:multiLevelType w:val="hybridMultilevel"/>
    <w:tmpl w:val="A6D271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3">
    <w:nsid w:val="4BE95F1F"/>
    <w:multiLevelType w:val="multilevel"/>
    <w:tmpl w:val="4D5C4342"/>
    <w:lvl w:ilvl="0">
      <w:start w:val="1"/>
      <w:numFmt w:val="decimal"/>
      <w:lvlText w:val="%1."/>
      <w:lvlJc w:val="left"/>
      <w:pPr>
        <w:ind w:left="360" w:hanging="360"/>
      </w:pPr>
    </w:lvl>
    <w:lvl w:ilvl="1">
      <w:start w:val="6"/>
      <w:numFmt w:val="decimal"/>
      <w:isLgl/>
      <w:lvlText w:val="%1.%2."/>
      <w:lvlJc w:val="left"/>
      <w:pPr>
        <w:ind w:left="900" w:hanging="900"/>
      </w:pPr>
      <w:rPr>
        <w:rFonts w:hint="default"/>
      </w:rPr>
    </w:lvl>
    <w:lvl w:ilvl="2">
      <w:start w:val="3"/>
      <w:numFmt w:val="decimal"/>
      <w:isLgl/>
      <w:lvlText w:val="%1.%2.%3."/>
      <w:lvlJc w:val="left"/>
      <w:pPr>
        <w:ind w:left="900" w:hanging="900"/>
      </w:pPr>
      <w:rPr>
        <w:rFonts w:hint="default"/>
      </w:rPr>
    </w:lvl>
    <w:lvl w:ilvl="3">
      <w:start w:val="2"/>
      <w:numFmt w:val="decimal"/>
      <w:isLgl/>
      <w:lvlText w:val="%1.%2.%3.%4."/>
      <w:lvlJc w:val="left"/>
      <w:pPr>
        <w:ind w:left="1080" w:hanging="1080"/>
      </w:pPr>
      <w:rPr>
        <w:rFonts w:hint="default"/>
      </w:rPr>
    </w:lvl>
    <w:lvl w:ilvl="4">
      <w:start w:val="6"/>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4">
    <w:nsid w:val="4C337AD5"/>
    <w:multiLevelType w:val="multilevel"/>
    <w:tmpl w:val="5546F90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nsid w:val="4C6512F7"/>
    <w:multiLevelType w:val="hybridMultilevel"/>
    <w:tmpl w:val="604A873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6">
    <w:nsid w:val="4CB90816"/>
    <w:multiLevelType w:val="hybridMultilevel"/>
    <w:tmpl w:val="DEB2F8FE"/>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7">
    <w:nsid w:val="4CB92472"/>
    <w:multiLevelType w:val="hybridMultilevel"/>
    <w:tmpl w:val="06B82CC8"/>
    <w:lvl w:ilvl="0" w:tplc="240A0001">
      <w:start w:val="1"/>
      <w:numFmt w:val="bullet"/>
      <w:lvlText w:val=""/>
      <w:lvlJc w:val="left"/>
      <w:pPr>
        <w:ind w:left="635" w:hanging="360"/>
      </w:pPr>
      <w:rPr>
        <w:rFonts w:ascii="Symbol" w:hAnsi="Symbol" w:hint="default"/>
      </w:rPr>
    </w:lvl>
    <w:lvl w:ilvl="1" w:tplc="4F0E559E">
      <w:numFmt w:val="bullet"/>
      <w:lvlText w:val="-"/>
      <w:lvlJc w:val="left"/>
      <w:pPr>
        <w:ind w:left="1700" w:hanging="705"/>
      </w:pPr>
      <w:rPr>
        <w:rFonts w:ascii="Arial" w:eastAsia="Calibri" w:hAnsi="Arial" w:cs="Arial" w:hint="default"/>
      </w:rPr>
    </w:lvl>
    <w:lvl w:ilvl="2" w:tplc="240A0005" w:tentative="1">
      <w:start w:val="1"/>
      <w:numFmt w:val="bullet"/>
      <w:lvlText w:val=""/>
      <w:lvlJc w:val="left"/>
      <w:pPr>
        <w:ind w:left="2075" w:hanging="360"/>
      </w:pPr>
      <w:rPr>
        <w:rFonts w:ascii="Wingdings" w:hAnsi="Wingdings" w:hint="default"/>
      </w:rPr>
    </w:lvl>
    <w:lvl w:ilvl="3" w:tplc="240A0001" w:tentative="1">
      <w:start w:val="1"/>
      <w:numFmt w:val="bullet"/>
      <w:lvlText w:val=""/>
      <w:lvlJc w:val="left"/>
      <w:pPr>
        <w:ind w:left="2795" w:hanging="360"/>
      </w:pPr>
      <w:rPr>
        <w:rFonts w:ascii="Symbol" w:hAnsi="Symbol" w:hint="default"/>
      </w:rPr>
    </w:lvl>
    <w:lvl w:ilvl="4" w:tplc="240A0003" w:tentative="1">
      <w:start w:val="1"/>
      <w:numFmt w:val="bullet"/>
      <w:lvlText w:val="o"/>
      <w:lvlJc w:val="left"/>
      <w:pPr>
        <w:ind w:left="3515" w:hanging="360"/>
      </w:pPr>
      <w:rPr>
        <w:rFonts w:ascii="Courier New" w:hAnsi="Courier New" w:cs="Courier New" w:hint="default"/>
      </w:rPr>
    </w:lvl>
    <w:lvl w:ilvl="5" w:tplc="240A0005" w:tentative="1">
      <w:start w:val="1"/>
      <w:numFmt w:val="bullet"/>
      <w:lvlText w:val=""/>
      <w:lvlJc w:val="left"/>
      <w:pPr>
        <w:ind w:left="4235" w:hanging="360"/>
      </w:pPr>
      <w:rPr>
        <w:rFonts w:ascii="Wingdings" w:hAnsi="Wingdings" w:hint="default"/>
      </w:rPr>
    </w:lvl>
    <w:lvl w:ilvl="6" w:tplc="240A0001" w:tentative="1">
      <w:start w:val="1"/>
      <w:numFmt w:val="bullet"/>
      <w:lvlText w:val=""/>
      <w:lvlJc w:val="left"/>
      <w:pPr>
        <w:ind w:left="4955" w:hanging="360"/>
      </w:pPr>
      <w:rPr>
        <w:rFonts w:ascii="Symbol" w:hAnsi="Symbol" w:hint="default"/>
      </w:rPr>
    </w:lvl>
    <w:lvl w:ilvl="7" w:tplc="240A0003" w:tentative="1">
      <w:start w:val="1"/>
      <w:numFmt w:val="bullet"/>
      <w:lvlText w:val="o"/>
      <w:lvlJc w:val="left"/>
      <w:pPr>
        <w:ind w:left="5675" w:hanging="360"/>
      </w:pPr>
      <w:rPr>
        <w:rFonts w:ascii="Courier New" w:hAnsi="Courier New" w:cs="Courier New" w:hint="default"/>
      </w:rPr>
    </w:lvl>
    <w:lvl w:ilvl="8" w:tplc="240A0005" w:tentative="1">
      <w:start w:val="1"/>
      <w:numFmt w:val="bullet"/>
      <w:lvlText w:val=""/>
      <w:lvlJc w:val="left"/>
      <w:pPr>
        <w:ind w:left="6395" w:hanging="360"/>
      </w:pPr>
      <w:rPr>
        <w:rFonts w:ascii="Wingdings" w:hAnsi="Wingdings" w:hint="default"/>
      </w:rPr>
    </w:lvl>
  </w:abstractNum>
  <w:abstractNum w:abstractNumId="158">
    <w:nsid w:val="4CF04EC4"/>
    <w:multiLevelType w:val="hybridMultilevel"/>
    <w:tmpl w:val="635C2DA4"/>
    <w:lvl w:ilvl="0" w:tplc="75CA5096">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9">
    <w:nsid w:val="4D2F52A8"/>
    <w:multiLevelType w:val="hybridMultilevel"/>
    <w:tmpl w:val="B25E5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0">
    <w:nsid w:val="4D532C68"/>
    <w:multiLevelType w:val="hybridMultilevel"/>
    <w:tmpl w:val="79D67BC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1">
    <w:nsid w:val="4E764418"/>
    <w:multiLevelType w:val="hybridMultilevel"/>
    <w:tmpl w:val="46463994"/>
    <w:lvl w:ilvl="0" w:tplc="9C584700">
      <w:start w:val="5"/>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2">
    <w:nsid w:val="4E7F336B"/>
    <w:multiLevelType w:val="hybridMultilevel"/>
    <w:tmpl w:val="BCB645C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3">
    <w:nsid w:val="4F2B6241"/>
    <w:multiLevelType w:val="hybridMultilevel"/>
    <w:tmpl w:val="2BD6FD1A"/>
    <w:styleLink w:val="Vietagrande"/>
    <w:lvl w:ilvl="0" w:tplc="080A0019">
      <w:start w:val="1"/>
      <w:numFmt w:val="lowerLetter"/>
      <w:lvlText w:val="%1."/>
      <w:lvlJc w:val="left"/>
      <w:pPr>
        <w:ind w:left="1440" w:hanging="360"/>
      </w:pPr>
    </w:lvl>
    <w:lvl w:ilvl="1" w:tplc="240A0019" w:tentative="1">
      <w:start w:val="1"/>
      <w:numFmt w:val="lowerLetter"/>
      <w:lvlText w:val="%2."/>
      <w:lvlJc w:val="left"/>
      <w:pPr>
        <w:ind w:left="1528" w:hanging="360"/>
      </w:pPr>
    </w:lvl>
    <w:lvl w:ilvl="2" w:tplc="240A001B" w:tentative="1">
      <w:start w:val="1"/>
      <w:numFmt w:val="lowerRoman"/>
      <w:lvlText w:val="%3."/>
      <w:lvlJc w:val="right"/>
      <w:pPr>
        <w:ind w:left="2248" w:hanging="180"/>
      </w:pPr>
    </w:lvl>
    <w:lvl w:ilvl="3" w:tplc="240A000F" w:tentative="1">
      <w:start w:val="1"/>
      <w:numFmt w:val="decimal"/>
      <w:lvlText w:val="%4."/>
      <w:lvlJc w:val="left"/>
      <w:pPr>
        <w:ind w:left="2968" w:hanging="360"/>
      </w:pPr>
    </w:lvl>
    <w:lvl w:ilvl="4" w:tplc="240A0019" w:tentative="1">
      <w:start w:val="1"/>
      <w:numFmt w:val="lowerLetter"/>
      <w:lvlText w:val="%5."/>
      <w:lvlJc w:val="left"/>
      <w:pPr>
        <w:ind w:left="3688" w:hanging="360"/>
      </w:pPr>
    </w:lvl>
    <w:lvl w:ilvl="5" w:tplc="240A001B" w:tentative="1">
      <w:start w:val="1"/>
      <w:numFmt w:val="lowerRoman"/>
      <w:lvlText w:val="%6."/>
      <w:lvlJc w:val="right"/>
      <w:pPr>
        <w:ind w:left="4408" w:hanging="180"/>
      </w:pPr>
    </w:lvl>
    <w:lvl w:ilvl="6" w:tplc="240A000F" w:tentative="1">
      <w:start w:val="1"/>
      <w:numFmt w:val="decimal"/>
      <w:lvlText w:val="%7."/>
      <w:lvlJc w:val="left"/>
      <w:pPr>
        <w:ind w:left="5128" w:hanging="360"/>
      </w:pPr>
    </w:lvl>
    <w:lvl w:ilvl="7" w:tplc="240A0019" w:tentative="1">
      <w:start w:val="1"/>
      <w:numFmt w:val="lowerLetter"/>
      <w:lvlText w:val="%8."/>
      <w:lvlJc w:val="left"/>
      <w:pPr>
        <w:ind w:left="5848" w:hanging="360"/>
      </w:pPr>
    </w:lvl>
    <w:lvl w:ilvl="8" w:tplc="240A001B" w:tentative="1">
      <w:start w:val="1"/>
      <w:numFmt w:val="lowerRoman"/>
      <w:lvlText w:val="%9."/>
      <w:lvlJc w:val="right"/>
      <w:pPr>
        <w:ind w:left="6568" w:hanging="180"/>
      </w:pPr>
    </w:lvl>
  </w:abstractNum>
  <w:abstractNum w:abstractNumId="164">
    <w:nsid w:val="5064460F"/>
    <w:multiLevelType w:val="hybridMultilevel"/>
    <w:tmpl w:val="E9644CF8"/>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nsid w:val="50726117"/>
    <w:multiLevelType w:val="hybridMultilevel"/>
    <w:tmpl w:val="085C2AB2"/>
    <w:lvl w:ilvl="0" w:tplc="9C584700">
      <w:start w:val="5"/>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6">
    <w:nsid w:val="50866697"/>
    <w:multiLevelType w:val="hybridMultilevel"/>
    <w:tmpl w:val="F118E6E6"/>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nsid w:val="50907B7A"/>
    <w:multiLevelType w:val="hybridMultilevel"/>
    <w:tmpl w:val="B54A529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8">
    <w:nsid w:val="51380DB4"/>
    <w:multiLevelType w:val="hybridMultilevel"/>
    <w:tmpl w:val="C1A6711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9">
    <w:nsid w:val="5172481A"/>
    <w:multiLevelType w:val="hybridMultilevel"/>
    <w:tmpl w:val="A73C567C"/>
    <w:lvl w:ilvl="0" w:tplc="24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0">
    <w:nsid w:val="51CB30EB"/>
    <w:multiLevelType w:val="multilevel"/>
    <w:tmpl w:val="C89CA3A0"/>
    <w:lvl w:ilvl="0">
      <w:start w:val="1"/>
      <w:numFmt w:val="bullet"/>
      <w:lvlText w:val=""/>
      <w:lvlJc w:val="left"/>
      <w:pPr>
        <w:ind w:left="360" w:hanging="360"/>
      </w:pPr>
      <w:rPr>
        <w:rFonts w:ascii="Symbol" w:hAnsi="Symbol" w:hint="default"/>
      </w:rPr>
    </w:lvl>
    <w:lvl w:ilvl="1">
      <w:start w:val="1"/>
      <w:numFmt w:val="decimal"/>
      <w:lvlText w:val="%1.%2."/>
      <w:lvlJc w:val="left"/>
      <w:pPr>
        <w:ind w:left="-4595" w:hanging="432"/>
      </w:pPr>
      <w:rPr>
        <w:rFonts w:hint="default"/>
      </w:rPr>
    </w:lvl>
    <w:lvl w:ilvl="2">
      <w:start w:val="1"/>
      <w:numFmt w:val="decimal"/>
      <w:lvlText w:val="%1.%2.%3."/>
      <w:lvlJc w:val="left"/>
      <w:pPr>
        <w:ind w:left="-4163" w:hanging="504"/>
      </w:pPr>
      <w:rPr>
        <w:rFonts w:hint="default"/>
      </w:rPr>
    </w:lvl>
    <w:lvl w:ilvl="3">
      <w:start w:val="1"/>
      <w:numFmt w:val="decimal"/>
      <w:lvlText w:val="%1.%2.%3.%4."/>
      <w:lvlJc w:val="left"/>
      <w:pPr>
        <w:ind w:left="-3659" w:hanging="648"/>
      </w:pPr>
      <w:rPr>
        <w:rFonts w:hint="default"/>
      </w:rPr>
    </w:lvl>
    <w:lvl w:ilvl="4">
      <w:start w:val="1"/>
      <w:numFmt w:val="decimal"/>
      <w:lvlText w:val="%1.%2.%3.%4.%5."/>
      <w:lvlJc w:val="left"/>
      <w:pPr>
        <w:ind w:left="-3155" w:hanging="792"/>
      </w:pPr>
      <w:rPr>
        <w:rFonts w:hint="default"/>
      </w:rPr>
    </w:lvl>
    <w:lvl w:ilvl="5">
      <w:start w:val="1"/>
      <w:numFmt w:val="decimal"/>
      <w:lvlText w:val="%1.%2.%3.%4.%5.%6."/>
      <w:lvlJc w:val="left"/>
      <w:pPr>
        <w:ind w:left="-2651" w:hanging="936"/>
      </w:pPr>
      <w:rPr>
        <w:rFonts w:hint="default"/>
      </w:rPr>
    </w:lvl>
    <w:lvl w:ilvl="6">
      <w:start w:val="1"/>
      <w:numFmt w:val="decimal"/>
      <w:lvlText w:val="%1.%2.%3.%4.%5.%6.%7."/>
      <w:lvlJc w:val="left"/>
      <w:pPr>
        <w:ind w:left="-2147" w:hanging="1080"/>
      </w:pPr>
      <w:rPr>
        <w:rFonts w:hint="default"/>
      </w:rPr>
    </w:lvl>
    <w:lvl w:ilvl="7">
      <w:start w:val="1"/>
      <w:numFmt w:val="decimal"/>
      <w:lvlText w:val="%1.%2.%3.%4.%5.%6.%7.%8."/>
      <w:lvlJc w:val="left"/>
      <w:pPr>
        <w:ind w:left="-1643" w:hanging="1224"/>
      </w:pPr>
      <w:rPr>
        <w:rFonts w:hint="default"/>
      </w:rPr>
    </w:lvl>
    <w:lvl w:ilvl="8">
      <w:start w:val="1"/>
      <w:numFmt w:val="decimal"/>
      <w:lvlText w:val="%1.%2.%3.%4.%5.%6.%7.%8.%9."/>
      <w:lvlJc w:val="left"/>
      <w:pPr>
        <w:ind w:left="-1067" w:hanging="1440"/>
      </w:pPr>
      <w:rPr>
        <w:rFonts w:hint="default"/>
      </w:rPr>
    </w:lvl>
  </w:abstractNum>
  <w:abstractNum w:abstractNumId="171">
    <w:nsid w:val="523C17C1"/>
    <w:multiLevelType w:val="hybridMultilevel"/>
    <w:tmpl w:val="2CAC25CA"/>
    <w:lvl w:ilvl="0" w:tplc="01904EAA">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2">
    <w:nsid w:val="5379136F"/>
    <w:multiLevelType w:val="hybridMultilevel"/>
    <w:tmpl w:val="9C0865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3">
    <w:nsid w:val="53CD175C"/>
    <w:multiLevelType w:val="hybridMultilevel"/>
    <w:tmpl w:val="A77258A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4">
    <w:nsid w:val="53E374F9"/>
    <w:multiLevelType w:val="hybridMultilevel"/>
    <w:tmpl w:val="AF1C3D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nsid w:val="540809AF"/>
    <w:multiLevelType w:val="hybridMultilevel"/>
    <w:tmpl w:val="4AB6B74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25" w:hanging="705"/>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6">
    <w:nsid w:val="54120EAC"/>
    <w:multiLevelType w:val="hybridMultilevel"/>
    <w:tmpl w:val="1DC430BE"/>
    <w:lvl w:ilvl="0" w:tplc="240A0003">
      <w:start w:val="1"/>
      <w:numFmt w:val="bullet"/>
      <w:lvlText w:val="o"/>
      <w:lvlJc w:val="left"/>
      <w:pPr>
        <w:ind w:left="644" w:hanging="360"/>
      </w:pPr>
      <w:rPr>
        <w:rFonts w:ascii="Courier New" w:hAnsi="Courier New" w:cs="Courier New" w:hint="default"/>
      </w:rPr>
    </w:lvl>
    <w:lvl w:ilvl="1" w:tplc="240A0003">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77">
    <w:nsid w:val="54226A73"/>
    <w:multiLevelType w:val="hybridMultilevel"/>
    <w:tmpl w:val="F99090FE"/>
    <w:lvl w:ilvl="0" w:tplc="24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4AD3AF6"/>
    <w:multiLevelType w:val="hybridMultilevel"/>
    <w:tmpl w:val="7990106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9">
    <w:nsid w:val="5678087B"/>
    <w:multiLevelType w:val="hybridMultilevel"/>
    <w:tmpl w:val="149AB8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0">
    <w:nsid w:val="56A83C6E"/>
    <w:multiLevelType w:val="hybridMultilevel"/>
    <w:tmpl w:val="195075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1">
    <w:nsid w:val="577C05E6"/>
    <w:multiLevelType w:val="hybridMultilevel"/>
    <w:tmpl w:val="CBEE10A8"/>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2">
    <w:nsid w:val="58101520"/>
    <w:multiLevelType w:val="hybridMultilevel"/>
    <w:tmpl w:val="508A46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3">
    <w:nsid w:val="58853D15"/>
    <w:multiLevelType w:val="hybridMultilevel"/>
    <w:tmpl w:val="2CE0D1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4">
    <w:nsid w:val="58BC5CE3"/>
    <w:multiLevelType w:val="hybridMultilevel"/>
    <w:tmpl w:val="8D5ED992"/>
    <w:lvl w:ilvl="0" w:tplc="240A0003">
      <w:start w:val="1"/>
      <w:numFmt w:val="bullet"/>
      <w:lvlText w:val="o"/>
      <w:lvlJc w:val="left"/>
      <w:pPr>
        <w:ind w:left="1068" w:hanging="360"/>
      </w:pPr>
      <w:rPr>
        <w:rFonts w:ascii="Courier New" w:hAnsi="Courier New" w:cs="Courier New" w:hint="default"/>
      </w:rPr>
    </w:lvl>
    <w:lvl w:ilvl="1" w:tplc="240A0003">
      <w:start w:val="1"/>
      <w:numFmt w:val="bullet"/>
      <w:lvlText w:val="o"/>
      <w:lvlJc w:val="left"/>
      <w:pPr>
        <w:ind w:left="732" w:hanging="360"/>
      </w:pPr>
      <w:rPr>
        <w:rFonts w:ascii="Courier New" w:hAnsi="Courier New" w:cs="Courier New" w:hint="default"/>
      </w:rPr>
    </w:lvl>
    <w:lvl w:ilvl="2" w:tplc="240A0005">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185">
    <w:nsid w:val="595A19E0"/>
    <w:multiLevelType w:val="hybridMultilevel"/>
    <w:tmpl w:val="A8A2EB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6">
    <w:nsid w:val="5A606FF8"/>
    <w:multiLevelType w:val="hybridMultilevel"/>
    <w:tmpl w:val="B9F6B7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7">
    <w:nsid w:val="5BED54B7"/>
    <w:multiLevelType w:val="hybridMultilevel"/>
    <w:tmpl w:val="584E0FCC"/>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8">
    <w:nsid w:val="5C95776B"/>
    <w:multiLevelType w:val="multilevel"/>
    <w:tmpl w:val="FD100692"/>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9">
    <w:nsid w:val="5C96254B"/>
    <w:multiLevelType w:val="multilevel"/>
    <w:tmpl w:val="B13863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nsid w:val="5D0977CE"/>
    <w:multiLevelType w:val="hybridMultilevel"/>
    <w:tmpl w:val="C400DB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1">
    <w:nsid w:val="5DE016E7"/>
    <w:multiLevelType w:val="hybridMultilevel"/>
    <w:tmpl w:val="7CB46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2">
    <w:nsid w:val="5DFB3F2E"/>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86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3">
    <w:nsid w:val="5E5D5C21"/>
    <w:multiLevelType w:val="multilevel"/>
    <w:tmpl w:val="5FF49178"/>
    <w:lvl w:ilvl="0">
      <w:start w:val="4"/>
      <w:numFmt w:val="decimal"/>
      <w:lvlText w:val="%1."/>
      <w:lvlJc w:val="left"/>
      <w:pPr>
        <w:ind w:left="360" w:hanging="36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4">
    <w:nsid w:val="5F1B4B10"/>
    <w:multiLevelType w:val="hybridMultilevel"/>
    <w:tmpl w:val="DA487E3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5">
    <w:nsid w:val="5F3412DB"/>
    <w:multiLevelType w:val="hybridMultilevel"/>
    <w:tmpl w:val="3186662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6">
    <w:nsid w:val="5F70122B"/>
    <w:multiLevelType w:val="hybridMultilevel"/>
    <w:tmpl w:val="193C6C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7">
    <w:nsid w:val="61971DC6"/>
    <w:multiLevelType w:val="hybridMultilevel"/>
    <w:tmpl w:val="F76EF9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8">
    <w:nsid w:val="61D20DC5"/>
    <w:multiLevelType w:val="hybridMultilevel"/>
    <w:tmpl w:val="DE502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9">
    <w:nsid w:val="61E43194"/>
    <w:multiLevelType w:val="hybridMultilevel"/>
    <w:tmpl w:val="8F76057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0">
    <w:nsid w:val="620D6698"/>
    <w:multiLevelType w:val="hybridMultilevel"/>
    <w:tmpl w:val="F9E443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1">
    <w:nsid w:val="62245D0B"/>
    <w:multiLevelType w:val="hybridMultilevel"/>
    <w:tmpl w:val="4F140DAA"/>
    <w:lvl w:ilvl="0" w:tplc="894247C4">
      <w:start w:val="1"/>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2">
    <w:nsid w:val="62CE326F"/>
    <w:multiLevelType w:val="hybridMultilevel"/>
    <w:tmpl w:val="773E11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3">
    <w:nsid w:val="63021AED"/>
    <w:multiLevelType w:val="hybridMultilevel"/>
    <w:tmpl w:val="45788B3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4">
    <w:nsid w:val="63D47F1C"/>
    <w:multiLevelType w:val="hybridMultilevel"/>
    <w:tmpl w:val="613813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5">
    <w:nsid w:val="63F5672F"/>
    <w:multiLevelType w:val="hybridMultilevel"/>
    <w:tmpl w:val="76A2C420"/>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6">
    <w:nsid w:val="64445ADC"/>
    <w:multiLevelType w:val="hybridMultilevel"/>
    <w:tmpl w:val="CBE83D3E"/>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7">
    <w:nsid w:val="6462566D"/>
    <w:multiLevelType w:val="multilevel"/>
    <w:tmpl w:val="1AD820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8">
    <w:nsid w:val="65315BF6"/>
    <w:multiLevelType w:val="hybridMultilevel"/>
    <w:tmpl w:val="7B14260C"/>
    <w:lvl w:ilvl="0" w:tplc="2622486C">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9">
    <w:nsid w:val="667D1704"/>
    <w:multiLevelType w:val="hybridMultilevel"/>
    <w:tmpl w:val="54E666E8"/>
    <w:lvl w:ilvl="0" w:tplc="240A0003">
      <w:start w:val="1"/>
      <w:numFmt w:val="bullet"/>
      <w:lvlText w:val="o"/>
      <w:lvlJc w:val="left"/>
      <w:pPr>
        <w:ind w:left="456" w:hanging="360"/>
      </w:pPr>
      <w:rPr>
        <w:rFonts w:ascii="Courier New" w:hAnsi="Courier New" w:cs="Courier New" w:hint="default"/>
      </w:rPr>
    </w:lvl>
    <w:lvl w:ilvl="1" w:tplc="240A0003" w:tentative="1">
      <w:start w:val="1"/>
      <w:numFmt w:val="bullet"/>
      <w:lvlText w:val="o"/>
      <w:lvlJc w:val="left"/>
      <w:pPr>
        <w:ind w:left="1176" w:hanging="360"/>
      </w:pPr>
      <w:rPr>
        <w:rFonts w:ascii="Courier New" w:hAnsi="Courier New" w:cs="Courier New" w:hint="default"/>
      </w:rPr>
    </w:lvl>
    <w:lvl w:ilvl="2" w:tplc="240A0005" w:tentative="1">
      <w:start w:val="1"/>
      <w:numFmt w:val="bullet"/>
      <w:lvlText w:val=""/>
      <w:lvlJc w:val="left"/>
      <w:pPr>
        <w:ind w:left="1896" w:hanging="360"/>
      </w:pPr>
      <w:rPr>
        <w:rFonts w:ascii="Wingdings" w:hAnsi="Wingdings" w:hint="default"/>
      </w:rPr>
    </w:lvl>
    <w:lvl w:ilvl="3" w:tplc="240A0001" w:tentative="1">
      <w:start w:val="1"/>
      <w:numFmt w:val="bullet"/>
      <w:lvlText w:val=""/>
      <w:lvlJc w:val="left"/>
      <w:pPr>
        <w:ind w:left="2616" w:hanging="360"/>
      </w:pPr>
      <w:rPr>
        <w:rFonts w:ascii="Symbol" w:hAnsi="Symbol" w:hint="default"/>
      </w:rPr>
    </w:lvl>
    <w:lvl w:ilvl="4" w:tplc="240A0003" w:tentative="1">
      <w:start w:val="1"/>
      <w:numFmt w:val="bullet"/>
      <w:lvlText w:val="o"/>
      <w:lvlJc w:val="left"/>
      <w:pPr>
        <w:ind w:left="3336" w:hanging="360"/>
      </w:pPr>
      <w:rPr>
        <w:rFonts w:ascii="Courier New" w:hAnsi="Courier New" w:cs="Courier New" w:hint="default"/>
      </w:rPr>
    </w:lvl>
    <w:lvl w:ilvl="5" w:tplc="240A0005" w:tentative="1">
      <w:start w:val="1"/>
      <w:numFmt w:val="bullet"/>
      <w:lvlText w:val=""/>
      <w:lvlJc w:val="left"/>
      <w:pPr>
        <w:ind w:left="4056" w:hanging="360"/>
      </w:pPr>
      <w:rPr>
        <w:rFonts w:ascii="Wingdings" w:hAnsi="Wingdings" w:hint="default"/>
      </w:rPr>
    </w:lvl>
    <w:lvl w:ilvl="6" w:tplc="240A0001" w:tentative="1">
      <w:start w:val="1"/>
      <w:numFmt w:val="bullet"/>
      <w:lvlText w:val=""/>
      <w:lvlJc w:val="left"/>
      <w:pPr>
        <w:ind w:left="4776" w:hanging="360"/>
      </w:pPr>
      <w:rPr>
        <w:rFonts w:ascii="Symbol" w:hAnsi="Symbol" w:hint="default"/>
      </w:rPr>
    </w:lvl>
    <w:lvl w:ilvl="7" w:tplc="240A0003" w:tentative="1">
      <w:start w:val="1"/>
      <w:numFmt w:val="bullet"/>
      <w:lvlText w:val="o"/>
      <w:lvlJc w:val="left"/>
      <w:pPr>
        <w:ind w:left="5496" w:hanging="360"/>
      </w:pPr>
      <w:rPr>
        <w:rFonts w:ascii="Courier New" w:hAnsi="Courier New" w:cs="Courier New" w:hint="default"/>
      </w:rPr>
    </w:lvl>
    <w:lvl w:ilvl="8" w:tplc="240A0005" w:tentative="1">
      <w:start w:val="1"/>
      <w:numFmt w:val="bullet"/>
      <w:lvlText w:val=""/>
      <w:lvlJc w:val="left"/>
      <w:pPr>
        <w:ind w:left="6216" w:hanging="360"/>
      </w:pPr>
      <w:rPr>
        <w:rFonts w:ascii="Wingdings" w:hAnsi="Wingdings" w:hint="default"/>
      </w:rPr>
    </w:lvl>
  </w:abstractNum>
  <w:abstractNum w:abstractNumId="210">
    <w:nsid w:val="669F2606"/>
    <w:multiLevelType w:val="hybridMultilevel"/>
    <w:tmpl w:val="D1788B1C"/>
    <w:lvl w:ilvl="0" w:tplc="23ACCFBE">
      <w:start w:val="1"/>
      <w:numFmt w:val="bullet"/>
      <w:lvlText w:val="o"/>
      <w:lvlJc w:val="left"/>
      <w:pPr>
        <w:ind w:left="360" w:hanging="360"/>
      </w:pPr>
      <w:rPr>
        <w:rFonts w:ascii="Courier New" w:hAnsi="Courier New" w:cs="Courier New"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1">
    <w:nsid w:val="66AC2711"/>
    <w:multiLevelType w:val="hybridMultilevel"/>
    <w:tmpl w:val="0FF8DC9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2">
    <w:nsid w:val="672126B7"/>
    <w:multiLevelType w:val="hybridMultilevel"/>
    <w:tmpl w:val="FA08A14E"/>
    <w:lvl w:ilvl="0" w:tplc="240A0001">
      <w:start w:val="1"/>
      <w:numFmt w:val="bullet"/>
      <w:lvlText w:val=""/>
      <w:lvlJc w:val="left"/>
      <w:pPr>
        <w:ind w:left="720" w:hanging="360"/>
      </w:pPr>
      <w:rPr>
        <w:rFonts w:ascii="Symbol" w:hAnsi="Symbol" w:hint="default"/>
      </w:rPr>
    </w:lvl>
    <w:lvl w:ilvl="1" w:tplc="BEE6267C">
      <w:start w:val="1"/>
      <w:numFmt w:val="bullet"/>
      <w:lvlText w:val="o"/>
      <w:lvlJc w:val="left"/>
      <w:pPr>
        <w:ind w:left="1440" w:hanging="360"/>
      </w:pPr>
      <w:rPr>
        <w:rFonts w:ascii="Courier New" w:hAnsi="Courier New" w:cs="Courier New" w:hint="default"/>
        <w:color w:val="auto"/>
      </w:rPr>
    </w:lvl>
    <w:lvl w:ilvl="2" w:tplc="240A0005">
      <w:start w:val="1"/>
      <w:numFmt w:val="bullet"/>
      <w:lvlText w:val=""/>
      <w:lvlJc w:val="left"/>
      <w:pPr>
        <w:ind w:left="2160" w:hanging="360"/>
      </w:pPr>
      <w:rPr>
        <w:rFonts w:ascii="Wingdings" w:hAnsi="Wingdings" w:hint="default"/>
      </w:rPr>
    </w:lvl>
    <w:lvl w:ilvl="3" w:tplc="AB8EEDDA">
      <w:numFmt w:val="bullet"/>
      <w:lvlText w:val=""/>
      <w:lvlJc w:val="left"/>
      <w:pPr>
        <w:ind w:left="2880" w:hanging="360"/>
      </w:pPr>
      <w:rPr>
        <w:rFonts w:ascii="Wingdings" w:eastAsia="Calibri" w:hAnsi="Wingdings" w:cs="Aria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3">
    <w:nsid w:val="67253CE7"/>
    <w:multiLevelType w:val="multilevel"/>
    <w:tmpl w:val="558C77DE"/>
    <w:lvl w:ilvl="0">
      <w:start w:val="1"/>
      <w:numFmt w:val="decimal"/>
      <w:lvlText w:val="%1."/>
      <w:lvlJc w:val="left"/>
      <w:pPr>
        <w:ind w:left="360" w:hanging="360"/>
      </w:pPr>
      <w:rPr>
        <w:rFonts w:hint="default"/>
      </w:rPr>
    </w:lvl>
    <w:lvl w:ilvl="1">
      <w:start w:val="7"/>
      <w:numFmt w:val="decimal"/>
      <w:isLgl/>
      <w:lvlText w:val="%1.%2"/>
      <w:lvlJc w:val="left"/>
      <w:pPr>
        <w:ind w:left="754" w:hanging="660"/>
      </w:pPr>
      <w:rPr>
        <w:rFonts w:hint="default"/>
      </w:rPr>
    </w:lvl>
    <w:lvl w:ilvl="2">
      <w:start w:val="1"/>
      <w:numFmt w:val="decimal"/>
      <w:isLgl/>
      <w:lvlText w:val="%1.%2.%3"/>
      <w:lvlJc w:val="left"/>
      <w:pPr>
        <w:ind w:left="908" w:hanging="720"/>
      </w:pPr>
      <w:rPr>
        <w:rFonts w:hint="default"/>
      </w:rPr>
    </w:lvl>
    <w:lvl w:ilvl="3">
      <w:start w:val="1"/>
      <w:numFmt w:val="decimal"/>
      <w:isLgl/>
      <w:lvlText w:val="%1.%2.%3.%4"/>
      <w:lvlJc w:val="left"/>
      <w:pPr>
        <w:ind w:left="1002" w:hanging="720"/>
      </w:pPr>
      <w:rPr>
        <w:rFonts w:hint="default"/>
      </w:rPr>
    </w:lvl>
    <w:lvl w:ilvl="4">
      <w:start w:val="1"/>
      <w:numFmt w:val="decimal"/>
      <w:isLgl/>
      <w:lvlText w:val="%1.%2.%3.%4.%5"/>
      <w:lvlJc w:val="left"/>
      <w:pPr>
        <w:ind w:left="1456" w:hanging="1080"/>
      </w:pPr>
      <w:rPr>
        <w:rFonts w:hint="default"/>
      </w:rPr>
    </w:lvl>
    <w:lvl w:ilvl="5">
      <w:start w:val="1"/>
      <w:numFmt w:val="decimal"/>
      <w:isLgl/>
      <w:lvlText w:val="%1.%2.%3.%4.%5.%6"/>
      <w:lvlJc w:val="left"/>
      <w:pPr>
        <w:ind w:left="1550"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98" w:hanging="1440"/>
      </w:pPr>
      <w:rPr>
        <w:rFonts w:hint="default"/>
      </w:rPr>
    </w:lvl>
    <w:lvl w:ilvl="8">
      <w:start w:val="1"/>
      <w:numFmt w:val="decimal"/>
      <w:isLgl/>
      <w:lvlText w:val="%1.%2.%3.%4.%5.%6.%7.%8.%9"/>
      <w:lvlJc w:val="left"/>
      <w:pPr>
        <w:ind w:left="2552" w:hanging="1800"/>
      </w:pPr>
      <w:rPr>
        <w:rFonts w:hint="default"/>
      </w:rPr>
    </w:lvl>
  </w:abstractNum>
  <w:abstractNum w:abstractNumId="214">
    <w:nsid w:val="680F4566"/>
    <w:multiLevelType w:val="hybridMultilevel"/>
    <w:tmpl w:val="2BAE2E34"/>
    <w:lvl w:ilvl="0" w:tplc="240A0001">
      <w:start w:val="1"/>
      <w:numFmt w:val="bullet"/>
      <w:lvlText w:val=""/>
      <w:lvlJc w:val="left"/>
      <w:pPr>
        <w:ind w:left="360" w:hanging="360"/>
      </w:pPr>
      <w:rPr>
        <w:rFonts w:ascii="Symbol" w:hAnsi="Symbol" w:hint="default"/>
      </w:rPr>
    </w:lvl>
    <w:lvl w:ilvl="1" w:tplc="6784C162">
      <w:numFmt w:val="bullet"/>
      <w:lvlText w:val="-"/>
      <w:lvlJc w:val="left"/>
      <w:pPr>
        <w:ind w:left="1425" w:hanging="705"/>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5">
    <w:nsid w:val="68246C86"/>
    <w:multiLevelType w:val="hybridMultilevel"/>
    <w:tmpl w:val="5B08DC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6">
    <w:nsid w:val="68ED1244"/>
    <w:multiLevelType w:val="hybridMultilevel"/>
    <w:tmpl w:val="4D46DC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7">
    <w:nsid w:val="6A157C15"/>
    <w:multiLevelType w:val="hybridMultilevel"/>
    <w:tmpl w:val="162E69A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8">
    <w:nsid w:val="6A337A70"/>
    <w:multiLevelType w:val="hybridMultilevel"/>
    <w:tmpl w:val="C416F20E"/>
    <w:lvl w:ilvl="0" w:tplc="240A0003">
      <w:start w:val="1"/>
      <w:numFmt w:val="bullet"/>
      <w:lvlText w:val="o"/>
      <w:lvlJc w:val="left"/>
      <w:pPr>
        <w:ind w:left="720" w:hanging="360"/>
      </w:pPr>
      <w:rPr>
        <w:rFonts w:ascii="Courier New" w:hAnsi="Courier New" w:cs="Courier New"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9">
    <w:nsid w:val="6A3676F2"/>
    <w:multiLevelType w:val="hybridMultilevel"/>
    <w:tmpl w:val="F18ACE06"/>
    <w:lvl w:ilvl="0" w:tplc="240A0005">
      <w:start w:val="1"/>
      <w:numFmt w:val="bullet"/>
      <w:lvlText w:val=""/>
      <w:lvlJc w:val="left"/>
      <w:pPr>
        <w:ind w:left="636" w:hanging="360"/>
      </w:pPr>
      <w:rPr>
        <w:rFonts w:ascii="Wingdings" w:hAnsi="Wingdings" w:hint="default"/>
      </w:rPr>
    </w:lvl>
    <w:lvl w:ilvl="1" w:tplc="240A0003" w:tentative="1">
      <w:start w:val="1"/>
      <w:numFmt w:val="bullet"/>
      <w:lvlText w:val="o"/>
      <w:lvlJc w:val="left"/>
      <w:pPr>
        <w:ind w:left="1356" w:hanging="360"/>
      </w:pPr>
      <w:rPr>
        <w:rFonts w:ascii="Courier New" w:hAnsi="Courier New" w:cs="Courier New" w:hint="default"/>
      </w:rPr>
    </w:lvl>
    <w:lvl w:ilvl="2" w:tplc="240A0005" w:tentative="1">
      <w:start w:val="1"/>
      <w:numFmt w:val="bullet"/>
      <w:lvlText w:val=""/>
      <w:lvlJc w:val="left"/>
      <w:pPr>
        <w:ind w:left="2076" w:hanging="360"/>
      </w:pPr>
      <w:rPr>
        <w:rFonts w:ascii="Wingdings" w:hAnsi="Wingdings" w:hint="default"/>
      </w:rPr>
    </w:lvl>
    <w:lvl w:ilvl="3" w:tplc="240A0001" w:tentative="1">
      <w:start w:val="1"/>
      <w:numFmt w:val="bullet"/>
      <w:lvlText w:val=""/>
      <w:lvlJc w:val="left"/>
      <w:pPr>
        <w:ind w:left="2796" w:hanging="360"/>
      </w:pPr>
      <w:rPr>
        <w:rFonts w:ascii="Symbol" w:hAnsi="Symbol" w:hint="default"/>
      </w:rPr>
    </w:lvl>
    <w:lvl w:ilvl="4" w:tplc="240A0003" w:tentative="1">
      <w:start w:val="1"/>
      <w:numFmt w:val="bullet"/>
      <w:lvlText w:val="o"/>
      <w:lvlJc w:val="left"/>
      <w:pPr>
        <w:ind w:left="3516" w:hanging="360"/>
      </w:pPr>
      <w:rPr>
        <w:rFonts w:ascii="Courier New" w:hAnsi="Courier New" w:cs="Courier New" w:hint="default"/>
      </w:rPr>
    </w:lvl>
    <w:lvl w:ilvl="5" w:tplc="240A0005" w:tentative="1">
      <w:start w:val="1"/>
      <w:numFmt w:val="bullet"/>
      <w:lvlText w:val=""/>
      <w:lvlJc w:val="left"/>
      <w:pPr>
        <w:ind w:left="4236" w:hanging="360"/>
      </w:pPr>
      <w:rPr>
        <w:rFonts w:ascii="Wingdings" w:hAnsi="Wingdings" w:hint="default"/>
      </w:rPr>
    </w:lvl>
    <w:lvl w:ilvl="6" w:tplc="240A0001" w:tentative="1">
      <w:start w:val="1"/>
      <w:numFmt w:val="bullet"/>
      <w:lvlText w:val=""/>
      <w:lvlJc w:val="left"/>
      <w:pPr>
        <w:ind w:left="4956" w:hanging="360"/>
      </w:pPr>
      <w:rPr>
        <w:rFonts w:ascii="Symbol" w:hAnsi="Symbol" w:hint="default"/>
      </w:rPr>
    </w:lvl>
    <w:lvl w:ilvl="7" w:tplc="240A0003" w:tentative="1">
      <w:start w:val="1"/>
      <w:numFmt w:val="bullet"/>
      <w:lvlText w:val="o"/>
      <w:lvlJc w:val="left"/>
      <w:pPr>
        <w:ind w:left="5676" w:hanging="360"/>
      </w:pPr>
      <w:rPr>
        <w:rFonts w:ascii="Courier New" w:hAnsi="Courier New" w:cs="Courier New" w:hint="default"/>
      </w:rPr>
    </w:lvl>
    <w:lvl w:ilvl="8" w:tplc="240A0005" w:tentative="1">
      <w:start w:val="1"/>
      <w:numFmt w:val="bullet"/>
      <w:lvlText w:val=""/>
      <w:lvlJc w:val="left"/>
      <w:pPr>
        <w:ind w:left="6396" w:hanging="360"/>
      </w:pPr>
      <w:rPr>
        <w:rFonts w:ascii="Wingdings" w:hAnsi="Wingdings" w:hint="default"/>
      </w:rPr>
    </w:lvl>
  </w:abstractNum>
  <w:abstractNum w:abstractNumId="220">
    <w:nsid w:val="6ADD7CD4"/>
    <w:multiLevelType w:val="hybridMultilevel"/>
    <w:tmpl w:val="9E4A2C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1">
    <w:nsid w:val="6B086FE1"/>
    <w:multiLevelType w:val="hybridMultilevel"/>
    <w:tmpl w:val="A47221AA"/>
    <w:lvl w:ilvl="0" w:tplc="240A0005">
      <w:start w:val="1"/>
      <w:numFmt w:val="bullet"/>
      <w:lvlText w:val=""/>
      <w:lvlJc w:val="left"/>
      <w:pPr>
        <w:tabs>
          <w:tab w:val="num" w:pos="720"/>
        </w:tabs>
        <w:ind w:left="720" w:hanging="360"/>
      </w:pPr>
      <w:rPr>
        <w:rFonts w:ascii="Wingdings" w:hAnsi="Wingdings" w:hint="default"/>
      </w:rPr>
    </w:lvl>
    <w:lvl w:ilvl="1" w:tplc="BFA485D0">
      <w:start w:val="1"/>
      <w:numFmt w:val="bullet"/>
      <w:lvlText w:val=""/>
      <w:lvlJc w:val="left"/>
      <w:pPr>
        <w:tabs>
          <w:tab w:val="num" w:pos="1440"/>
        </w:tabs>
        <w:ind w:left="1440" w:hanging="360"/>
      </w:pPr>
      <w:rPr>
        <w:rFonts w:ascii="Wingdings" w:hAnsi="Wingdings" w:hint="default"/>
      </w:rPr>
    </w:lvl>
    <w:lvl w:ilvl="2" w:tplc="1D6ADC8A" w:tentative="1">
      <w:start w:val="1"/>
      <w:numFmt w:val="bullet"/>
      <w:lvlText w:val=""/>
      <w:lvlJc w:val="left"/>
      <w:pPr>
        <w:tabs>
          <w:tab w:val="num" w:pos="2160"/>
        </w:tabs>
        <w:ind w:left="2160" w:hanging="360"/>
      </w:pPr>
      <w:rPr>
        <w:rFonts w:ascii="Wingdings" w:hAnsi="Wingdings" w:hint="default"/>
      </w:rPr>
    </w:lvl>
    <w:lvl w:ilvl="3" w:tplc="29643800" w:tentative="1">
      <w:start w:val="1"/>
      <w:numFmt w:val="bullet"/>
      <w:lvlText w:val=""/>
      <w:lvlJc w:val="left"/>
      <w:pPr>
        <w:tabs>
          <w:tab w:val="num" w:pos="2880"/>
        </w:tabs>
        <w:ind w:left="2880" w:hanging="360"/>
      </w:pPr>
      <w:rPr>
        <w:rFonts w:ascii="Wingdings" w:hAnsi="Wingdings" w:hint="default"/>
      </w:rPr>
    </w:lvl>
    <w:lvl w:ilvl="4" w:tplc="B066EF04" w:tentative="1">
      <w:start w:val="1"/>
      <w:numFmt w:val="bullet"/>
      <w:lvlText w:val=""/>
      <w:lvlJc w:val="left"/>
      <w:pPr>
        <w:tabs>
          <w:tab w:val="num" w:pos="3600"/>
        </w:tabs>
        <w:ind w:left="3600" w:hanging="360"/>
      </w:pPr>
      <w:rPr>
        <w:rFonts w:ascii="Wingdings" w:hAnsi="Wingdings" w:hint="default"/>
      </w:rPr>
    </w:lvl>
    <w:lvl w:ilvl="5" w:tplc="283499A2" w:tentative="1">
      <w:start w:val="1"/>
      <w:numFmt w:val="bullet"/>
      <w:lvlText w:val=""/>
      <w:lvlJc w:val="left"/>
      <w:pPr>
        <w:tabs>
          <w:tab w:val="num" w:pos="4320"/>
        </w:tabs>
        <w:ind w:left="4320" w:hanging="360"/>
      </w:pPr>
      <w:rPr>
        <w:rFonts w:ascii="Wingdings" w:hAnsi="Wingdings" w:hint="default"/>
      </w:rPr>
    </w:lvl>
    <w:lvl w:ilvl="6" w:tplc="85EAC8C2" w:tentative="1">
      <w:start w:val="1"/>
      <w:numFmt w:val="bullet"/>
      <w:lvlText w:val=""/>
      <w:lvlJc w:val="left"/>
      <w:pPr>
        <w:tabs>
          <w:tab w:val="num" w:pos="5040"/>
        </w:tabs>
        <w:ind w:left="5040" w:hanging="360"/>
      </w:pPr>
      <w:rPr>
        <w:rFonts w:ascii="Wingdings" w:hAnsi="Wingdings" w:hint="default"/>
      </w:rPr>
    </w:lvl>
    <w:lvl w:ilvl="7" w:tplc="4C4091D6" w:tentative="1">
      <w:start w:val="1"/>
      <w:numFmt w:val="bullet"/>
      <w:lvlText w:val=""/>
      <w:lvlJc w:val="left"/>
      <w:pPr>
        <w:tabs>
          <w:tab w:val="num" w:pos="5760"/>
        </w:tabs>
        <w:ind w:left="5760" w:hanging="360"/>
      </w:pPr>
      <w:rPr>
        <w:rFonts w:ascii="Wingdings" w:hAnsi="Wingdings" w:hint="default"/>
      </w:rPr>
    </w:lvl>
    <w:lvl w:ilvl="8" w:tplc="549675E6" w:tentative="1">
      <w:start w:val="1"/>
      <w:numFmt w:val="bullet"/>
      <w:lvlText w:val=""/>
      <w:lvlJc w:val="left"/>
      <w:pPr>
        <w:tabs>
          <w:tab w:val="num" w:pos="6480"/>
        </w:tabs>
        <w:ind w:left="6480" w:hanging="360"/>
      </w:pPr>
      <w:rPr>
        <w:rFonts w:ascii="Wingdings" w:hAnsi="Wingdings" w:hint="default"/>
      </w:rPr>
    </w:lvl>
  </w:abstractNum>
  <w:abstractNum w:abstractNumId="222">
    <w:nsid w:val="6C455141"/>
    <w:multiLevelType w:val="multilevel"/>
    <w:tmpl w:val="DEB4328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nsid w:val="6C4F53CA"/>
    <w:multiLevelType w:val="hybridMultilevel"/>
    <w:tmpl w:val="603C46F6"/>
    <w:lvl w:ilvl="0" w:tplc="240A0001">
      <w:start w:val="1"/>
      <w:numFmt w:val="bullet"/>
      <w:lvlText w:val=""/>
      <w:lvlJc w:val="left"/>
      <w:pPr>
        <w:tabs>
          <w:tab w:val="num" w:pos="360"/>
        </w:tabs>
        <w:ind w:left="360" w:hanging="360"/>
      </w:pPr>
      <w:rPr>
        <w:rFonts w:ascii="Symbol" w:hAnsi="Symbol" w:hint="default"/>
      </w:rPr>
    </w:lvl>
    <w:lvl w:ilvl="1" w:tplc="58ECE518">
      <w:start w:val="1"/>
      <w:numFmt w:val="bullet"/>
      <w:lvlText w:val="•"/>
      <w:lvlJc w:val="left"/>
      <w:pPr>
        <w:tabs>
          <w:tab w:val="num" w:pos="1080"/>
        </w:tabs>
        <w:ind w:left="1080" w:hanging="360"/>
      </w:pPr>
      <w:rPr>
        <w:rFonts w:ascii="Arial" w:hAnsi="Arial" w:cs="Times New Roman" w:hint="default"/>
      </w:rPr>
    </w:lvl>
    <w:lvl w:ilvl="2" w:tplc="4BB600F6">
      <w:start w:val="1"/>
      <w:numFmt w:val="bullet"/>
      <w:lvlText w:val="•"/>
      <w:lvlJc w:val="left"/>
      <w:pPr>
        <w:tabs>
          <w:tab w:val="num" w:pos="1800"/>
        </w:tabs>
        <w:ind w:left="1800" w:hanging="360"/>
      </w:pPr>
      <w:rPr>
        <w:rFonts w:ascii="Arial" w:hAnsi="Arial" w:cs="Times New Roman" w:hint="default"/>
      </w:rPr>
    </w:lvl>
    <w:lvl w:ilvl="3" w:tplc="54C0DAAE">
      <w:start w:val="1"/>
      <w:numFmt w:val="bullet"/>
      <w:lvlText w:val="•"/>
      <w:lvlJc w:val="left"/>
      <w:pPr>
        <w:tabs>
          <w:tab w:val="num" w:pos="2520"/>
        </w:tabs>
        <w:ind w:left="2520" w:hanging="360"/>
      </w:pPr>
      <w:rPr>
        <w:rFonts w:ascii="Arial" w:hAnsi="Arial" w:cs="Times New Roman" w:hint="default"/>
      </w:rPr>
    </w:lvl>
    <w:lvl w:ilvl="4" w:tplc="03B0F37C">
      <w:start w:val="1"/>
      <w:numFmt w:val="bullet"/>
      <w:lvlText w:val="•"/>
      <w:lvlJc w:val="left"/>
      <w:pPr>
        <w:tabs>
          <w:tab w:val="num" w:pos="3240"/>
        </w:tabs>
        <w:ind w:left="3240" w:hanging="360"/>
      </w:pPr>
      <w:rPr>
        <w:rFonts w:ascii="Arial" w:hAnsi="Arial" w:cs="Times New Roman" w:hint="default"/>
      </w:rPr>
    </w:lvl>
    <w:lvl w:ilvl="5" w:tplc="97BEEE72">
      <w:start w:val="1"/>
      <w:numFmt w:val="bullet"/>
      <w:lvlText w:val="•"/>
      <w:lvlJc w:val="left"/>
      <w:pPr>
        <w:tabs>
          <w:tab w:val="num" w:pos="3960"/>
        </w:tabs>
        <w:ind w:left="3960" w:hanging="360"/>
      </w:pPr>
      <w:rPr>
        <w:rFonts w:ascii="Arial" w:hAnsi="Arial" w:cs="Times New Roman" w:hint="default"/>
      </w:rPr>
    </w:lvl>
    <w:lvl w:ilvl="6" w:tplc="3886D6EE">
      <w:start w:val="1"/>
      <w:numFmt w:val="bullet"/>
      <w:lvlText w:val="•"/>
      <w:lvlJc w:val="left"/>
      <w:pPr>
        <w:tabs>
          <w:tab w:val="num" w:pos="4680"/>
        </w:tabs>
        <w:ind w:left="4680" w:hanging="360"/>
      </w:pPr>
      <w:rPr>
        <w:rFonts w:ascii="Arial" w:hAnsi="Arial" w:cs="Times New Roman" w:hint="default"/>
      </w:rPr>
    </w:lvl>
    <w:lvl w:ilvl="7" w:tplc="FCC49274">
      <w:start w:val="1"/>
      <w:numFmt w:val="bullet"/>
      <w:lvlText w:val="•"/>
      <w:lvlJc w:val="left"/>
      <w:pPr>
        <w:tabs>
          <w:tab w:val="num" w:pos="5400"/>
        </w:tabs>
        <w:ind w:left="5400" w:hanging="360"/>
      </w:pPr>
      <w:rPr>
        <w:rFonts w:ascii="Arial" w:hAnsi="Arial" w:cs="Times New Roman" w:hint="default"/>
      </w:rPr>
    </w:lvl>
    <w:lvl w:ilvl="8" w:tplc="D374ABDC">
      <w:start w:val="1"/>
      <w:numFmt w:val="bullet"/>
      <w:lvlText w:val="•"/>
      <w:lvlJc w:val="left"/>
      <w:pPr>
        <w:tabs>
          <w:tab w:val="num" w:pos="6120"/>
        </w:tabs>
        <w:ind w:left="6120" w:hanging="360"/>
      </w:pPr>
      <w:rPr>
        <w:rFonts w:ascii="Arial" w:hAnsi="Arial" w:cs="Times New Roman" w:hint="default"/>
      </w:rPr>
    </w:lvl>
  </w:abstractNum>
  <w:abstractNum w:abstractNumId="224">
    <w:nsid w:val="6DBE54F4"/>
    <w:multiLevelType w:val="hybridMultilevel"/>
    <w:tmpl w:val="BACA6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5">
    <w:nsid w:val="6E160167"/>
    <w:multiLevelType w:val="hybridMultilevel"/>
    <w:tmpl w:val="E3B67624"/>
    <w:lvl w:ilvl="0" w:tplc="240A0017">
      <w:start w:val="1"/>
      <w:numFmt w:val="low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6">
    <w:nsid w:val="6E29645C"/>
    <w:multiLevelType w:val="multilevel"/>
    <w:tmpl w:val="25C67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nsid w:val="6E630F60"/>
    <w:multiLevelType w:val="hybridMultilevel"/>
    <w:tmpl w:val="04D0E65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8">
    <w:nsid w:val="6EE46784"/>
    <w:multiLevelType w:val="multilevel"/>
    <w:tmpl w:val="50A09B08"/>
    <w:lvl w:ilvl="0">
      <w:start w:val="1"/>
      <w:numFmt w:val="decimal"/>
      <w:pStyle w:val="Estilo1"/>
      <w:lvlText w:val="%1."/>
      <w:lvlJc w:val="left"/>
      <w:pPr>
        <w:ind w:left="720" w:hanging="360"/>
      </w:pPr>
      <w:rPr>
        <w:rFonts w:hint="default"/>
        <w:sz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9">
    <w:nsid w:val="6F4C0BD4"/>
    <w:multiLevelType w:val="hybridMultilevel"/>
    <w:tmpl w:val="E382AC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0">
    <w:nsid w:val="704857C9"/>
    <w:multiLevelType w:val="hybridMultilevel"/>
    <w:tmpl w:val="CD0011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70803785"/>
    <w:multiLevelType w:val="hybridMultilevel"/>
    <w:tmpl w:val="43EC40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32">
    <w:nsid w:val="71731381"/>
    <w:multiLevelType w:val="hybridMultilevel"/>
    <w:tmpl w:val="DA28D746"/>
    <w:lvl w:ilvl="0" w:tplc="7BE6BC0E">
      <w:start w:val="1"/>
      <w:numFmt w:val="bullet"/>
      <w:lvlText w:val="•"/>
      <w:lvlJc w:val="left"/>
      <w:pPr>
        <w:tabs>
          <w:tab w:val="num" w:pos="720"/>
        </w:tabs>
        <w:ind w:left="720" w:hanging="360"/>
      </w:pPr>
      <w:rPr>
        <w:rFonts w:ascii="Arial" w:hAnsi="Arial" w:hint="default"/>
      </w:rPr>
    </w:lvl>
    <w:lvl w:ilvl="1" w:tplc="9C584700">
      <w:start w:val="5"/>
      <w:numFmt w:val="bullet"/>
      <w:lvlText w:val="-"/>
      <w:lvlJc w:val="left"/>
      <w:pPr>
        <w:tabs>
          <w:tab w:val="num" w:pos="1440"/>
        </w:tabs>
        <w:ind w:left="1440" w:hanging="360"/>
      </w:pPr>
      <w:rPr>
        <w:rFonts w:ascii="Calibri" w:eastAsiaTheme="minorHAnsi" w:hAnsi="Calibri" w:cs="Times New Roman" w:hint="default"/>
      </w:rPr>
    </w:lvl>
    <w:lvl w:ilvl="2" w:tplc="FAAE9DF6" w:tentative="1">
      <w:start w:val="1"/>
      <w:numFmt w:val="bullet"/>
      <w:lvlText w:val="•"/>
      <w:lvlJc w:val="left"/>
      <w:pPr>
        <w:tabs>
          <w:tab w:val="num" w:pos="2160"/>
        </w:tabs>
        <w:ind w:left="2160" w:hanging="360"/>
      </w:pPr>
      <w:rPr>
        <w:rFonts w:ascii="Arial" w:hAnsi="Arial" w:hint="default"/>
      </w:rPr>
    </w:lvl>
    <w:lvl w:ilvl="3" w:tplc="511021DC" w:tentative="1">
      <w:start w:val="1"/>
      <w:numFmt w:val="bullet"/>
      <w:lvlText w:val="•"/>
      <w:lvlJc w:val="left"/>
      <w:pPr>
        <w:tabs>
          <w:tab w:val="num" w:pos="2880"/>
        </w:tabs>
        <w:ind w:left="2880" w:hanging="360"/>
      </w:pPr>
      <w:rPr>
        <w:rFonts w:ascii="Arial" w:hAnsi="Arial" w:hint="default"/>
      </w:rPr>
    </w:lvl>
    <w:lvl w:ilvl="4" w:tplc="70282446" w:tentative="1">
      <w:start w:val="1"/>
      <w:numFmt w:val="bullet"/>
      <w:lvlText w:val="•"/>
      <w:lvlJc w:val="left"/>
      <w:pPr>
        <w:tabs>
          <w:tab w:val="num" w:pos="3600"/>
        </w:tabs>
        <w:ind w:left="3600" w:hanging="360"/>
      </w:pPr>
      <w:rPr>
        <w:rFonts w:ascii="Arial" w:hAnsi="Arial" w:hint="default"/>
      </w:rPr>
    </w:lvl>
    <w:lvl w:ilvl="5" w:tplc="08A2A382" w:tentative="1">
      <w:start w:val="1"/>
      <w:numFmt w:val="bullet"/>
      <w:lvlText w:val="•"/>
      <w:lvlJc w:val="left"/>
      <w:pPr>
        <w:tabs>
          <w:tab w:val="num" w:pos="4320"/>
        </w:tabs>
        <w:ind w:left="4320" w:hanging="360"/>
      </w:pPr>
      <w:rPr>
        <w:rFonts w:ascii="Arial" w:hAnsi="Arial" w:hint="default"/>
      </w:rPr>
    </w:lvl>
    <w:lvl w:ilvl="6" w:tplc="4732BD58" w:tentative="1">
      <w:start w:val="1"/>
      <w:numFmt w:val="bullet"/>
      <w:lvlText w:val="•"/>
      <w:lvlJc w:val="left"/>
      <w:pPr>
        <w:tabs>
          <w:tab w:val="num" w:pos="5040"/>
        </w:tabs>
        <w:ind w:left="5040" w:hanging="360"/>
      </w:pPr>
      <w:rPr>
        <w:rFonts w:ascii="Arial" w:hAnsi="Arial" w:hint="default"/>
      </w:rPr>
    </w:lvl>
    <w:lvl w:ilvl="7" w:tplc="5858C426" w:tentative="1">
      <w:start w:val="1"/>
      <w:numFmt w:val="bullet"/>
      <w:lvlText w:val="•"/>
      <w:lvlJc w:val="left"/>
      <w:pPr>
        <w:tabs>
          <w:tab w:val="num" w:pos="5760"/>
        </w:tabs>
        <w:ind w:left="5760" w:hanging="360"/>
      </w:pPr>
      <w:rPr>
        <w:rFonts w:ascii="Arial" w:hAnsi="Arial" w:hint="default"/>
      </w:rPr>
    </w:lvl>
    <w:lvl w:ilvl="8" w:tplc="8BA251D8" w:tentative="1">
      <w:start w:val="1"/>
      <w:numFmt w:val="bullet"/>
      <w:lvlText w:val="•"/>
      <w:lvlJc w:val="left"/>
      <w:pPr>
        <w:tabs>
          <w:tab w:val="num" w:pos="6480"/>
        </w:tabs>
        <w:ind w:left="6480" w:hanging="360"/>
      </w:pPr>
      <w:rPr>
        <w:rFonts w:ascii="Arial" w:hAnsi="Arial" w:hint="default"/>
      </w:rPr>
    </w:lvl>
  </w:abstractNum>
  <w:abstractNum w:abstractNumId="233">
    <w:nsid w:val="71790DB7"/>
    <w:multiLevelType w:val="hybridMultilevel"/>
    <w:tmpl w:val="874C18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4">
    <w:nsid w:val="718433FD"/>
    <w:multiLevelType w:val="hybridMultilevel"/>
    <w:tmpl w:val="680C0AC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5">
    <w:nsid w:val="72032A0A"/>
    <w:multiLevelType w:val="hybridMultilevel"/>
    <w:tmpl w:val="199CD890"/>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6">
    <w:nsid w:val="72BC77A1"/>
    <w:multiLevelType w:val="hybridMultilevel"/>
    <w:tmpl w:val="781653DC"/>
    <w:lvl w:ilvl="0" w:tplc="D4D6A330">
      <w:start w:val="1"/>
      <w:numFmt w:val="lowerLetter"/>
      <w:lvlText w:val="%1."/>
      <w:lvlJc w:val="left"/>
      <w:pPr>
        <w:ind w:left="720" w:hanging="360"/>
      </w:pPr>
      <w:rPr>
        <w:rFonts w:ascii="Century Gothic" w:hAnsi="Century Gothic"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7">
    <w:nsid w:val="74C45A28"/>
    <w:multiLevelType w:val="hybridMultilevel"/>
    <w:tmpl w:val="1966A13C"/>
    <w:lvl w:ilvl="0" w:tplc="0C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8">
    <w:nsid w:val="74E24F0F"/>
    <w:multiLevelType w:val="hybridMultilevel"/>
    <w:tmpl w:val="6AB03EBA"/>
    <w:lvl w:ilvl="0" w:tplc="80326A8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9">
    <w:nsid w:val="76167B2E"/>
    <w:multiLevelType w:val="hybridMultilevel"/>
    <w:tmpl w:val="DB1A1B40"/>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0">
    <w:nsid w:val="774F6543"/>
    <w:multiLevelType w:val="hybridMultilevel"/>
    <w:tmpl w:val="4BF215D2"/>
    <w:lvl w:ilvl="0" w:tplc="240A0001">
      <w:start w:val="1"/>
      <w:numFmt w:val="bullet"/>
      <w:lvlText w:val=""/>
      <w:lvlJc w:val="left"/>
      <w:pPr>
        <w:ind w:left="1220" w:hanging="360"/>
      </w:pPr>
      <w:rPr>
        <w:rFonts w:ascii="Symbol" w:hAnsi="Symbol" w:hint="default"/>
      </w:rPr>
    </w:lvl>
    <w:lvl w:ilvl="1" w:tplc="240A0003" w:tentative="1">
      <w:start w:val="1"/>
      <w:numFmt w:val="bullet"/>
      <w:lvlText w:val="o"/>
      <w:lvlJc w:val="left"/>
      <w:pPr>
        <w:ind w:left="1940" w:hanging="360"/>
      </w:pPr>
      <w:rPr>
        <w:rFonts w:ascii="Courier New" w:hAnsi="Courier New" w:cs="Courier New" w:hint="default"/>
      </w:rPr>
    </w:lvl>
    <w:lvl w:ilvl="2" w:tplc="240A0005" w:tentative="1">
      <w:start w:val="1"/>
      <w:numFmt w:val="bullet"/>
      <w:lvlText w:val=""/>
      <w:lvlJc w:val="left"/>
      <w:pPr>
        <w:ind w:left="2660" w:hanging="360"/>
      </w:pPr>
      <w:rPr>
        <w:rFonts w:ascii="Wingdings" w:hAnsi="Wingdings" w:hint="default"/>
      </w:rPr>
    </w:lvl>
    <w:lvl w:ilvl="3" w:tplc="240A0001" w:tentative="1">
      <w:start w:val="1"/>
      <w:numFmt w:val="bullet"/>
      <w:lvlText w:val=""/>
      <w:lvlJc w:val="left"/>
      <w:pPr>
        <w:ind w:left="3380" w:hanging="360"/>
      </w:pPr>
      <w:rPr>
        <w:rFonts w:ascii="Symbol" w:hAnsi="Symbol" w:hint="default"/>
      </w:rPr>
    </w:lvl>
    <w:lvl w:ilvl="4" w:tplc="240A0003" w:tentative="1">
      <w:start w:val="1"/>
      <w:numFmt w:val="bullet"/>
      <w:lvlText w:val="o"/>
      <w:lvlJc w:val="left"/>
      <w:pPr>
        <w:ind w:left="4100" w:hanging="360"/>
      </w:pPr>
      <w:rPr>
        <w:rFonts w:ascii="Courier New" w:hAnsi="Courier New" w:cs="Courier New" w:hint="default"/>
      </w:rPr>
    </w:lvl>
    <w:lvl w:ilvl="5" w:tplc="240A0005" w:tentative="1">
      <w:start w:val="1"/>
      <w:numFmt w:val="bullet"/>
      <w:lvlText w:val=""/>
      <w:lvlJc w:val="left"/>
      <w:pPr>
        <w:ind w:left="4820" w:hanging="360"/>
      </w:pPr>
      <w:rPr>
        <w:rFonts w:ascii="Wingdings" w:hAnsi="Wingdings" w:hint="default"/>
      </w:rPr>
    </w:lvl>
    <w:lvl w:ilvl="6" w:tplc="240A0001" w:tentative="1">
      <w:start w:val="1"/>
      <w:numFmt w:val="bullet"/>
      <w:lvlText w:val=""/>
      <w:lvlJc w:val="left"/>
      <w:pPr>
        <w:ind w:left="5540" w:hanging="360"/>
      </w:pPr>
      <w:rPr>
        <w:rFonts w:ascii="Symbol" w:hAnsi="Symbol" w:hint="default"/>
      </w:rPr>
    </w:lvl>
    <w:lvl w:ilvl="7" w:tplc="240A0003" w:tentative="1">
      <w:start w:val="1"/>
      <w:numFmt w:val="bullet"/>
      <w:lvlText w:val="o"/>
      <w:lvlJc w:val="left"/>
      <w:pPr>
        <w:ind w:left="6260" w:hanging="360"/>
      </w:pPr>
      <w:rPr>
        <w:rFonts w:ascii="Courier New" w:hAnsi="Courier New" w:cs="Courier New" w:hint="default"/>
      </w:rPr>
    </w:lvl>
    <w:lvl w:ilvl="8" w:tplc="240A0005" w:tentative="1">
      <w:start w:val="1"/>
      <w:numFmt w:val="bullet"/>
      <w:lvlText w:val=""/>
      <w:lvlJc w:val="left"/>
      <w:pPr>
        <w:ind w:left="6980" w:hanging="360"/>
      </w:pPr>
      <w:rPr>
        <w:rFonts w:ascii="Wingdings" w:hAnsi="Wingdings" w:hint="default"/>
      </w:rPr>
    </w:lvl>
  </w:abstractNum>
  <w:abstractNum w:abstractNumId="241">
    <w:nsid w:val="77AF4B95"/>
    <w:multiLevelType w:val="hybridMultilevel"/>
    <w:tmpl w:val="B7FA61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2">
    <w:nsid w:val="77E553B7"/>
    <w:multiLevelType w:val="hybridMultilevel"/>
    <w:tmpl w:val="A7A0431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3">
    <w:nsid w:val="78AE7343"/>
    <w:multiLevelType w:val="hybridMultilevel"/>
    <w:tmpl w:val="61EAAF3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4">
    <w:nsid w:val="78C60885"/>
    <w:multiLevelType w:val="hybridMultilevel"/>
    <w:tmpl w:val="F5A08404"/>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5">
    <w:nsid w:val="794F2786"/>
    <w:multiLevelType w:val="hybridMultilevel"/>
    <w:tmpl w:val="05AAC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6">
    <w:nsid w:val="797123D1"/>
    <w:multiLevelType w:val="hybridMultilevel"/>
    <w:tmpl w:val="81F4E164"/>
    <w:lvl w:ilvl="0" w:tplc="469C2202">
      <w:start w:val="1"/>
      <w:numFmt w:val="bullet"/>
      <w:lvlText w:val=""/>
      <w:lvlJc w:val="left"/>
      <w:pPr>
        <w:tabs>
          <w:tab w:val="num" w:pos="720"/>
        </w:tabs>
        <w:ind w:left="720" w:hanging="360"/>
      </w:pPr>
      <w:rPr>
        <w:rFonts w:ascii="Wingdings" w:hAnsi="Wingdings" w:hint="default"/>
      </w:rPr>
    </w:lvl>
    <w:lvl w:ilvl="1" w:tplc="9C584700">
      <w:start w:val="5"/>
      <w:numFmt w:val="bullet"/>
      <w:lvlText w:val="-"/>
      <w:lvlJc w:val="left"/>
      <w:pPr>
        <w:tabs>
          <w:tab w:val="num" w:pos="1440"/>
        </w:tabs>
        <w:ind w:left="1440" w:hanging="360"/>
      </w:pPr>
      <w:rPr>
        <w:rFonts w:ascii="Calibri" w:eastAsiaTheme="minorHAnsi" w:hAnsi="Calibri" w:cs="Times New Roman" w:hint="default"/>
      </w:rPr>
    </w:lvl>
    <w:lvl w:ilvl="2" w:tplc="6F241490" w:tentative="1">
      <w:start w:val="1"/>
      <w:numFmt w:val="bullet"/>
      <w:lvlText w:val=""/>
      <w:lvlJc w:val="left"/>
      <w:pPr>
        <w:tabs>
          <w:tab w:val="num" w:pos="2160"/>
        </w:tabs>
        <w:ind w:left="2160" w:hanging="360"/>
      </w:pPr>
      <w:rPr>
        <w:rFonts w:ascii="Wingdings" w:hAnsi="Wingdings" w:hint="default"/>
      </w:rPr>
    </w:lvl>
    <w:lvl w:ilvl="3" w:tplc="31EA60C4" w:tentative="1">
      <w:start w:val="1"/>
      <w:numFmt w:val="bullet"/>
      <w:lvlText w:val=""/>
      <w:lvlJc w:val="left"/>
      <w:pPr>
        <w:tabs>
          <w:tab w:val="num" w:pos="2880"/>
        </w:tabs>
        <w:ind w:left="2880" w:hanging="360"/>
      </w:pPr>
      <w:rPr>
        <w:rFonts w:ascii="Wingdings" w:hAnsi="Wingdings" w:hint="default"/>
      </w:rPr>
    </w:lvl>
    <w:lvl w:ilvl="4" w:tplc="A29E00D0" w:tentative="1">
      <w:start w:val="1"/>
      <w:numFmt w:val="bullet"/>
      <w:lvlText w:val=""/>
      <w:lvlJc w:val="left"/>
      <w:pPr>
        <w:tabs>
          <w:tab w:val="num" w:pos="3600"/>
        </w:tabs>
        <w:ind w:left="3600" w:hanging="360"/>
      </w:pPr>
      <w:rPr>
        <w:rFonts w:ascii="Wingdings" w:hAnsi="Wingdings" w:hint="default"/>
      </w:rPr>
    </w:lvl>
    <w:lvl w:ilvl="5" w:tplc="976C782C" w:tentative="1">
      <w:start w:val="1"/>
      <w:numFmt w:val="bullet"/>
      <w:lvlText w:val=""/>
      <w:lvlJc w:val="left"/>
      <w:pPr>
        <w:tabs>
          <w:tab w:val="num" w:pos="4320"/>
        </w:tabs>
        <w:ind w:left="4320" w:hanging="360"/>
      </w:pPr>
      <w:rPr>
        <w:rFonts w:ascii="Wingdings" w:hAnsi="Wingdings" w:hint="default"/>
      </w:rPr>
    </w:lvl>
    <w:lvl w:ilvl="6" w:tplc="ABBC0108" w:tentative="1">
      <w:start w:val="1"/>
      <w:numFmt w:val="bullet"/>
      <w:lvlText w:val=""/>
      <w:lvlJc w:val="left"/>
      <w:pPr>
        <w:tabs>
          <w:tab w:val="num" w:pos="5040"/>
        </w:tabs>
        <w:ind w:left="5040" w:hanging="360"/>
      </w:pPr>
      <w:rPr>
        <w:rFonts w:ascii="Wingdings" w:hAnsi="Wingdings" w:hint="default"/>
      </w:rPr>
    </w:lvl>
    <w:lvl w:ilvl="7" w:tplc="E244EB8E" w:tentative="1">
      <w:start w:val="1"/>
      <w:numFmt w:val="bullet"/>
      <w:lvlText w:val=""/>
      <w:lvlJc w:val="left"/>
      <w:pPr>
        <w:tabs>
          <w:tab w:val="num" w:pos="5760"/>
        </w:tabs>
        <w:ind w:left="5760" w:hanging="360"/>
      </w:pPr>
      <w:rPr>
        <w:rFonts w:ascii="Wingdings" w:hAnsi="Wingdings" w:hint="default"/>
      </w:rPr>
    </w:lvl>
    <w:lvl w:ilvl="8" w:tplc="6F50DB4C" w:tentative="1">
      <w:start w:val="1"/>
      <w:numFmt w:val="bullet"/>
      <w:lvlText w:val=""/>
      <w:lvlJc w:val="left"/>
      <w:pPr>
        <w:tabs>
          <w:tab w:val="num" w:pos="6480"/>
        </w:tabs>
        <w:ind w:left="6480" w:hanging="360"/>
      </w:pPr>
      <w:rPr>
        <w:rFonts w:ascii="Wingdings" w:hAnsi="Wingdings" w:hint="default"/>
      </w:rPr>
    </w:lvl>
  </w:abstractNum>
  <w:abstractNum w:abstractNumId="247">
    <w:nsid w:val="7A4C0513"/>
    <w:multiLevelType w:val="hybridMultilevel"/>
    <w:tmpl w:val="690698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8">
    <w:nsid w:val="7AC523CD"/>
    <w:multiLevelType w:val="multilevel"/>
    <w:tmpl w:val="2DCE95E2"/>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9">
    <w:nsid w:val="7B890A23"/>
    <w:multiLevelType w:val="hybridMultilevel"/>
    <w:tmpl w:val="1584D9AC"/>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0">
    <w:nsid w:val="7BEA0F8D"/>
    <w:multiLevelType w:val="hybridMultilevel"/>
    <w:tmpl w:val="7CC0420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1">
    <w:nsid w:val="7C133C39"/>
    <w:multiLevelType w:val="hybridMultilevel"/>
    <w:tmpl w:val="37E6FBBE"/>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2">
    <w:nsid w:val="7C175F50"/>
    <w:multiLevelType w:val="multilevel"/>
    <w:tmpl w:val="11E842B2"/>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3">
    <w:nsid w:val="7CE93B07"/>
    <w:multiLevelType w:val="hybridMultilevel"/>
    <w:tmpl w:val="7CBC99E8"/>
    <w:lvl w:ilvl="0" w:tplc="0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4">
    <w:nsid w:val="7D697229"/>
    <w:multiLevelType w:val="hybridMultilevel"/>
    <w:tmpl w:val="A5AADF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5">
    <w:nsid w:val="7D7E2C84"/>
    <w:multiLevelType w:val="hybridMultilevel"/>
    <w:tmpl w:val="7D2436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6">
    <w:nsid w:val="7DB43725"/>
    <w:multiLevelType w:val="hybridMultilevel"/>
    <w:tmpl w:val="6CEAB456"/>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7">
    <w:nsid w:val="7DC77DB3"/>
    <w:multiLevelType w:val="hybridMultilevel"/>
    <w:tmpl w:val="028C293E"/>
    <w:lvl w:ilvl="0" w:tplc="0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8">
    <w:nsid w:val="7EED0D4B"/>
    <w:multiLevelType w:val="hybridMultilevel"/>
    <w:tmpl w:val="3870825A"/>
    <w:lvl w:ilvl="0" w:tplc="13C4994E">
      <w:numFmt w:val="bullet"/>
      <w:lvlText w:val="-"/>
      <w:lvlJc w:val="left"/>
      <w:pPr>
        <w:ind w:left="720" w:hanging="360"/>
      </w:pPr>
      <w:rPr>
        <w:rFonts w:ascii="Calibri Light" w:eastAsia="Calibri" w:hAnsi="Calibri Light"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9">
    <w:nsid w:val="7F4B2606"/>
    <w:multiLevelType w:val="hybridMultilevel"/>
    <w:tmpl w:val="F906DF0C"/>
    <w:lvl w:ilvl="0" w:tplc="80326A80">
      <w:numFmt w:val="bullet"/>
      <w:lvlText w:val="-"/>
      <w:lvlJc w:val="left"/>
      <w:pPr>
        <w:tabs>
          <w:tab w:val="num" w:pos="720"/>
        </w:tabs>
        <w:ind w:left="720" w:hanging="360"/>
      </w:pPr>
      <w:rPr>
        <w:rFonts w:ascii="Arial" w:eastAsia="Times New Roman" w:hAnsi="Arial" w:cs="Arial" w:hint="default"/>
      </w:rPr>
    </w:lvl>
    <w:lvl w:ilvl="1" w:tplc="240A0017">
      <w:start w:val="1"/>
      <w:numFmt w:val="lowerLetter"/>
      <w:lvlText w:val="%2)"/>
      <w:lvlJc w:val="left"/>
      <w:pPr>
        <w:tabs>
          <w:tab w:val="num" w:pos="1440"/>
        </w:tabs>
        <w:ind w:left="1440" w:hanging="360"/>
      </w:pPr>
    </w:lvl>
    <w:lvl w:ilvl="2" w:tplc="B2701E74" w:tentative="1">
      <w:start w:val="1"/>
      <w:numFmt w:val="bullet"/>
      <w:lvlText w:val=""/>
      <w:lvlJc w:val="left"/>
      <w:pPr>
        <w:tabs>
          <w:tab w:val="num" w:pos="2160"/>
        </w:tabs>
        <w:ind w:left="2160" w:hanging="360"/>
      </w:pPr>
      <w:rPr>
        <w:rFonts w:ascii="Wingdings" w:hAnsi="Wingdings" w:hint="default"/>
      </w:rPr>
    </w:lvl>
    <w:lvl w:ilvl="3" w:tplc="94AACB8A" w:tentative="1">
      <w:start w:val="1"/>
      <w:numFmt w:val="bullet"/>
      <w:lvlText w:val=""/>
      <w:lvlJc w:val="left"/>
      <w:pPr>
        <w:tabs>
          <w:tab w:val="num" w:pos="2880"/>
        </w:tabs>
        <w:ind w:left="2880" w:hanging="360"/>
      </w:pPr>
      <w:rPr>
        <w:rFonts w:ascii="Wingdings" w:hAnsi="Wingdings" w:hint="default"/>
      </w:rPr>
    </w:lvl>
    <w:lvl w:ilvl="4" w:tplc="E8F46AB8" w:tentative="1">
      <w:start w:val="1"/>
      <w:numFmt w:val="bullet"/>
      <w:lvlText w:val=""/>
      <w:lvlJc w:val="left"/>
      <w:pPr>
        <w:tabs>
          <w:tab w:val="num" w:pos="3600"/>
        </w:tabs>
        <w:ind w:left="3600" w:hanging="360"/>
      </w:pPr>
      <w:rPr>
        <w:rFonts w:ascii="Wingdings" w:hAnsi="Wingdings" w:hint="default"/>
      </w:rPr>
    </w:lvl>
    <w:lvl w:ilvl="5" w:tplc="B55033A4" w:tentative="1">
      <w:start w:val="1"/>
      <w:numFmt w:val="bullet"/>
      <w:lvlText w:val=""/>
      <w:lvlJc w:val="left"/>
      <w:pPr>
        <w:tabs>
          <w:tab w:val="num" w:pos="4320"/>
        </w:tabs>
        <w:ind w:left="4320" w:hanging="360"/>
      </w:pPr>
      <w:rPr>
        <w:rFonts w:ascii="Wingdings" w:hAnsi="Wingdings" w:hint="default"/>
      </w:rPr>
    </w:lvl>
    <w:lvl w:ilvl="6" w:tplc="9E0E049C" w:tentative="1">
      <w:start w:val="1"/>
      <w:numFmt w:val="bullet"/>
      <w:lvlText w:val=""/>
      <w:lvlJc w:val="left"/>
      <w:pPr>
        <w:tabs>
          <w:tab w:val="num" w:pos="5040"/>
        </w:tabs>
        <w:ind w:left="5040" w:hanging="360"/>
      </w:pPr>
      <w:rPr>
        <w:rFonts w:ascii="Wingdings" w:hAnsi="Wingdings" w:hint="default"/>
      </w:rPr>
    </w:lvl>
    <w:lvl w:ilvl="7" w:tplc="36640CE6" w:tentative="1">
      <w:start w:val="1"/>
      <w:numFmt w:val="bullet"/>
      <w:lvlText w:val=""/>
      <w:lvlJc w:val="left"/>
      <w:pPr>
        <w:tabs>
          <w:tab w:val="num" w:pos="5760"/>
        </w:tabs>
        <w:ind w:left="5760" w:hanging="360"/>
      </w:pPr>
      <w:rPr>
        <w:rFonts w:ascii="Wingdings" w:hAnsi="Wingdings" w:hint="default"/>
      </w:rPr>
    </w:lvl>
    <w:lvl w:ilvl="8" w:tplc="44C80C7C" w:tentative="1">
      <w:start w:val="1"/>
      <w:numFmt w:val="bullet"/>
      <w:lvlText w:val=""/>
      <w:lvlJc w:val="left"/>
      <w:pPr>
        <w:tabs>
          <w:tab w:val="num" w:pos="6480"/>
        </w:tabs>
        <w:ind w:left="6480" w:hanging="360"/>
      </w:pPr>
      <w:rPr>
        <w:rFonts w:ascii="Wingdings" w:hAnsi="Wingdings" w:hint="default"/>
      </w:rPr>
    </w:lvl>
  </w:abstractNum>
  <w:num w:numId="1">
    <w:abstractNumId w:val="98"/>
  </w:num>
  <w:num w:numId="2">
    <w:abstractNumId w:val="119"/>
  </w:num>
  <w:num w:numId="3">
    <w:abstractNumId w:val="85"/>
  </w:num>
  <w:num w:numId="4">
    <w:abstractNumId w:val="254"/>
  </w:num>
  <w:num w:numId="5">
    <w:abstractNumId w:val="183"/>
  </w:num>
  <w:num w:numId="6">
    <w:abstractNumId w:val="196"/>
  </w:num>
  <w:num w:numId="7">
    <w:abstractNumId w:val="99"/>
  </w:num>
  <w:num w:numId="8">
    <w:abstractNumId w:val="157"/>
  </w:num>
  <w:num w:numId="9">
    <w:abstractNumId w:val="162"/>
  </w:num>
  <w:num w:numId="10">
    <w:abstractNumId w:val="42"/>
  </w:num>
  <w:num w:numId="11">
    <w:abstractNumId w:val="48"/>
  </w:num>
  <w:num w:numId="12">
    <w:abstractNumId w:val="32"/>
  </w:num>
  <w:num w:numId="13">
    <w:abstractNumId w:val="13"/>
  </w:num>
  <w:num w:numId="14">
    <w:abstractNumId w:val="124"/>
  </w:num>
  <w:num w:numId="15">
    <w:abstractNumId w:val="38"/>
  </w:num>
  <w:num w:numId="16">
    <w:abstractNumId w:val="0"/>
  </w:num>
  <w:num w:numId="17">
    <w:abstractNumId w:val="75"/>
  </w:num>
  <w:num w:numId="18">
    <w:abstractNumId w:val="69"/>
  </w:num>
  <w:num w:numId="19">
    <w:abstractNumId w:val="22"/>
  </w:num>
  <w:num w:numId="20">
    <w:abstractNumId w:val="62"/>
  </w:num>
  <w:num w:numId="21">
    <w:abstractNumId w:val="89"/>
  </w:num>
  <w:num w:numId="22">
    <w:abstractNumId w:val="226"/>
  </w:num>
  <w:num w:numId="23">
    <w:abstractNumId w:val="105"/>
  </w:num>
  <w:num w:numId="24">
    <w:abstractNumId w:val="213"/>
  </w:num>
  <w:num w:numId="25">
    <w:abstractNumId w:val="190"/>
  </w:num>
  <w:num w:numId="26">
    <w:abstractNumId w:val="101"/>
  </w:num>
  <w:num w:numId="27">
    <w:abstractNumId w:val="248"/>
  </w:num>
  <w:num w:numId="28">
    <w:abstractNumId w:val="188"/>
  </w:num>
  <w:num w:numId="29">
    <w:abstractNumId w:val="40"/>
  </w:num>
  <w:num w:numId="30">
    <w:abstractNumId w:val="141"/>
  </w:num>
  <w:num w:numId="31">
    <w:abstractNumId w:val="67"/>
  </w:num>
  <w:num w:numId="32">
    <w:abstractNumId w:val="117"/>
  </w:num>
  <w:num w:numId="33">
    <w:abstractNumId w:val="153"/>
  </w:num>
  <w:num w:numId="34">
    <w:abstractNumId w:val="252"/>
  </w:num>
  <w:num w:numId="35">
    <w:abstractNumId w:val="70"/>
  </w:num>
  <w:num w:numId="36">
    <w:abstractNumId w:val="73"/>
  </w:num>
  <w:num w:numId="37">
    <w:abstractNumId w:val="23"/>
  </w:num>
  <w:num w:numId="38">
    <w:abstractNumId w:val="103"/>
  </w:num>
  <w:num w:numId="39">
    <w:abstractNumId w:val="46"/>
  </w:num>
  <w:num w:numId="40">
    <w:abstractNumId w:val="28"/>
  </w:num>
  <w:num w:numId="41">
    <w:abstractNumId w:val="68"/>
  </w:num>
  <w:num w:numId="42">
    <w:abstractNumId w:val="87"/>
  </w:num>
  <w:num w:numId="43">
    <w:abstractNumId w:val="129"/>
  </w:num>
  <w:num w:numId="44">
    <w:abstractNumId w:val="240"/>
  </w:num>
  <w:num w:numId="45">
    <w:abstractNumId w:val="148"/>
  </w:num>
  <w:num w:numId="46">
    <w:abstractNumId w:val="233"/>
  </w:num>
  <w:num w:numId="47">
    <w:abstractNumId w:val="100"/>
  </w:num>
  <w:num w:numId="48">
    <w:abstractNumId w:val="202"/>
  </w:num>
  <w:num w:numId="49">
    <w:abstractNumId w:val="176"/>
  </w:num>
  <w:num w:numId="50">
    <w:abstractNumId w:val="81"/>
  </w:num>
  <w:num w:numId="51">
    <w:abstractNumId w:val="255"/>
  </w:num>
  <w:num w:numId="52">
    <w:abstractNumId w:val="150"/>
  </w:num>
  <w:num w:numId="53">
    <w:abstractNumId w:val="9"/>
  </w:num>
  <w:num w:numId="54">
    <w:abstractNumId w:val="197"/>
  </w:num>
  <w:num w:numId="55">
    <w:abstractNumId w:val="112"/>
  </w:num>
  <w:num w:numId="56">
    <w:abstractNumId w:val="152"/>
  </w:num>
  <w:num w:numId="57">
    <w:abstractNumId w:val="167"/>
  </w:num>
  <w:num w:numId="58">
    <w:abstractNumId w:val="199"/>
  </w:num>
  <w:num w:numId="59">
    <w:abstractNumId w:val="250"/>
  </w:num>
  <w:num w:numId="60">
    <w:abstractNumId w:val="179"/>
  </w:num>
  <w:num w:numId="61">
    <w:abstractNumId w:val="251"/>
  </w:num>
  <w:num w:numId="62">
    <w:abstractNumId w:val="219"/>
  </w:num>
  <w:num w:numId="63">
    <w:abstractNumId w:val="88"/>
  </w:num>
  <w:num w:numId="64">
    <w:abstractNumId w:val="177"/>
  </w:num>
  <w:num w:numId="65">
    <w:abstractNumId w:val="224"/>
  </w:num>
  <w:num w:numId="66">
    <w:abstractNumId w:val="182"/>
  </w:num>
  <w:num w:numId="67">
    <w:abstractNumId w:val="205"/>
  </w:num>
  <w:num w:numId="68">
    <w:abstractNumId w:val="53"/>
  </w:num>
  <w:num w:numId="69">
    <w:abstractNumId w:val="45"/>
  </w:num>
  <w:num w:numId="70">
    <w:abstractNumId w:val="47"/>
  </w:num>
  <w:num w:numId="71">
    <w:abstractNumId w:val="49"/>
  </w:num>
  <w:num w:numId="72">
    <w:abstractNumId w:val="122"/>
  </w:num>
  <w:num w:numId="73">
    <w:abstractNumId w:val="218"/>
  </w:num>
  <w:num w:numId="74">
    <w:abstractNumId w:val="35"/>
  </w:num>
  <w:num w:numId="75">
    <w:abstractNumId w:val="55"/>
  </w:num>
  <w:num w:numId="76">
    <w:abstractNumId w:val="194"/>
  </w:num>
  <w:num w:numId="77">
    <w:abstractNumId w:val="113"/>
  </w:num>
  <w:num w:numId="78">
    <w:abstractNumId w:val="135"/>
  </w:num>
  <w:num w:numId="79">
    <w:abstractNumId w:val="184"/>
  </w:num>
  <w:num w:numId="80">
    <w:abstractNumId w:val="214"/>
  </w:num>
  <w:num w:numId="81">
    <w:abstractNumId w:val="200"/>
  </w:num>
  <w:num w:numId="82">
    <w:abstractNumId w:val="175"/>
  </w:num>
  <w:num w:numId="83">
    <w:abstractNumId w:val="11"/>
  </w:num>
  <w:num w:numId="84">
    <w:abstractNumId w:val="116"/>
  </w:num>
  <w:num w:numId="85">
    <w:abstractNumId w:val="216"/>
  </w:num>
  <w:num w:numId="86">
    <w:abstractNumId w:val="84"/>
  </w:num>
  <w:num w:numId="87">
    <w:abstractNumId w:val="8"/>
  </w:num>
  <w:num w:numId="88">
    <w:abstractNumId w:val="52"/>
  </w:num>
  <w:num w:numId="89">
    <w:abstractNumId w:val="180"/>
  </w:num>
  <w:num w:numId="90">
    <w:abstractNumId w:val="118"/>
  </w:num>
  <w:num w:numId="91">
    <w:abstractNumId w:val="211"/>
  </w:num>
  <w:num w:numId="92">
    <w:abstractNumId w:val="173"/>
  </w:num>
  <w:num w:numId="93">
    <w:abstractNumId w:val="237"/>
  </w:num>
  <w:num w:numId="94">
    <w:abstractNumId w:val="121"/>
  </w:num>
  <w:num w:numId="95">
    <w:abstractNumId w:val="115"/>
  </w:num>
  <w:num w:numId="96">
    <w:abstractNumId w:val="18"/>
  </w:num>
  <w:num w:numId="97">
    <w:abstractNumId w:val="228"/>
  </w:num>
  <w:num w:numId="98">
    <w:abstractNumId w:val="163"/>
  </w:num>
  <w:num w:numId="99">
    <w:abstractNumId w:val="139"/>
  </w:num>
  <w:num w:numId="100">
    <w:abstractNumId w:val="192"/>
  </w:num>
  <w:num w:numId="101">
    <w:abstractNumId w:val="201"/>
  </w:num>
  <w:num w:numId="102">
    <w:abstractNumId w:val="144"/>
  </w:num>
  <w:num w:numId="103">
    <w:abstractNumId w:val="222"/>
  </w:num>
  <w:num w:numId="104">
    <w:abstractNumId w:val="171"/>
  </w:num>
  <w:num w:numId="105">
    <w:abstractNumId w:val="231"/>
  </w:num>
  <w:num w:numId="106">
    <w:abstractNumId w:val="109"/>
  </w:num>
  <w:num w:numId="107">
    <w:abstractNumId w:val="107"/>
  </w:num>
  <w:num w:numId="108">
    <w:abstractNumId w:val="128"/>
  </w:num>
  <w:num w:numId="109">
    <w:abstractNumId w:val="142"/>
  </w:num>
  <w:num w:numId="110">
    <w:abstractNumId w:val="158"/>
  </w:num>
  <w:num w:numId="111">
    <w:abstractNumId w:val="210"/>
  </w:num>
  <w:num w:numId="112">
    <w:abstractNumId w:val="209"/>
  </w:num>
  <w:num w:numId="113">
    <w:abstractNumId w:val="90"/>
  </w:num>
  <w:num w:numId="114">
    <w:abstractNumId w:val="74"/>
  </w:num>
  <w:num w:numId="115">
    <w:abstractNumId w:val="51"/>
  </w:num>
  <w:num w:numId="116">
    <w:abstractNumId w:val="76"/>
  </w:num>
  <w:num w:numId="117">
    <w:abstractNumId w:val="215"/>
  </w:num>
  <w:num w:numId="118">
    <w:abstractNumId w:val="140"/>
  </w:num>
  <w:num w:numId="119">
    <w:abstractNumId w:val="92"/>
  </w:num>
  <w:num w:numId="120">
    <w:abstractNumId w:val="138"/>
  </w:num>
  <w:num w:numId="121">
    <w:abstractNumId w:val="230"/>
  </w:num>
  <w:num w:numId="122">
    <w:abstractNumId w:val="174"/>
  </w:num>
  <w:num w:numId="123">
    <w:abstractNumId w:val="66"/>
  </w:num>
  <w:num w:numId="124">
    <w:abstractNumId w:val="3"/>
  </w:num>
  <w:num w:numId="125">
    <w:abstractNumId w:val="245"/>
  </w:num>
  <w:num w:numId="126">
    <w:abstractNumId w:val="186"/>
  </w:num>
  <w:num w:numId="127">
    <w:abstractNumId w:val="17"/>
  </w:num>
  <w:num w:numId="128">
    <w:abstractNumId w:val="181"/>
  </w:num>
  <w:num w:numId="129">
    <w:abstractNumId w:val="33"/>
  </w:num>
  <w:num w:numId="130">
    <w:abstractNumId w:val="238"/>
  </w:num>
  <w:num w:numId="131">
    <w:abstractNumId w:val="1"/>
  </w:num>
  <w:num w:numId="132">
    <w:abstractNumId w:val="78"/>
  </w:num>
  <w:num w:numId="133">
    <w:abstractNumId w:val="204"/>
  </w:num>
  <w:num w:numId="134">
    <w:abstractNumId w:val="5"/>
  </w:num>
  <w:num w:numId="135">
    <w:abstractNumId w:val="236"/>
  </w:num>
  <w:num w:numId="136">
    <w:abstractNumId w:val="221"/>
  </w:num>
  <w:num w:numId="137">
    <w:abstractNumId w:val="147"/>
  </w:num>
  <w:num w:numId="138">
    <w:abstractNumId w:val="161"/>
  </w:num>
  <w:num w:numId="139">
    <w:abstractNumId w:val="165"/>
  </w:num>
  <w:num w:numId="140">
    <w:abstractNumId w:val="232"/>
  </w:num>
  <w:num w:numId="141">
    <w:abstractNumId w:val="246"/>
  </w:num>
  <w:num w:numId="142">
    <w:abstractNumId w:val="29"/>
  </w:num>
  <w:num w:numId="143">
    <w:abstractNumId w:val="111"/>
  </w:num>
  <w:num w:numId="144">
    <w:abstractNumId w:val="93"/>
  </w:num>
  <w:num w:numId="145">
    <w:abstractNumId w:val="50"/>
  </w:num>
  <w:num w:numId="146">
    <w:abstractNumId w:val="86"/>
  </w:num>
  <w:num w:numId="147">
    <w:abstractNumId w:val="244"/>
  </w:num>
  <w:num w:numId="148">
    <w:abstractNumId w:val="257"/>
  </w:num>
  <w:num w:numId="149">
    <w:abstractNumId w:val="253"/>
  </w:num>
  <w:num w:numId="150">
    <w:abstractNumId w:val="187"/>
  </w:num>
  <w:num w:numId="151">
    <w:abstractNumId w:val="102"/>
  </w:num>
  <w:num w:numId="152">
    <w:abstractNumId w:val="95"/>
  </w:num>
  <w:num w:numId="153">
    <w:abstractNumId w:val="249"/>
  </w:num>
  <w:num w:numId="154">
    <w:abstractNumId w:val="217"/>
  </w:num>
  <w:num w:numId="155">
    <w:abstractNumId w:val="34"/>
  </w:num>
  <w:num w:numId="156">
    <w:abstractNumId w:val="195"/>
  </w:num>
  <w:num w:numId="157">
    <w:abstractNumId w:val="155"/>
  </w:num>
  <w:num w:numId="158">
    <w:abstractNumId w:val="83"/>
  </w:num>
  <w:num w:numId="159">
    <w:abstractNumId w:val="164"/>
  </w:num>
  <w:num w:numId="160">
    <w:abstractNumId w:val="168"/>
  </w:num>
  <w:num w:numId="161">
    <w:abstractNumId w:val="91"/>
  </w:num>
  <w:num w:numId="162">
    <w:abstractNumId w:val="256"/>
  </w:num>
  <w:num w:numId="163">
    <w:abstractNumId w:val="239"/>
  </w:num>
  <w:num w:numId="164">
    <w:abstractNumId w:val="151"/>
  </w:num>
  <w:num w:numId="165">
    <w:abstractNumId w:val="120"/>
  </w:num>
  <w:num w:numId="166">
    <w:abstractNumId w:val="156"/>
  </w:num>
  <w:num w:numId="167">
    <w:abstractNumId w:val="63"/>
  </w:num>
  <w:num w:numId="168">
    <w:abstractNumId w:val="169"/>
  </w:num>
  <w:num w:numId="169">
    <w:abstractNumId w:val="166"/>
  </w:num>
  <w:num w:numId="170">
    <w:abstractNumId w:val="136"/>
  </w:num>
  <w:num w:numId="171">
    <w:abstractNumId w:val="39"/>
  </w:num>
  <w:num w:numId="172">
    <w:abstractNumId w:val="185"/>
  </w:num>
  <w:num w:numId="173">
    <w:abstractNumId w:val="178"/>
  </w:num>
  <w:num w:numId="174">
    <w:abstractNumId w:val="4"/>
  </w:num>
  <w:num w:numId="175">
    <w:abstractNumId w:val="57"/>
  </w:num>
  <w:num w:numId="176">
    <w:abstractNumId w:val="16"/>
  </w:num>
  <w:num w:numId="177">
    <w:abstractNumId w:val="12"/>
  </w:num>
  <w:num w:numId="178">
    <w:abstractNumId w:val="159"/>
  </w:num>
  <w:num w:numId="179">
    <w:abstractNumId w:val="220"/>
  </w:num>
  <w:num w:numId="180">
    <w:abstractNumId w:val="59"/>
  </w:num>
  <w:num w:numId="181">
    <w:abstractNumId w:val="212"/>
  </w:num>
  <w:num w:numId="182">
    <w:abstractNumId w:val="21"/>
  </w:num>
  <w:num w:numId="183">
    <w:abstractNumId w:val="64"/>
  </w:num>
  <w:num w:numId="184">
    <w:abstractNumId w:val="137"/>
  </w:num>
  <w:num w:numId="185">
    <w:abstractNumId w:val="20"/>
  </w:num>
  <w:num w:numId="186">
    <w:abstractNumId w:val="41"/>
  </w:num>
  <w:num w:numId="187">
    <w:abstractNumId w:val="225"/>
  </w:num>
  <w:num w:numId="188">
    <w:abstractNumId w:val="27"/>
  </w:num>
  <w:num w:numId="189">
    <w:abstractNumId w:val="223"/>
  </w:num>
  <w:num w:numId="190">
    <w:abstractNumId w:val="172"/>
  </w:num>
  <w:num w:numId="191">
    <w:abstractNumId w:val="160"/>
  </w:num>
  <w:num w:numId="192">
    <w:abstractNumId w:val="208"/>
  </w:num>
  <w:num w:numId="193">
    <w:abstractNumId w:val="36"/>
  </w:num>
  <w:num w:numId="194">
    <w:abstractNumId w:val="247"/>
  </w:num>
  <w:num w:numId="195">
    <w:abstractNumId w:val="130"/>
  </w:num>
  <w:num w:numId="196">
    <w:abstractNumId w:val="14"/>
  </w:num>
  <w:num w:numId="197">
    <w:abstractNumId w:val="82"/>
  </w:num>
  <w:num w:numId="198">
    <w:abstractNumId w:val="2"/>
  </w:num>
  <w:num w:numId="199">
    <w:abstractNumId w:val="259"/>
  </w:num>
  <w:num w:numId="200">
    <w:abstractNumId w:val="58"/>
  </w:num>
  <w:num w:numId="201">
    <w:abstractNumId w:val="241"/>
  </w:num>
  <w:num w:numId="202">
    <w:abstractNumId w:val="170"/>
  </w:num>
  <w:num w:numId="203">
    <w:abstractNumId w:val="134"/>
  </w:num>
  <w:num w:numId="204">
    <w:abstractNumId w:val="43"/>
  </w:num>
  <w:num w:numId="205">
    <w:abstractNumId w:val="227"/>
  </w:num>
  <w:num w:numId="206">
    <w:abstractNumId w:val="229"/>
  </w:num>
  <w:num w:numId="207">
    <w:abstractNumId w:val="146"/>
  </w:num>
  <w:num w:numId="208">
    <w:abstractNumId w:val="61"/>
  </w:num>
  <w:num w:numId="209">
    <w:abstractNumId w:val="7"/>
  </w:num>
  <w:num w:numId="210">
    <w:abstractNumId w:val="6"/>
  </w:num>
  <w:num w:numId="211">
    <w:abstractNumId w:val="258"/>
  </w:num>
  <w:num w:numId="212">
    <w:abstractNumId w:val="97"/>
  </w:num>
  <w:num w:numId="213">
    <w:abstractNumId w:val="56"/>
  </w:num>
  <w:num w:numId="214">
    <w:abstractNumId w:val="96"/>
  </w:num>
  <w:num w:numId="215">
    <w:abstractNumId w:val="206"/>
  </w:num>
  <w:num w:numId="216">
    <w:abstractNumId w:val="37"/>
  </w:num>
  <w:num w:numId="217">
    <w:abstractNumId w:val="131"/>
  </w:num>
  <w:num w:numId="218">
    <w:abstractNumId w:val="80"/>
  </w:num>
  <w:num w:numId="219">
    <w:abstractNumId w:val="207"/>
  </w:num>
  <w:num w:numId="220">
    <w:abstractNumId w:val="31"/>
  </w:num>
  <w:num w:numId="221">
    <w:abstractNumId w:val="77"/>
  </w:num>
  <w:num w:numId="222">
    <w:abstractNumId w:val="108"/>
  </w:num>
  <w:num w:numId="223">
    <w:abstractNumId w:val="60"/>
  </w:num>
  <w:num w:numId="224">
    <w:abstractNumId w:val="127"/>
  </w:num>
  <w:num w:numId="225">
    <w:abstractNumId w:val="19"/>
  </w:num>
  <w:num w:numId="226">
    <w:abstractNumId w:val="133"/>
  </w:num>
  <w:num w:numId="227">
    <w:abstractNumId w:val="24"/>
  </w:num>
  <w:num w:numId="228">
    <w:abstractNumId w:val="15"/>
  </w:num>
  <w:num w:numId="229">
    <w:abstractNumId w:val="104"/>
  </w:num>
  <w:num w:numId="230">
    <w:abstractNumId w:val="123"/>
  </w:num>
  <w:num w:numId="231">
    <w:abstractNumId w:val="44"/>
  </w:num>
  <w:num w:numId="232">
    <w:abstractNumId w:val="242"/>
  </w:num>
  <w:num w:numId="233">
    <w:abstractNumId w:val="25"/>
  </w:num>
  <w:num w:numId="234">
    <w:abstractNumId w:val="243"/>
  </w:num>
  <w:num w:numId="235">
    <w:abstractNumId w:val="203"/>
  </w:num>
  <w:num w:numId="236">
    <w:abstractNumId w:val="234"/>
  </w:num>
  <w:num w:numId="237">
    <w:abstractNumId w:val="30"/>
  </w:num>
  <w:num w:numId="238">
    <w:abstractNumId w:val="54"/>
  </w:num>
  <w:num w:numId="239">
    <w:abstractNumId w:val="149"/>
  </w:num>
  <w:num w:numId="240">
    <w:abstractNumId w:val="114"/>
  </w:num>
  <w:num w:numId="241">
    <w:abstractNumId w:val="154"/>
  </w:num>
  <w:num w:numId="242">
    <w:abstractNumId w:val="71"/>
  </w:num>
  <w:num w:numId="243">
    <w:abstractNumId w:val="106"/>
  </w:num>
  <w:num w:numId="244">
    <w:abstractNumId w:val="189"/>
  </w:num>
  <w:num w:numId="245">
    <w:abstractNumId w:val="72"/>
  </w:num>
  <w:num w:numId="246">
    <w:abstractNumId w:val="145"/>
  </w:num>
  <w:num w:numId="247">
    <w:abstractNumId w:val="65"/>
  </w:num>
  <w:num w:numId="248">
    <w:abstractNumId w:val="193"/>
  </w:num>
  <w:num w:numId="249">
    <w:abstractNumId w:val="10"/>
  </w:num>
  <w:num w:numId="250">
    <w:abstractNumId w:val="94"/>
  </w:num>
  <w:num w:numId="251">
    <w:abstractNumId w:val="143"/>
  </w:num>
  <w:num w:numId="252">
    <w:abstractNumId w:val="26"/>
  </w:num>
  <w:num w:numId="253">
    <w:abstractNumId w:val="132"/>
  </w:num>
  <w:num w:numId="254">
    <w:abstractNumId w:val="110"/>
  </w:num>
  <w:num w:numId="255">
    <w:abstractNumId w:val="198"/>
  </w:num>
  <w:num w:numId="256">
    <w:abstractNumId w:val="79"/>
  </w:num>
  <w:num w:numId="257">
    <w:abstractNumId w:val="235"/>
  </w:num>
  <w:num w:numId="258">
    <w:abstractNumId w:val="191"/>
  </w:num>
  <w:num w:numId="259">
    <w:abstractNumId w:val="125"/>
  </w:num>
  <w:num w:numId="260">
    <w:abstractNumId w:val="126"/>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302"/>
    <w:rsid w:val="00001153"/>
    <w:rsid w:val="00001F08"/>
    <w:rsid w:val="00001F68"/>
    <w:rsid w:val="000034B2"/>
    <w:rsid w:val="000034CB"/>
    <w:rsid w:val="00003A5E"/>
    <w:rsid w:val="00003A84"/>
    <w:rsid w:val="00003FC5"/>
    <w:rsid w:val="0000428A"/>
    <w:rsid w:val="0000446F"/>
    <w:rsid w:val="0000502B"/>
    <w:rsid w:val="000050D4"/>
    <w:rsid w:val="0000582B"/>
    <w:rsid w:val="00005B02"/>
    <w:rsid w:val="00006018"/>
    <w:rsid w:val="00006807"/>
    <w:rsid w:val="000069C6"/>
    <w:rsid w:val="00006E15"/>
    <w:rsid w:val="0000751D"/>
    <w:rsid w:val="000078D6"/>
    <w:rsid w:val="00007C34"/>
    <w:rsid w:val="00010DFC"/>
    <w:rsid w:val="0001112C"/>
    <w:rsid w:val="000125C8"/>
    <w:rsid w:val="00013124"/>
    <w:rsid w:val="00013529"/>
    <w:rsid w:val="00014A32"/>
    <w:rsid w:val="00015699"/>
    <w:rsid w:val="00015C71"/>
    <w:rsid w:val="0001654F"/>
    <w:rsid w:val="00017139"/>
    <w:rsid w:val="0001766F"/>
    <w:rsid w:val="0002123A"/>
    <w:rsid w:val="00021AD2"/>
    <w:rsid w:val="000226D0"/>
    <w:rsid w:val="00022F3B"/>
    <w:rsid w:val="00023111"/>
    <w:rsid w:val="000236DF"/>
    <w:rsid w:val="00023EE2"/>
    <w:rsid w:val="00024E22"/>
    <w:rsid w:val="00025EE9"/>
    <w:rsid w:val="000265A7"/>
    <w:rsid w:val="00026ED3"/>
    <w:rsid w:val="0002706B"/>
    <w:rsid w:val="00027521"/>
    <w:rsid w:val="0002790E"/>
    <w:rsid w:val="00027D03"/>
    <w:rsid w:val="000317BA"/>
    <w:rsid w:val="00031FDB"/>
    <w:rsid w:val="00033C78"/>
    <w:rsid w:val="00034717"/>
    <w:rsid w:val="00035132"/>
    <w:rsid w:val="000353AE"/>
    <w:rsid w:val="000361B5"/>
    <w:rsid w:val="00036700"/>
    <w:rsid w:val="0003725F"/>
    <w:rsid w:val="0003729D"/>
    <w:rsid w:val="0004047E"/>
    <w:rsid w:val="0004142E"/>
    <w:rsid w:val="0004244B"/>
    <w:rsid w:val="00042F29"/>
    <w:rsid w:val="00044120"/>
    <w:rsid w:val="000442E9"/>
    <w:rsid w:val="000456E1"/>
    <w:rsid w:val="00045FE1"/>
    <w:rsid w:val="00047676"/>
    <w:rsid w:val="00047D3A"/>
    <w:rsid w:val="00050548"/>
    <w:rsid w:val="000506C4"/>
    <w:rsid w:val="00052592"/>
    <w:rsid w:val="000525EA"/>
    <w:rsid w:val="00052AC7"/>
    <w:rsid w:val="00052CB2"/>
    <w:rsid w:val="0005370E"/>
    <w:rsid w:val="00053E50"/>
    <w:rsid w:val="00054328"/>
    <w:rsid w:val="000551E4"/>
    <w:rsid w:val="00055581"/>
    <w:rsid w:val="000555A2"/>
    <w:rsid w:val="00055613"/>
    <w:rsid w:val="00056050"/>
    <w:rsid w:val="00056E8B"/>
    <w:rsid w:val="00057FDD"/>
    <w:rsid w:val="000601F8"/>
    <w:rsid w:val="00061055"/>
    <w:rsid w:val="000610E9"/>
    <w:rsid w:val="00061A54"/>
    <w:rsid w:val="0006208F"/>
    <w:rsid w:val="000622CC"/>
    <w:rsid w:val="00063463"/>
    <w:rsid w:val="00064D1A"/>
    <w:rsid w:val="0006534C"/>
    <w:rsid w:val="00065379"/>
    <w:rsid w:val="00066E0A"/>
    <w:rsid w:val="000677B2"/>
    <w:rsid w:val="0007078A"/>
    <w:rsid w:val="00072420"/>
    <w:rsid w:val="00072CBA"/>
    <w:rsid w:val="00072D3F"/>
    <w:rsid w:val="00073D34"/>
    <w:rsid w:val="00074BB9"/>
    <w:rsid w:val="00075F62"/>
    <w:rsid w:val="00076E7C"/>
    <w:rsid w:val="000779A9"/>
    <w:rsid w:val="00077B44"/>
    <w:rsid w:val="000803AA"/>
    <w:rsid w:val="00081703"/>
    <w:rsid w:val="00081AD5"/>
    <w:rsid w:val="000824E5"/>
    <w:rsid w:val="00082A80"/>
    <w:rsid w:val="00083AAD"/>
    <w:rsid w:val="00083DE8"/>
    <w:rsid w:val="000840F2"/>
    <w:rsid w:val="000841E1"/>
    <w:rsid w:val="00084397"/>
    <w:rsid w:val="00084BD6"/>
    <w:rsid w:val="000858AB"/>
    <w:rsid w:val="00085F64"/>
    <w:rsid w:val="00086073"/>
    <w:rsid w:val="000862E9"/>
    <w:rsid w:val="000869C3"/>
    <w:rsid w:val="00091171"/>
    <w:rsid w:val="000911D6"/>
    <w:rsid w:val="00091909"/>
    <w:rsid w:val="00091F49"/>
    <w:rsid w:val="00093AD3"/>
    <w:rsid w:val="000950CB"/>
    <w:rsid w:val="00095654"/>
    <w:rsid w:val="00096195"/>
    <w:rsid w:val="00097164"/>
    <w:rsid w:val="00097886"/>
    <w:rsid w:val="000A03EC"/>
    <w:rsid w:val="000A21AE"/>
    <w:rsid w:val="000A2D1A"/>
    <w:rsid w:val="000A310C"/>
    <w:rsid w:val="000A516D"/>
    <w:rsid w:val="000A56C7"/>
    <w:rsid w:val="000A5B46"/>
    <w:rsid w:val="000A5F09"/>
    <w:rsid w:val="000A5F75"/>
    <w:rsid w:val="000B02C4"/>
    <w:rsid w:val="000B03D6"/>
    <w:rsid w:val="000B067E"/>
    <w:rsid w:val="000B18BB"/>
    <w:rsid w:val="000B2111"/>
    <w:rsid w:val="000B28FC"/>
    <w:rsid w:val="000B723C"/>
    <w:rsid w:val="000B7428"/>
    <w:rsid w:val="000B75C0"/>
    <w:rsid w:val="000B79A6"/>
    <w:rsid w:val="000C1D61"/>
    <w:rsid w:val="000C1EBF"/>
    <w:rsid w:val="000C2558"/>
    <w:rsid w:val="000C27E1"/>
    <w:rsid w:val="000C2FCF"/>
    <w:rsid w:val="000C409D"/>
    <w:rsid w:val="000C40B1"/>
    <w:rsid w:val="000C65A1"/>
    <w:rsid w:val="000C6B4D"/>
    <w:rsid w:val="000C6D03"/>
    <w:rsid w:val="000D036A"/>
    <w:rsid w:val="000D27E9"/>
    <w:rsid w:val="000D44EC"/>
    <w:rsid w:val="000D4E4B"/>
    <w:rsid w:val="000D652E"/>
    <w:rsid w:val="000D668D"/>
    <w:rsid w:val="000D6ACA"/>
    <w:rsid w:val="000D6E44"/>
    <w:rsid w:val="000D715A"/>
    <w:rsid w:val="000E0900"/>
    <w:rsid w:val="000E0BE2"/>
    <w:rsid w:val="000E131C"/>
    <w:rsid w:val="000E18A5"/>
    <w:rsid w:val="000E1BAF"/>
    <w:rsid w:val="000E265E"/>
    <w:rsid w:val="000E293B"/>
    <w:rsid w:val="000E2EAE"/>
    <w:rsid w:val="000E4EEA"/>
    <w:rsid w:val="000E5A92"/>
    <w:rsid w:val="000E620D"/>
    <w:rsid w:val="000E63BA"/>
    <w:rsid w:val="000E66BB"/>
    <w:rsid w:val="000E6A91"/>
    <w:rsid w:val="000E70C6"/>
    <w:rsid w:val="000E733E"/>
    <w:rsid w:val="000E7580"/>
    <w:rsid w:val="000F0A46"/>
    <w:rsid w:val="000F1759"/>
    <w:rsid w:val="000F1DFE"/>
    <w:rsid w:val="000F4D65"/>
    <w:rsid w:val="000F5219"/>
    <w:rsid w:val="000F5C62"/>
    <w:rsid w:val="000F60CE"/>
    <w:rsid w:val="000F6A6A"/>
    <w:rsid w:val="00100612"/>
    <w:rsid w:val="00101548"/>
    <w:rsid w:val="001019AF"/>
    <w:rsid w:val="001024EE"/>
    <w:rsid w:val="00103128"/>
    <w:rsid w:val="0010429D"/>
    <w:rsid w:val="00104C58"/>
    <w:rsid w:val="0010522A"/>
    <w:rsid w:val="00106047"/>
    <w:rsid w:val="001068E6"/>
    <w:rsid w:val="00106E09"/>
    <w:rsid w:val="00106E9F"/>
    <w:rsid w:val="0010710F"/>
    <w:rsid w:val="001100BD"/>
    <w:rsid w:val="001111DD"/>
    <w:rsid w:val="0011179A"/>
    <w:rsid w:val="00112A7B"/>
    <w:rsid w:val="0011497E"/>
    <w:rsid w:val="001157CF"/>
    <w:rsid w:val="001158CA"/>
    <w:rsid w:val="00116702"/>
    <w:rsid w:val="00116B20"/>
    <w:rsid w:val="00120C74"/>
    <w:rsid w:val="00120EC4"/>
    <w:rsid w:val="00121C13"/>
    <w:rsid w:val="00122160"/>
    <w:rsid w:val="00122358"/>
    <w:rsid w:val="001231F3"/>
    <w:rsid w:val="0012366F"/>
    <w:rsid w:val="00123794"/>
    <w:rsid w:val="00125AFB"/>
    <w:rsid w:val="00126341"/>
    <w:rsid w:val="0012681B"/>
    <w:rsid w:val="00126A3E"/>
    <w:rsid w:val="001314DE"/>
    <w:rsid w:val="001317D3"/>
    <w:rsid w:val="00131FB7"/>
    <w:rsid w:val="00132BD5"/>
    <w:rsid w:val="00132E80"/>
    <w:rsid w:val="001346B6"/>
    <w:rsid w:val="00134CFA"/>
    <w:rsid w:val="001350BE"/>
    <w:rsid w:val="00135757"/>
    <w:rsid w:val="0013587C"/>
    <w:rsid w:val="00135BE5"/>
    <w:rsid w:val="00136A65"/>
    <w:rsid w:val="00136C09"/>
    <w:rsid w:val="00137203"/>
    <w:rsid w:val="0014017E"/>
    <w:rsid w:val="001410B4"/>
    <w:rsid w:val="00141EF5"/>
    <w:rsid w:val="0014289B"/>
    <w:rsid w:val="00143E78"/>
    <w:rsid w:val="00144141"/>
    <w:rsid w:val="00144609"/>
    <w:rsid w:val="00144984"/>
    <w:rsid w:val="00144D01"/>
    <w:rsid w:val="001454B6"/>
    <w:rsid w:val="00145CCF"/>
    <w:rsid w:val="00146092"/>
    <w:rsid w:val="001473C9"/>
    <w:rsid w:val="00147955"/>
    <w:rsid w:val="00147C5F"/>
    <w:rsid w:val="00150D2E"/>
    <w:rsid w:val="00152E55"/>
    <w:rsid w:val="00152ECC"/>
    <w:rsid w:val="00153EED"/>
    <w:rsid w:val="001546A5"/>
    <w:rsid w:val="001559BE"/>
    <w:rsid w:val="00155A1C"/>
    <w:rsid w:val="0015616B"/>
    <w:rsid w:val="00160FF6"/>
    <w:rsid w:val="0016163A"/>
    <w:rsid w:val="001617A4"/>
    <w:rsid w:val="001626D1"/>
    <w:rsid w:val="00163BA6"/>
    <w:rsid w:val="00163BE2"/>
    <w:rsid w:val="00164061"/>
    <w:rsid w:val="0016455E"/>
    <w:rsid w:val="0016575E"/>
    <w:rsid w:val="00165C6B"/>
    <w:rsid w:val="00166380"/>
    <w:rsid w:val="00166F95"/>
    <w:rsid w:val="00167A1D"/>
    <w:rsid w:val="00167BC2"/>
    <w:rsid w:val="001706BB"/>
    <w:rsid w:val="00170C38"/>
    <w:rsid w:val="00170F5C"/>
    <w:rsid w:val="00171997"/>
    <w:rsid w:val="00172FF7"/>
    <w:rsid w:val="001735D8"/>
    <w:rsid w:val="001736EA"/>
    <w:rsid w:val="00173B2F"/>
    <w:rsid w:val="001740E4"/>
    <w:rsid w:val="001747DE"/>
    <w:rsid w:val="00175109"/>
    <w:rsid w:val="00175632"/>
    <w:rsid w:val="001767CE"/>
    <w:rsid w:val="00176B90"/>
    <w:rsid w:val="001804E1"/>
    <w:rsid w:val="00180F9F"/>
    <w:rsid w:val="0018107F"/>
    <w:rsid w:val="00181328"/>
    <w:rsid w:val="0018269C"/>
    <w:rsid w:val="00182D89"/>
    <w:rsid w:val="00183145"/>
    <w:rsid w:val="0018359E"/>
    <w:rsid w:val="00183E0C"/>
    <w:rsid w:val="00183EC5"/>
    <w:rsid w:val="00184967"/>
    <w:rsid w:val="00185C85"/>
    <w:rsid w:val="00186150"/>
    <w:rsid w:val="00187134"/>
    <w:rsid w:val="00187D96"/>
    <w:rsid w:val="00187F47"/>
    <w:rsid w:val="0019073B"/>
    <w:rsid w:val="001907DF"/>
    <w:rsid w:val="001907EC"/>
    <w:rsid w:val="00190FB3"/>
    <w:rsid w:val="00191342"/>
    <w:rsid w:val="001915AA"/>
    <w:rsid w:val="0019167F"/>
    <w:rsid w:val="001925F5"/>
    <w:rsid w:val="00192F6D"/>
    <w:rsid w:val="00194669"/>
    <w:rsid w:val="00194D4C"/>
    <w:rsid w:val="0019538B"/>
    <w:rsid w:val="00195537"/>
    <w:rsid w:val="00195AFB"/>
    <w:rsid w:val="00195D0B"/>
    <w:rsid w:val="0019668E"/>
    <w:rsid w:val="00196AEB"/>
    <w:rsid w:val="00196FA4"/>
    <w:rsid w:val="001A0938"/>
    <w:rsid w:val="001A14F2"/>
    <w:rsid w:val="001A244D"/>
    <w:rsid w:val="001A28D0"/>
    <w:rsid w:val="001A2BE5"/>
    <w:rsid w:val="001A3334"/>
    <w:rsid w:val="001A3BDE"/>
    <w:rsid w:val="001A3F01"/>
    <w:rsid w:val="001A3F7F"/>
    <w:rsid w:val="001A47F7"/>
    <w:rsid w:val="001A5AD3"/>
    <w:rsid w:val="001A6EEA"/>
    <w:rsid w:val="001A6FF6"/>
    <w:rsid w:val="001B073E"/>
    <w:rsid w:val="001B0821"/>
    <w:rsid w:val="001B14BF"/>
    <w:rsid w:val="001B204D"/>
    <w:rsid w:val="001B3143"/>
    <w:rsid w:val="001B3642"/>
    <w:rsid w:val="001B3BD8"/>
    <w:rsid w:val="001B3D0D"/>
    <w:rsid w:val="001B3E52"/>
    <w:rsid w:val="001B46E5"/>
    <w:rsid w:val="001B5587"/>
    <w:rsid w:val="001B5805"/>
    <w:rsid w:val="001B5E11"/>
    <w:rsid w:val="001B6805"/>
    <w:rsid w:val="001B6BB0"/>
    <w:rsid w:val="001B6E6B"/>
    <w:rsid w:val="001C023D"/>
    <w:rsid w:val="001C0EB3"/>
    <w:rsid w:val="001C333E"/>
    <w:rsid w:val="001C38C2"/>
    <w:rsid w:val="001C3F19"/>
    <w:rsid w:val="001C43B4"/>
    <w:rsid w:val="001C451C"/>
    <w:rsid w:val="001C452C"/>
    <w:rsid w:val="001C4750"/>
    <w:rsid w:val="001C4BB3"/>
    <w:rsid w:val="001C4BE1"/>
    <w:rsid w:val="001C504B"/>
    <w:rsid w:val="001C63D5"/>
    <w:rsid w:val="001C6DAE"/>
    <w:rsid w:val="001C712B"/>
    <w:rsid w:val="001D018F"/>
    <w:rsid w:val="001D1BEB"/>
    <w:rsid w:val="001D1C4B"/>
    <w:rsid w:val="001D2C0A"/>
    <w:rsid w:val="001D2F70"/>
    <w:rsid w:val="001D30EA"/>
    <w:rsid w:val="001D31A9"/>
    <w:rsid w:val="001D3F33"/>
    <w:rsid w:val="001D41D2"/>
    <w:rsid w:val="001D45CB"/>
    <w:rsid w:val="001D4704"/>
    <w:rsid w:val="001D4F12"/>
    <w:rsid w:val="001D64B5"/>
    <w:rsid w:val="001D6679"/>
    <w:rsid w:val="001E13B1"/>
    <w:rsid w:val="001E20E2"/>
    <w:rsid w:val="001E23FB"/>
    <w:rsid w:val="001E2560"/>
    <w:rsid w:val="001E30AC"/>
    <w:rsid w:val="001E3B12"/>
    <w:rsid w:val="001E401A"/>
    <w:rsid w:val="001E47A1"/>
    <w:rsid w:val="001E4C38"/>
    <w:rsid w:val="001E4C56"/>
    <w:rsid w:val="001E4C8E"/>
    <w:rsid w:val="001E50FB"/>
    <w:rsid w:val="001E60E1"/>
    <w:rsid w:val="001E654F"/>
    <w:rsid w:val="001E6C22"/>
    <w:rsid w:val="001E7321"/>
    <w:rsid w:val="001E7475"/>
    <w:rsid w:val="001F061F"/>
    <w:rsid w:val="001F0A10"/>
    <w:rsid w:val="001F0F91"/>
    <w:rsid w:val="001F13A6"/>
    <w:rsid w:val="001F163C"/>
    <w:rsid w:val="001F2248"/>
    <w:rsid w:val="001F2601"/>
    <w:rsid w:val="001F26E0"/>
    <w:rsid w:val="001F27C0"/>
    <w:rsid w:val="001F2DB6"/>
    <w:rsid w:val="001F3030"/>
    <w:rsid w:val="001F39BE"/>
    <w:rsid w:val="001F4A47"/>
    <w:rsid w:val="001F686A"/>
    <w:rsid w:val="001F77E1"/>
    <w:rsid w:val="0020109B"/>
    <w:rsid w:val="002010ED"/>
    <w:rsid w:val="0020136F"/>
    <w:rsid w:val="00201618"/>
    <w:rsid w:val="0020180F"/>
    <w:rsid w:val="00201A87"/>
    <w:rsid w:val="00201B35"/>
    <w:rsid w:val="00201E3F"/>
    <w:rsid w:val="0020322C"/>
    <w:rsid w:val="00203A72"/>
    <w:rsid w:val="00204612"/>
    <w:rsid w:val="00205257"/>
    <w:rsid w:val="00207C8A"/>
    <w:rsid w:val="00207E8C"/>
    <w:rsid w:val="002118B4"/>
    <w:rsid w:val="00211B1D"/>
    <w:rsid w:val="00212EB6"/>
    <w:rsid w:val="002130EA"/>
    <w:rsid w:val="00213D90"/>
    <w:rsid w:val="0021574B"/>
    <w:rsid w:val="00215BA2"/>
    <w:rsid w:val="002170AA"/>
    <w:rsid w:val="00217275"/>
    <w:rsid w:val="002179C5"/>
    <w:rsid w:val="00217E34"/>
    <w:rsid w:val="002202BB"/>
    <w:rsid w:val="00220470"/>
    <w:rsid w:val="00220A24"/>
    <w:rsid w:val="00220FED"/>
    <w:rsid w:val="002223C3"/>
    <w:rsid w:val="00222510"/>
    <w:rsid w:val="00222695"/>
    <w:rsid w:val="0022351A"/>
    <w:rsid w:val="00223E8D"/>
    <w:rsid w:val="00224408"/>
    <w:rsid w:val="00224B73"/>
    <w:rsid w:val="00225408"/>
    <w:rsid w:val="0022547D"/>
    <w:rsid w:val="002267EE"/>
    <w:rsid w:val="002311A3"/>
    <w:rsid w:val="00232FC1"/>
    <w:rsid w:val="002331E4"/>
    <w:rsid w:val="00233C91"/>
    <w:rsid w:val="002352D4"/>
    <w:rsid w:val="00235C99"/>
    <w:rsid w:val="002369F1"/>
    <w:rsid w:val="00236F44"/>
    <w:rsid w:val="002376E6"/>
    <w:rsid w:val="00240C30"/>
    <w:rsid w:val="00241137"/>
    <w:rsid w:val="00241D99"/>
    <w:rsid w:val="00242C3D"/>
    <w:rsid w:val="00242CF5"/>
    <w:rsid w:val="00243D96"/>
    <w:rsid w:val="002449EA"/>
    <w:rsid w:val="002450E4"/>
    <w:rsid w:val="00247AFF"/>
    <w:rsid w:val="00250C27"/>
    <w:rsid w:val="002514A7"/>
    <w:rsid w:val="00251D0F"/>
    <w:rsid w:val="00251F05"/>
    <w:rsid w:val="0025204B"/>
    <w:rsid w:val="00252864"/>
    <w:rsid w:val="00253256"/>
    <w:rsid w:val="002537A8"/>
    <w:rsid w:val="00256036"/>
    <w:rsid w:val="0025692F"/>
    <w:rsid w:val="00256A85"/>
    <w:rsid w:val="002577C3"/>
    <w:rsid w:val="00260528"/>
    <w:rsid w:val="00260BA8"/>
    <w:rsid w:val="00260F2C"/>
    <w:rsid w:val="0026273D"/>
    <w:rsid w:val="00262B9E"/>
    <w:rsid w:val="002633A3"/>
    <w:rsid w:val="002638B7"/>
    <w:rsid w:val="00264D55"/>
    <w:rsid w:val="002653EA"/>
    <w:rsid w:val="0026637B"/>
    <w:rsid w:val="00271CDE"/>
    <w:rsid w:val="00272737"/>
    <w:rsid w:val="00272E00"/>
    <w:rsid w:val="00273302"/>
    <w:rsid w:val="002741B1"/>
    <w:rsid w:val="0027484B"/>
    <w:rsid w:val="00274E3A"/>
    <w:rsid w:val="00275A9E"/>
    <w:rsid w:val="00275F6C"/>
    <w:rsid w:val="00276FA4"/>
    <w:rsid w:val="002779BB"/>
    <w:rsid w:val="00281251"/>
    <w:rsid w:val="00283245"/>
    <w:rsid w:val="00283792"/>
    <w:rsid w:val="00283D9D"/>
    <w:rsid w:val="00286E92"/>
    <w:rsid w:val="00287674"/>
    <w:rsid w:val="00287B0D"/>
    <w:rsid w:val="002905E2"/>
    <w:rsid w:val="00290A99"/>
    <w:rsid w:val="00290DBD"/>
    <w:rsid w:val="0029145C"/>
    <w:rsid w:val="0029172F"/>
    <w:rsid w:val="00292625"/>
    <w:rsid w:val="002929D9"/>
    <w:rsid w:val="00293887"/>
    <w:rsid w:val="00293F1E"/>
    <w:rsid w:val="00294162"/>
    <w:rsid w:val="0029514B"/>
    <w:rsid w:val="00295174"/>
    <w:rsid w:val="002977DA"/>
    <w:rsid w:val="00297C25"/>
    <w:rsid w:val="00297EA6"/>
    <w:rsid w:val="00297EE0"/>
    <w:rsid w:val="002A0057"/>
    <w:rsid w:val="002A01A7"/>
    <w:rsid w:val="002A13FA"/>
    <w:rsid w:val="002A18EC"/>
    <w:rsid w:val="002A1DF8"/>
    <w:rsid w:val="002A24DF"/>
    <w:rsid w:val="002A256A"/>
    <w:rsid w:val="002A35AD"/>
    <w:rsid w:val="002A3803"/>
    <w:rsid w:val="002A44BA"/>
    <w:rsid w:val="002A4BFA"/>
    <w:rsid w:val="002A4E75"/>
    <w:rsid w:val="002A50D3"/>
    <w:rsid w:val="002A5538"/>
    <w:rsid w:val="002A55C4"/>
    <w:rsid w:val="002A55D5"/>
    <w:rsid w:val="002A6FBE"/>
    <w:rsid w:val="002A7053"/>
    <w:rsid w:val="002A7557"/>
    <w:rsid w:val="002A75D0"/>
    <w:rsid w:val="002A7F86"/>
    <w:rsid w:val="002B17B3"/>
    <w:rsid w:val="002B2244"/>
    <w:rsid w:val="002B22AD"/>
    <w:rsid w:val="002B2AA5"/>
    <w:rsid w:val="002B2E24"/>
    <w:rsid w:val="002B3B6E"/>
    <w:rsid w:val="002B3F50"/>
    <w:rsid w:val="002B45F7"/>
    <w:rsid w:val="002B568A"/>
    <w:rsid w:val="002B599B"/>
    <w:rsid w:val="002B631F"/>
    <w:rsid w:val="002B6C51"/>
    <w:rsid w:val="002B7F8B"/>
    <w:rsid w:val="002C1A70"/>
    <w:rsid w:val="002C4902"/>
    <w:rsid w:val="002C5847"/>
    <w:rsid w:val="002C627B"/>
    <w:rsid w:val="002C62DD"/>
    <w:rsid w:val="002C75B2"/>
    <w:rsid w:val="002D07F2"/>
    <w:rsid w:val="002D0AAB"/>
    <w:rsid w:val="002D10B2"/>
    <w:rsid w:val="002D174A"/>
    <w:rsid w:val="002D1754"/>
    <w:rsid w:val="002D2615"/>
    <w:rsid w:val="002D2A43"/>
    <w:rsid w:val="002D2AA5"/>
    <w:rsid w:val="002D36CF"/>
    <w:rsid w:val="002D3717"/>
    <w:rsid w:val="002D37C7"/>
    <w:rsid w:val="002D52E7"/>
    <w:rsid w:val="002D5EFE"/>
    <w:rsid w:val="002E069B"/>
    <w:rsid w:val="002E2441"/>
    <w:rsid w:val="002E27B3"/>
    <w:rsid w:val="002E2F6A"/>
    <w:rsid w:val="002E38F6"/>
    <w:rsid w:val="002E4CFF"/>
    <w:rsid w:val="002E4FDF"/>
    <w:rsid w:val="002E55CD"/>
    <w:rsid w:val="002E5B6A"/>
    <w:rsid w:val="002E5EB7"/>
    <w:rsid w:val="002E6532"/>
    <w:rsid w:val="002E6595"/>
    <w:rsid w:val="002E6615"/>
    <w:rsid w:val="002E6BC7"/>
    <w:rsid w:val="002E6F49"/>
    <w:rsid w:val="002E78AF"/>
    <w:rsid w:val="002F05FE"/>
    <w:rsid w:val="002F08B1"/>
    <w:rsid w:val="002F29F6"/>
    <w:rsid w:val="002F3319"/>
    <w:rsid w:val="002F35EE"/>
    <w:rsid w:val="002F3DA4"/>
    <w:rsid w:val="002F40E3"/>
    <w:rsid w:val="002F43B1"/>
    <w:rsid w:val="002F458A"/>
    <w:rsid w:val="002F55FB"/>
    <w:rsid w:val="002F58C8"/>
    <w:rsid w:val="002F5B34"/>
    <w:rsid w:val="002F77AC"/>
    <w:rsid w:val="002F7E19"/>
    <w:rsid w:val="002F7F1A"/>
    <w:rsid w:val="003001F6"/>
    <w:rsid w:val="00300E7F"/>
    <w:rsid w:val="00301451"/>
    <w:rsid w:val="00301A87"/>
    <w:rsid w:val="00302DE4"/>
    <w:rsid w:val="00302F86"/>
    <w:rsid w:val="0030349B"/>
    <w:rsid w:val="0030390F"/>
    <w:rsid w:val="00306328"/>
    <w:rsid w:val="003068C8"/>
    <w:rsid w:val="00306BEC"/>
    <w:rsid w:val="00307791"/>
    <w:rsid w:val="00307AC9"/>
    <w:rsid w:val="003103D7"/>
    <w:rsid w:val="00310B21"/>
    <w:rsid w:val="003114FF"/>
    <w:rsid w:val="00311707"/>
    <w:rsid w:val="003126B2"/>
    <w:rsid w:val="0031423F"/>
    <w:rsid w:val="0031431B"/>
    <w:rsid w:val="00314C76"/>
    <w:rsid w:val="003154FA"/>
    <w:rsid w:val="0031681E"/>
    <w:rsid w:val="003170DF"/>
    <w:rsid w:val="00317B2F"/>
    <w:rsid w:val="00317C17"/>
    <w:rsid w:val="00317DEC"/>
    <w:rsid w:val="0032013C"/>
    <w:rsid w:val="0032073C"/>
    <w:rsid w:val="00320D86"/>
    <w:rsid w:val="00320F3C"/>
    <w:rsid w:val="00321A72"/>
    <w:rsid w:val="00322D73"/>
    <w:rsid w:val="00322FD8"/>
    <w:rsid w:val="0032432D"/>
    <w:rsid w:val="00324594"/>
    <w:rsid w:val="00325060"/>
    <w:rsid w:val="00326F38"/>
    <w:rsid w:val="0032784A"/>
    <w:rsid w:val="0033042D"/>
    <w:rsid w:val="003305AE"/>
    <w:rsid w:val="00330A68"/>
    <w:rsid w:val="00330AA1"/>
    <w:rsid w:val="00332516"/>
    <w:rsid w:val="00332A11"/>
    <w:rsid w:val="00332BE3"/>
    <w:rsid w:val="00333193"/>
    <w:rsid w:val="00333F64"/>
    <w:rsid w:val="003340AA"/>
    <w:rsid w:val="00334373"/>
    <w:rsid w:val="0033439C"/>
    <w:rsid w:val="003349F9"/>
    <w:rsid w:val="00334E27"/>
    <w:rsid w:val="0033659A"/>
    <w:rsid w:val="00336E24"/>
    <w:rsid w:val="00337348"/>
    <w:rsid w:val="00337806"/>
    <w:rsid w:val="00340F6A"/>
    <w:rsid w:val="00340FF1"/>
    <w:rsid w:val="003410F3"/>
    <w:rsid w:val="00341589"/>
    <w:rsid w:val="00341C9B"/>
    <w:rsid w:val="00342EF8"/>
    <w:rsid w:val="003432DA"/>
    <w:rsid w:val="00345299"/>
    <w:rsid w:val="003465A8"/>
    <w:rsid w:val="00346FFE"/>
    <w:rsid w:val="003472F2"/>
    <w:rsid w:val="003475D5"/>
    <w:rsid w:val="00347AFE"/>
    <w:rsid w:val="00350559"/>
    <w:rsid w:val="00350FBC"/>
    <w:rsid w:val="003510D1"/>
    <w:rsid w:val="003512FF"/>
    <w:rsid w:val="00352DF8"/>
    <w:rsid w:val="003537D6"/>
    <w:rsid w:val="00353D52"/>
    <w:rsid w:val="00354594"/>
    <w:rsid w:val="00354851"/>
    <w:rsid w:val="0035511F"/>
    <w:rsid w:val="00355923"/>
    <w:rsid w:val="00355F65"/>
    <w:rsid w:val="00356D0D"/>
    <w:rsid w:val="00356FC3"/>
    <w:rsid w:val="003603CA"/>
    <w:rsid w:val="0036075E"/>
    <w:rsid w:val="0036093B"/>
    <w:rsid w:val="00360F25"/>
    <w:rsid w:val="003612CB"/>
    <w:rsid w:val="00361C01"/>
    <w:rsid w:val="00362B48"/>
    <w:rsid w:val="00362BE5"/>
    <w:rsid w:val="00363781"/>
    <w:rsid w:val="00363860"/>
    <w:rsid w:val="00364050"/>
    <w:rsid w:val="00365259"/>
    <w:rsid w:val="00365555"/>
    <w:rsid w:val="003655E5"/>
    <w:rsid w:val="00366943"/>
    <w:rsid w:val="0036729A"/>
    <w:rsid w:val="003677C8"/>
    <w:rsid w:val="0036799A"/>
    <w:rsid w:val="00367A13"/>
    <w:rsid w:val="00371CBE"/>
    <w:rsid w:val="0037226A"/>
    <w:rsid w:val="0037232D"/>
    <w:rsid w:val="00372656"/>
    <w:rsid w:val="00372C30"/>
    <w:rsid w:val="00372DDB"/>
    <w:rsid w:val="003739E1"/>
    <w:rsid w:val="00373BD8"/>
    <w:rsid w:val="00373C11"/>
    <w:rsid w:val="00374384"/>
    <w:rsid w:val="003754D2"/>
    <w:rsid w:val="0037592E"/>
    <w:rsid w:val="00375B6B"/>
    <w:rsid w:val="00377271"/>
    <w:rsid w:val="00377471"/>
    <w:rsid w:val="0037747B"/>
    <w:rsid w:val="00380EE7"/>
    <w:rsid w:val="00380F8D"/>
    <w:rsid w:val="00381C98"/>
    <w:rsid w:val="0038309F"/>
    <w:rsid w:val="00383620"/>
    <w:rsid w:val="00383637"/>
    <w:rsid w:val="003837A1"/>
    <w:rsid w:val="003851B5"/>
    <w:rsid w:val="003859A6"/>
    <w:rsid w:val="00385DBF"/>
    <w:rsid w:val="0038642B"/>
    <w:rsid w:val="003864FD"/>
    <w:rsid w:val="003865C0"/>
    <w:rsid w:val="00386E88"/>
    <w:rsid w:val="0038793B"/>
    <w:rsid w:val="00390541"/>
    <w:rsid w:val="00391933"/>
    <w:rsid w:val="003920C5"/>
    <w:rsid w:val="00392DB1"/>
    <w:rsid w:val="00393A7B"/>
    <w:rsid w:val="00394BEA"/>
    <w:rsid w:val="00395666"/>
    <w:rsid w:val="00395CF8"/>
    <w:rsid w:val="00395DDF"/>
    <w:rsid w:val="00396A5C"/>
    <w:rsid w:val="00397BA2"/>
    <w:rsid w:val="003A0010"/>
    <w:rsid w:val="003A0380"/>
    <w:rsid w:val="003A0576"/>
    <w:rsid w:val="003A07E5"/>
    <w:rsid w:val="003A1CB9"/>
    <w:rsid w:val="003A2992"/>
    <w:rsid w:val="003A2F0D"/>
    <w:rsid w:val="003A3063"/>
    <w:rsid w:val="003A312D"/>
    <w:rsid w:val="003A41E1"/>
    <w:rsid w:val="003A423E"/>
    <w:rsid w:val="003A4875"/>
    <w:rsid w:val="003A5059"/>
    <w:rsid w:val="003A57DF"/>
    <w:rsid w:val="003A5960"/>
    <w:rsid w:val="003A5EB9"/>
    <w:rsid w:val="003A62DC"/>
    <w:rsid w:val="003A693D"/>
    <w:rsid w:val="003A6C2E"/>
    <w:rsid w:val="003A6D83"/>
    <w:rsid w:val="003A6E6F"/>
    <w:rsid w:val="003A7037"/>
    <w:rsid w:val="003A7413"/>
    <w:rsid w:val="003B08AD"/>
    <w:rsid w:val="003B27AF"/>
    <w:rsid w:val="003B27BB"/>
    <w:rsid w:val="003B2E68"/>
    <w:rsid w:val="003B3135"/>
    <w:rsid w:val="003B3413"/>
    <w:rsid w:val="003B37F1"/>
    <w:rsid w:val="003B3B94"/>
    <w:rsid w:val="003B3DF3"/>
    <w:rsid w:val="003B41A1"/>
    <w:rsid w:val="003B454C"/>
    <w:rsid w:val="003B5B68"/>
    <w:rsid w:val="003B6151"/>
    <w:rsid w:val="003B69B5"/>
    <w:rsid w:val="003B6B60"/>
    <w:rsid w:val="003B6FFB"/>
    <w:rsid w:val="003B749A"/>
    <w:rsid w:val="003B7EC9"/>
    <w:rsid w:val="003C1051"/>
    <w:rsid w:val="003C1615"/>
    <w:rsid w:val="003C162C"/>
    <w:rsid w:val="003C1FB8"/>
    <w:rsid w:val="003C22E0"/>
    <w:rsid w:val="003C2712"/>
    <w:rsid w:val="003C2AF1"/>
    <w:rsid w:val="003C3BAC"/>
    <w:rsid w:val="003C3D5B"/>
    <w:rsid w:val="003C4B43"/>
    <w:rsid w:val="003C4C0B"/>
    <w:rsid w:val="003C4F39"/>
    <w:rsid w:val="003C5374"/>
    <w:rsid w:val="003C55FC"/>
    <w:rsid w:val="003C5AFA"/>
    <w:rsid w:val="003C5F94"/>
    <w:rsid w:val="003D08A6"/>
    <w:rsid w:val="003D19F7"/>
    <w:rsid w:val="003D2745"/>
    <w:rsid w:val="003D32A1"/>
    <w:rsid w:val="003D47C2"/>
    <w:rsid w:val="003D4932"/>
    <w:rsid w:val="003D4F41"/>
    <w:rsid w:val="003D6A26"/>
    <w:rsid w:val="003D6F87"/>
    <w:rsid w:val="003D7F3C"/>
    <w:rsid w:val="003E036F"/>
    <w:rsid w:val="003E04DE"/>
    <w:rsid w:val="003E16C0"/>
    <w:rsid w:val="003E19FA"/>
    <w:rsid w:val="003E29FC"/>
    <w:rsid w:val="003E2CEC"/>
    <w:rsid w:val="003E3230"/>
    <w:rsid w:val="003E3EB7"/>
    <w:rsid w:val="003E3F37"/>
    <w:rsid w:val="003E4876"/>
    <w:rsid w:val="003E4EAD"/>
    <w:rsid w:val="003E547D"/>
    <w:rsid w:val="003E6680"/>
    <w:rsid w:val="003E778D"/>
    <w:rsid w:val="003F0133"/>
    <w:rsid w:val="003F022B"/>
    <w:rsid w:val="003F04E9"/>
    <w:rsid w:val="003F07D1"/>
    <w:rsid w:val="003F1BDC"/>
    <w:rsid w:val="003F1CFC"/>
    <w:rsid w:val="003F2A7E"/>
    <w:rsid w:val="003F3EEA"/>
    <w:rsid w:val="003F4933"/>
    <w:rsid w:val="003F4AE2"/>
    <w:rsid w:val="003F5394"/>
    <w:rsid w:val="003F63DF"/>
    <w:rsid w:val="003F6676"/>
    <w:rsid w:val="003F6A04"/>
    <w:rsid w:val="003F732C"/>
    <w:rsid w:val="003F79A8"/>
    <w:rsid w:val="003F7DC0"/>
    <w:rsid w:val="00400030"/>
    <w:rsid w:val="004002CD"/>
    <w:rsid w:val="004016FD"/>
    <w:rsid w:val="004039FA"/>
    <w:rsid w:val="004047B4"/>
    <w:rsid w:val="00405835"/>
    <w:rsid w:val="004064A3"/>
    <w:rsid w:val="004106A9"/>
    <w:rsid w:val="00410B29"/>
    <w:rsid w:val="00411918"/>
    <w:rsid w:val="004119E6"/>
    <w:rsid w:val="004122B6"/>
    <w:rsid w:val="004132AF"/>
    <w:rsid w:val="00413932"/>
    <w:rsid w:val="00413C0C"/>
    <w:rsid w:val="00413DB4"/>
    <w:rsid w:val="004146E3"/>
    <w:rsid w:val="00414BD2"/>
    <w:rsid w:val="00414E87"/>
    <w:rsid w:val="004165C5"/>
    <w:rsid w:val="00416A20"/>
    <w:rsid w:val="00416D67"/>
    <w:rsid w:val="00416DD5"/>
    <w:rsid w:val="004177E3"/>
    <w:rsid w:val="00417C20"/>
    <w:rsid w:val="00420700"/>
    <w:rsid w:val="00422027"/>
    <w:rsid w:val="0042259F"/>
    <w:rsid w:val="00422C3D"/>
    <w:rsid w:val="00423174"/>
    <w:rsid w:val="00424482"/>
    <w:rsid w:val="00424D19"/>
    <w:rsid w:val="00425A08"/>
    <w:rsid w:val="0042633F"/>
    <w:rsid w:val="00427253"/>
    <w:rsid w:val="00427718"/>
    <w:rsid w:val="00427CC9"/>
    <w:rsid w:val="0043038B"/>
    <w:rsid w:val="004304ED"/>
    <w:rsid w:val="00430519"/>
    <w:rsid w:val="0043054A"/>
    <w:rsid w:val="004307F9"/>
    <w:rsid w:val="004309E4"/>
    <w:rsid w:val="00431425"/>
    <w:rsid w:val="00431B89"/>
    <w:rsid w:val="00431D1F"/>
    <w:rsid w:val="00431F31"/>
    <w:rsid w:val="0043288E"/>
    <w:rsid w:val="0043347B"/>
    <w:rsid w:val="004338E0"/>
    <w:rsid w:val="0043445F"/>
    <w:rsid w:val="004348AC"/>
    <w:rsid w:val="00434ACA"/>
    <w:rsid w:val="00434F2F"/>
    <w:rsid w:val="00435AA2"/>
    <w:rsid w:val="00435B1D"/>
    <w:rsid w:val="00435D64"/>
    <w:rsid w:val="0043785F"/>
    <w:rsid w:val="00437A87"/>
    <w:rsid w:val="00440737"/>
    <w:rsid w:val="00440CBF"/>
    <w:rsid w:val="00441572"/>
    <w:rsid w:val="00441905"/>
    <w:rsid w:val="00442EAD"/>
    <w:rsid w:val="00443635"/>
    <w:rsid w:val="00443DD7"/>
    <w:rsid w:val="00444015"/>
    <w:rsid w:val="004442FF"/>
    <w:rsid w:val="004444FA"/>
    <w:rsid w:val="00444D10"/>
    <w:rsid w:val="00445A03"/>
    <w:rsid w:val="00446264"/>
    <w:rsid w:val="004467B6"/>
    <w:rsid w:val="00447025"/>
    <w:rsid w:val="00447128"/>
    <w:rsid w:val="00447A58"/>
    <w:rsid w:val="00447E96"/>
    <w:rsid w:val="004507E7"/>
    <w:rsid w:val="00452AAC"/>
    <w:rsid w:val="0045373B"/>
    <w:rsid w:val="0045435C"/>
    <w:rsid w:val="0045453A"/>
    <w:rsid w:val="004547A8"/>
    <w:rsid w:val="0045596A"/>
    <w:rsid w:val="00455DFC"/>
    <w:rsid w:val="004567B8"/>
    <w:rsid w:val="00457A24"/>
    <w:rsid w:val="00457C67"/>
    <w:rsid w:val="00457D92"/>
    <w:rsid w:val="004602F8"/>
    <w:rsid w:val="00460813"/>
    <w:rsid w:val="00460B54"/>
    <w:rsid w:val="00461237"/>
    <w:rsid w:val="0046157E"/>
    <w:rsid w:val="00461A5D"/>
    <w:rsid w:val="00462F26"/>
    <w:rsid w:val="00463E4C"/>
    <w:rsid w:val="004644E8"/>
    <w:rsid w:val="004658B5"/>
    <w:rsid w:val="00466541"/>
    <w:rsid w:val="00466EC4"/>
    <w:rsid w:val="0046746E"/>
    <w:rsid w:val="004709B5"/>
    <w:rsid w:val="00470C36"/>
    <w:rsid w:val="00470DCA"/>
    <w:rsid w:val="00471E42"/>
    <w:rsid w:val="00472148"/>
    <w:rsid w:val="00472276"/>
    <w:rsid w:val="004724F7"/>
    <w:rsid w:val="004736E1"/>
    <w:rsid w:val="00473D1F"/>
    <w:rsid w:val="00473D4F"/>
    <w:rsid w:val="00474E97"/>
    <w:rsid w:val="0047574E"/>
    <w:rsid w:val="0047578A"/>
    <w:rsid w:val="004769AD"/>
    <w:rsid w:val="00476BA6"/>
    <w:rsid w:val="00477DC7"/>
    <w:rsid w:val="0048081D"/>
    <w:rsid w:val="004810EF"/>
    <w:rsid w:val="004818A1"/>
    <w:rsid w:val="004826D0"/>
    <w:rsid w:val="00483A7F"/>
    <w:rsid w:val="00483FFA"/>
    <w:rsid w:val="0048487D"/>
    <w:rsid w:val="00485552"/>
    <w:rsid w:val="0048559F"/>
    <w:rsid w:val="00485A77"/>
    <w:rsid w:val="00485C3C"/>
    <w:rsid w:val="004861B4"/>
    <w:rsid w:val="0048623B"/>
    <w:rsid w:val="004876A9"/>
    <w:rsid w:val="0048784A"/>
    <w:rsid w:val="0048793B"/>
    <w:rsid w:val="00487DDE"/>
    <w:rsid w:val="00490806"/>
    <w:rsid w:val="00491286"/>
    <w:rsid w:val="00493164"/>
    <w:rsid w:val="00493258"/>
    <w:rsid w:val="004944FB"/>
    <w:rsid w:val="004947A2"/>
    <w:rsid w:val="00494D4E"/>
    <w:rsid w:val="004950B9"/>
    <w:rsid w:val="00496211"/>
    <w:rsid w:val="004963A9"/>
    <w:rsid w:val="00496419"/>
    <w:rsid w:val="0049702C"/>
    <w:rsid w:val="004974FA"/>
    <w:rsid w:val="00497927"/>
    <w:rsid w:val="004A01FC"/>
    <w:rsid w:val="004A18A5"/>
    <w:rsid w:val="004A6BEB"/>
    <w:rsid w:val="004A79F3"/>
    <w:rsid w:val="004B01A2"/>
    <w:rsid w:val="004B0AE0"/>
    <w:rsid w:val="004B0C7F"/>
    <w:rsid w:val="004B176F"/>
    <w:rsid w:val="004B1D1D"/>
    <w:rsid w:val="004B2390"/>
    <w:rsid w:val="004B3577"/>
    <w:rsid w:val="004B48C8"/>
    <w:rsid w:val="004B48FF"/>
    <w:rsid w:val="004B525C"/>
    <w:rsid w:val="004B5901"/>
    <w:rsid w:val="004B5B3D"/>
    <w:rsid w:val="004B662A"/>
    <w:rsid w:val="004B6943"/>
    <w:rsid w:val="004B69AB"/>
    <w:rsid w:val="004B6F90"/>
    <w:rsid w:val="004B6FD4"/>
    <w:rsid w:val="004B715F"/>
    <w:rsid w:val="004B7B7F"/>
    <w:rsid w:val="004C045E"/>
    <w:rsid w:val="004C10CE"/>
    <w:rsid w:val="004C18B3"/>
    <w:rsid w:val="004C1996"/>
    <w:rsid w:val="004C2307"/>
    <w:rsid w:val="004C2816"/>
    <w:rsid w:val="004C691D"/>
    <w:rsid w:val="004C6AA0"/>
    <w:rsid w:val="004C6E70"/>
    <w:rsid w:val="004C7179"/>
    <w:rsid w:val="004C7539"/>
    <w:rsid w:val="004D0349"/>
    <w:rsid w:val="004D0D1E"/>
    <w:rsid w:val="004D173B"/>
    <w:rsid w:val="004D2AC8"/>
    <w:rsid w:val="004D3C28"/>
    <w:rsid w:val="004D4562"/>
    <w:rsid w:val="004D47F1"/>
    <w:rsid w:val="004D50CA"/>
    <w:rsid w:val="004D5D73"/>
    <w:rsid w:val="004D60B9"/>
    <w:rsid w:val="004D61D6"/>
    <w:rsid w:val="004D6BC9"/>
    <w:rsid w:val="004D6E21"/>
    <w:rsid w:val="004D772D"/>
    <w:rsid w:val="004E0E32"/>
    <w:rsid w:val="004E1779"/>
    <w:rsid w:val="004E2C27"/>
    <w:rsid w:val="004E302A"/>
    <w:rsid w:val="004E44FF"/>
    <w:rsid w:val="004E45E4"/>
    <w:rsid w:val="004E467D"/>
    <w:rsid w:val="004E5AC2"/>
    <w:rsid w:val="004E75A3"/>
    <w:rsid w:val="004E774C"/>
    <w:rsid w:val="004F02A2"/>
    <w:rsid w:val="004F0A89"/>
    <w:rsid w:val="004F2563"/>
    <w:rsid w:val="004F489F"/>
    <w:rsid w:val="004F549C"/>
    <w:rsid w:val="004F57B0"/>
    <w:rsid w:val="004F63FB"/>
    <w:rsid w:val="004F65D2"/>
    <w:rsid w:val="004F76F2"/>
    <w:rsid w:val="004F7DFC"/>
    <w:rsid w:val="004F7FDF"/>
    <w:rsid w:val="00501C47"/>
    <w:rsid w:val="00502E54"/>
    <w:rsid w:val="005044B5"/>
    <w:rsid w:val="005045EF"/>
    <w:rsid w:val="00504875"/>
    <w:rsid w:val="00504E72"/>
    <w:rsid w:val="00505160"/>
    <w:rsid w:val="00505653"/>
    <w:rsid w:val="00505A2F"/>
    <w:rsid w:val="0050787E"/>
    <w:rsid w:val="0051038F"/>
    <w:rsid w:val="0051070D"/>
    <w:rsid w:val="005112F4"/>
    <w:rsid w:val="005113D0"/>
    <w:rsid w:val="00511D44"/>
    <w:rsid w:val="0051339A"/>
    <w:rsid w:val="00513526"/>
    <w:rsid w:val="00513B72"/>
    <w:rsid w:val="00514201"/>
    <w:rsid w:val="005152B4"/>
    <w:rsid w:val="005161D7"/>
    <w:rsid w:val="00516340"/>
    <w:rsid w:val="00516AF9"/>
    <w:rsid w:val="00516ED8"/>
    <w:rsid w:val="00516F0B"/>
    <w:rsid w:val="005174D0"/>
    <w:rsid w:val="00517B68"/>
    <w:rsid w:val="00517C43"/>
    <w:rsid w:val="00517EA7"/>
    <w:rsid w:val="00522164"/>
    <w:rsid w:val="00522644"/>
    <w:rsid w:val="0052410D"/>
    <w:rsid w:val="005244A3"/>
    <w:rsid w:val="0052546C"/>
    <w:rsid w:val="00525626"/>
    <w:rsid w:val="0052589C"/>
    <w:rsid w:val="005263A8"/>
    <w:rsid w:val="0052653A"/>
    <w:rsid w:val="00530C5E"/>
    <w:rsid w:val="00530CEC"/>
    <w:rsid w:val="0053131E"/>
    <w:rsid w:val="005329BC"/>
    <w:rsid w:val="005332A2"/>
    <w:rsid w:val="00533EA4"/>
    <w:rsid w:val="005355B3"/>
    <w:rsid w:val="005358B7"/>
    <w:rsid w:val="00535ECA"/>
    <w:rsid w:val="00535F65"/>
    <w:rsid w:val="00536176"/>
    <w:rsid w:val="00536387"/>
    <w:rsid w:val="005364BE"/>
    <w:rsid w:val="00536E30"/>
    <w:rsid w:val="00537201"/>
    <w:rsid w:val="00537437"/>
    <w:rsid w:val="00537746"/>
    <w:rsid w:val="00537CAB"/>
    <w:rsid w:val="00540E04"/>
    <w:rsid w:val="00540F07"/>
    <w:rsid w:val="005428D4"/>
    <w:rsid w:val="00542F44"/>
    <w:rsid w:val="00543956"/>
    <w:rsid w:val="00544765"/>
    <w:rsid w:val="00545218"/>
    <w:rsid w:val="005456C4"/>
    <w:rsid w:val="00545BBD"/>
    <w:rsid w:val="005476EF"/>
    <w:rsid w:val="00547D82"/>
    <w:rsid w:val="005508B6"/>
    <w:rsid w:val="00551351"/>
    <w:rsid w:val="00551813"/>
    <w:rsid w:val="00552356"/>
    <w:rsid w:val="0055289B"/>
    <w:rsid w:val="00552C17"/>
    <w:rsid w:val="00552C4D"/>
    <w:rsid w:val="00552C51"/>
    <w:rsid w:val="00552DFD"/>
    <w:rsid w:val="00553A18"/>
    <w:rsid w:val="005549F8"/>
    <w:rsid w:val="00554E35"/>
    <w:rsid w:val="00555398"/>
    <w:rsid w:val="005555FF"/>
    <w:rsid w:val="00555CF8"/>
    <w:rsid w:val="00555F3C"/>
    <w:rsid w:val="00556D97"/>
    <w:rsid w:val="00560202"/>
    <w:rsid w:val="00560D97"/>
    <w:rsid w:val="0056136A"/>
    <w:rsid w:val="00563FFC"/>
    <w:rsid w:val="00564F49"/>
    <w:rsid w:val="005651FA"/>
    <w:rsid w:val="00565298"/>
    <w:rsid w:val="00565734"/>
    <w:rsid w:val="00565C70"/>
    <w:rsid w:val="00566264"/>
    <w:rsid w:val="005662D1"/>
    <w:rsid w:val="00566C5D"/>
    <w:rsid w:val="00566D75"/>
    <w:rsid w:val="005700ED"/>
    <w:rsid w:val="00571454"/>
    <w:rsid w:val="00571A30"/>
    <w:rsid w:val="00571CE9"/>
    <w:rsid w:val="005732FA"/>
    <w:rsid w:val="00573FA4"/>
    <w:rsid w:val="00573FAF"/>
    <w:rsid w:val="00574349"/>
    <w:rsid w:val="00574449"/>
    <w:rsid w:val="00575A9C"/>
    <w:rsid w:val="00575CB1"/>
    <w:rsid w:val="00576998"/>
    <w:rsid w:val="0057706B"/>
    <w:rsid w:val="00580335"/>
    <w:rsid w:val="00580B1A"/>
    <w:rsid w:val="0058119B"/>
    <w:rsid w:val="00581A21"/>
    <w:rsid w:val="00581C48"/>
    <w:rsid w:val="00582042"/>
    <w:rsid w:val="0058267F"/>
    <w:rsid w:val="005829E0"/>
    <w:rsid w:val="00583174"/>
    <w:rsid w:val="005831C4"/>
    <w:rsid w:val="00583FD8"/>
    <w:rsid w:val="0058436F"/>
    <w:rsid w:val="005851C3"/>
    <w:rsid w:val="00585DDF"/>
    <w:rsid w:val="00585F6A"/>
    <w:rsid w:val="005865CA"/>
    <w:rsid w:val="00586A46"/>
    <w:rsid w:val="00590880"/>
    <w:rsid w:val="00590C55"/>
    <w:rsid w:val="00591602"/>
    <w:rsid w:val="00591E4F"/>
    <w:rsid w:val="0059595D"/>
    <w:rsid w:val="00595FBC"/>
    <w:rsid w:val="00596201"/>
    <w:rsid w:val="00596A9F"/>
    <w:rsid w:val="005A0021"/>
    <w:rsid w:val="005A035D"/>
    <w:rsid w:val="005A06DD"/>
    <w:rsid w:val="005A0D8A"/>
    <w:rsid w:val="005A102E"/>
    <w:rsid w:val="005A1B55"/>
    <w:rsid w:val="005A1E73"/>
    <w:rsid w:val="005A2495"/>
    <w:rsid w:val="005A2633"/>
    <w:rsid w:val="005A3244"/>
    <w:rsid w:val="005A3C7D"/>
    <w:rsid w:val="005A48CB"/>
    <w:rsid w:val="005A5870"/>
    <w:rsid w:val="005A632F"/>
    <w:rsid w:val="005A709D"/>
    <w:rsid w:val="005B02CC"/>
    <w:rsid w:val="005B060D"/>
    <w:rsid w:val="005B0D81"/>
    <w:rsid w:val="005B1932"/>
    <w:rsid w:val="005B2716"/>
    <w:rsid w:val="005B2A2D"/>
    <w:rsid w:val="005B2A99"/>
    <w:rsid w:val="005B2AF2"/>
    <w:rsid w:val="005B32F2"/>
    <w:rsid w:val="005B58FF"/>
    <w:rsid w:val="005B59C5"/>
    <w:rsid w:val="005B62FD"/>
    <w:rsid w:val="005C00C5"/>
    <w:rsid w:val="005C08B7"/>
    <w:rsid w:val="005C173A"/>
    <w:rsid w:val="005C19DE"/>
    <w:rsid w:val="005C2A74"/>
    <w:rsid w:val="005C2ED8"/>
    <w:rsid w:val="005C5B36"/>
    <w:rsid w:val="005C5CEE"/>
    <w:rsid w:val="005C6C21"/>
    <w:rsid w:val="005C6E5D"/>
    <w:rsid w:val="005C7B91"/>
    <w:rsid w:val="005C7C7E"/>
    <w:rsid w:val="005D0787"/>
    <w:rsid w:val="005D0F66"/>
    <w:rsid w:val="005D225A"/>
    <w:rsid w:val="005D2611"/>
    <w:rsid w:val="005D2693"/>
    <w:rsid w:val="005D27D9"/>
    <w:rsid w:val="005D2A5C"/>
    <w:rsid w:val="005D3841"/>
    <w:rsid w:val="005D44D1"/>
    <w:rsid w:val="005D4580"/>
    <w:rsid w:val="005D4A37"/>
    <w:rsid w:val="005D58B3"/>
    <w:rsid w:val="005D5A5E"/>
    <w:rsid w:val="005D7178"/>
    <w:rsid w:val="005D7657"/>
    <w:rsid w:val="005D782E"/>
    <w:rsid w:val="005D7AE9"/>
    <w:rsid w:val="005E0639"/>
    <w:rsid w:val="005E2599"/>
    <w:rsid w:val="005E473B"/>
    <w:rsid w:val="005E510A"/>
    <w:rsid w:val="005E608A"/>
    <w:rsid w:val="005E61E3"/>
    <w:rsid w:val="005E653A"/>
    <w:rsid w:val="005E6A22"/>
    <w:rsid w:val="005E7413"/>
    <w:rsid w:val="005F0190"/>
    <w:rsid w:val="005F046A"/>
    <w:rsid w:val="005F0C7E"/>
    <w:rsid w:val="005F2F76"/>
    <w:rsid w:val="005F336B"/>
    <w:rsid w:val="005F39B6"/>
    <w:rsid w:val="005F3AB4"/>
    <w:rsid w:val="005F53CD"/>
    <w:rsid w:val="005F5AF7"/>
    <w:rsid w:val="005F5C13"/>
    <w:rsid w:val="005F66BD"/>
    <w:rsid w:val="005F6FBA"/>
    <w:rsid w:val="005F777D"/>
    <w:rsid w:val="00600C50"/>
    <w:rsid w:val="00600CF8"/>
    <w:rsid w:val="00600DBD"/>
    <w:rsid w:val="00601351"/>
    <w:rsid w:val="006014CF"/>
    <w:rsid w:val="006014F5"/>
    <w:rsid w:val="006022EC"/>
    <w:rsid w:val="00602556"/>
    <w:rsid w:val="00602EC7"/>
    <w:rsid w:val="00602F32"/>
    <w:rsid w:val="006035A1"/>
    <w:rsid w:val="00603A11"/>
    <w:rsid w:val="00604C26"/>
    <w:rsid w:val="00604C2C"/>
    <w:rsid w:val="006051CB"/>
    <w:rsid w:val="006057EA"/>
    <w:rsid w:val="006068D6"/>
    <w:rsid w:val="00607268"/>
    <w:rsid w:val="006107F3"/>
    <w:rsid w:val="006110F9"/>
    <w:rsid w:val="006124EB"/>
    <w:rsid w:val="006134CE"/>
    <w:rsid w:val="006145BA"/>
    <w:rsid w:val="006146A1"/>
    <w:rsid w:val="0061531B"/>
    <w:rsid w:val="006165B7"/>
    <w:rsid w:val="00616895"/>
    <w:rsid w:val="00616930"/>
    <w:rsid w:val="00620927"/>
    <w:rsid w:val="00621038"/>
    <w:rsid w:val="006212FE"/>
    <w:rsid w:val="00621E51"/>
    <w:rsid w:val="006223B0"/>
    <w:rsid w:val="00622518"/>
    <w:rsid w:val="0062263A"/>
    <w:rsid w:val="0062276F"/>
    <w:rsid w:val="00622A9C"/>
    <w:rsid w:val="00622F24"/>
    <w:rsid w:val="00622F3F"/>
    <w:rsid w:val="0062409A"/>
    <w:rsid w:val="00624468"/>
    <w:rsid w:val="006245AB"/>
    <w:rsid w:val="00624E8E"/>
    <w:rsid w:val="006257CE"/>
    <w:rsid w:val="00625FE0"/>
    <w:rsid w:val="0062601E"/>
    <w:rsid w:val="00626B6B"/>
    <w:rsid w:val="00626BA6"/>
    <w:rsid w:val="00627BBC"/>
    <w:rsid w:val="00630064"/>
    <w:rsid w:val="00630807"/>
    <w:rsid w:val="00630BE7"/>
    <w:rsid w:val="00630DC2"/>
    <w:rsid w:val="006338D6"/>
    <w:rsid w:val="00633C82"/>
    <w:rsid w:val="00634869"/>
    <w:rsid w:val="0063489E"/>
    <w:rsid w:val="00634AFA"/>
    <w:rsid w:val="00634B70"/>
    <w:rsid w:val="0063584B"/>
    <w:rsid w:val="00636F20"/>
    <w:rsid w:val="00637537"/>
    <w:rsid w:val="00637B20"/>
    <w:rsid w:val="00640255"/>
    <w:rsid w:val="00641198"/>
    <w:rsid w:val="00641CEA"/>
    <w:rsid w:val="00643B51"/>
    <w:rsid w:val="00644181"/>
    <w:rsid w:val="0064476E"/>
    <w:rsid w:val="0064501C"/>
    <w:rsid w:val="00646D3D"/>
    <w:rsid w:val="00646E2B"/>
    <w:rsid w:val="006502DB"/>
    <w:rsid w:val="00651128"/>
    <w:rsid w:val="0065115C"/>
    <w:rsid w:val="00652304"/>
    <w:rsid w:val="00652F6B"/>
    <w:rsid w:val="00654207"/>
    <w:rsid w:val="00654570"/>
    <w:rsid w:val="00655511"/>
    <w:rsid w:val="006557A4"/>
    <w:rsid w:val="00655F7C"/>
    <w:rsid w:val="00656353"/>
    <w:rsid w:val="00656429"/>
    <w:rsid w:val="0065661F"/>
    <w:rsid w:val="0065674B"/>
    <w:rsid w:val="0065773A"/>
    <w:rsid w:val="00660068"/>
    <w:rsid w:val="00660698"/>
    <w:rsid w:val="00661BCB"/>
    <w:rsid w:val="00662412"/>
    <w:rsid w:val="00662534"/>
    <w:rsid w:val="00662A61"/>
    <w:rsid w:val="00662DB9"/>
    <w:rsid w:val="00663ED0"/>
    <w:rsid w:val="006644BC"/>
    <w:rsid w:val="00664F0A"/>
    <w:rsid w:val="00665057"/>
    <w:rsid w:val="00665903"/>
    <w:rsid w:val="00666241"/>
    <w:rsid w:val="0066635B"/>
    <w:rsid w:val="0066661B"/>
    <w:rsid w:val="00666674"/>
    <w:rsid w:val="00666E68"/>
    <w:rsid w:val="00670925"/>
    <w:rsid w:val="00671A88"/>
    <w:rsid w:val="00672A25"/>
    <w:rsid w:val="006737FB"/>
    <w:rsid w:val="00674C7F"/>
    <w:rsid w:val="0067597D"/>
    <w:rsid w:val="00676D6D"/>
    <w:rsid w:val="00677F8E"/>
    <w:rsid w:val="006801BA"/>
    <w:rsid w:val="00680C47"/>
    <w:rsid w:val="00681825"/>
    <w:rsid w:val="00681CA7"/>
    <w:rsid w:val="00681EE8"/>
    <w:rsid w:val="00682648"/>
    <w:rsid w:val="00682778"/>
    <w:rsid w:val="00684443"/>
    <w:rsid w:val="00685B5D"/>
    <w:rsid w:val="0068695F"/>
    <w:rsid w:val="0068721E"/>
    <w:rsid w:val="006875D0"/>
    <w:rsid w:val="006875E2"/>
    <w:rsid w:val="0069156B"/>
    <w:rsid w:val="006920A5"/>
    <w:rsid w:val="00693757"/>
    <w:rsid w:val="00693B6A"/>
    <w:rsid w:val="00693D3B"/>
    <w:rsid w:val="006941D0"/>
    <w:rsid w:val="00694AF6"/>
    <w:rsid w:val="006957EA"/>
    <w:rsid w:val="00695857"/>
    <w:rsid w:val="00695F49"/>
    <w:rsid w:val="00696146"/>
    <w:rsid w:val="00697EB4"/>
    <w:rsid w:val="006A3A3C"/>
    <w:rsid w:val="006A4506"/>
    <w:rsid w:val="006A4925"/>
    <w:rsid w:val="006A4C06"/>
    <w:rsid w:val="006A5617"/>
    <w:rsid w:val="006A58FB"/>
    <w:rsid w:val="006A5D59"/>
    <w:rsid w:val="006A78D0"/>
    <w:rsid w:val="006A7A7E"/>
    <w:rsid w:val="006B077C"/>
    <w:rsid w:val="006B08A7"/>
    <w:rsid w:val="006B097D"/>
    <w:rsid w:val="006B1456"/>
    <w:rsid w:val="006B1C65"/>
    <w:rsid w:val="006B320D"/>
    <w:rsid w:val="006B464C"/>
    <w:rsid w:val="006B51C1"/>
    <w:rsid w:val="006B5265"/>
    <w:rsid w:val="006B5673"/>
    <w:rsid w:val="006B6CFD"/>
    <w:rsid w:val="006B7B50"/>
    <w:rsid w:val="006C03BD"/>
    <w:rsid w:val="006C1990"/>
    <w:rsid w:val="006C2CF1"/>
    <w:rsid w:val="006C363A"/>
    <w:rsid w:val="006C36A2"/>
    <w:rsid w:val="006C3D3A"/>
    <w:rsid w:val="006C4626"/>
    <w:rsid w:val="006C5219"/>
    <w:rsid w:val="006C54B1"/>
    <w:rsid w:val="006C57C5"/>
    <w:rsid w:val="006C6426"/>
    <w:rsid w:val="006C7787"/>
    <w:rsid w:val="006D107A"/>
    <w:rsid w:val="006D2F3E"/>
    <w:rsid w:val="006D4357"/>
    <w:rsid w:val="006D4C4F"/>
    <w:rsid w:val="006D51B5"/>
    <w:rsid w:val="006D5327"/>
    <w:rsid w:val="006D5E33"/>
    <w:rsid w:val="006D7CA6"/>
    <w:rsid w:val="006E0427"/>
    <w:rsid w:val="006E072F"/>
    <w:rsid w:val="006E1CC6"/>
    <w:rsid w:val="006E2CBF"/>
    <w:rsid w:val="006E3145"/>
    <w:rsid w:val="006E3F9C"/>
    <w:rsid w:val="006E4615"/>
    <w:rsid w:val="006E4C64"/>
    <w:rsid w:val="006E4E85"/>
    <w:rsid w:val="006E5BA0"/>
    <w:rsid w:val="006E60E3"/>
    <w:rsid w:val="006E6274"/>
    <w:rsid w:val="006E6905"/>
    <w:rsid w:val="006E6FE5"/>
    <w:rsid w:val="006E7484"/>
    <w:rsid w:val="006E7E8A"/>
    <w:rsid w:val="006F0AF4"/>
    <w:rsid w:val="006F1343"/>
    <w:rsid w:val="006F2591"/>
    <w:rsid w:val="006F30BB"/>
    <w:rsid w:val="006F45F7"/>
    <w:rsid w:val="006F6F89"/>
    <w:rsid w:val="006F6FF3"/>
    <w:rsid w:val="006F7073"/>
    <w:rsid w:val="006F7841"/>
    <w:rsid w:val="0070053E"/>
    <w:rsid w:val="00700929"/>
    <w:rsid w:val="00700951"/>
    <w:rsid w:val="00702AD2"/>
    <w:rsid w:val="00702F5C"/>
    <w:rsid w:val="00704B1E"/>
    <w:rsid w:val="00704EB0"/>
    <w:rsid w:val="00704F29"/>
    <w:rsid w:val="007051FF"/>
    <w:rsid w:val="00706F74"/>
    <w:rsid w:val="00707913"/>
    <w:rsid w:val="00707A1C"/>
    <w:rsid w:val="00707F90"/>
    <w:rsid w:val="0071034B"/>
    <w:rsid w:val="00711EDE"/>
    <w:rsid w:val="007126CC"/>
    <w:rsid w:val="007133BD"/>
    <w:rsid w:val="007148DC"/>
    <w:rsid w:val="00714BDC"/>
    <w:rsid w:val="0071594E"/>
    <w:rsid w:val="00715FF5"/>
    <w:rsid w:val="00717DE1"/>
    <w:rsid w:val="0072033F"/>
    <w:rsid w:val="00721422"/>
    <w:rsid w:val="00722C87"/>
    <w:rsid w:val="00723812"/>
    <w:rsid w:val="00723AA9"/>
    <w:rsid w:val="007241D3"/>
    <w:rsid w:val="007244C9"/>
    <w:rsid w:val="00730476"/>
    <w:rsid w:val="00730D76"/>
    <w:rsid w:val="007342BC"/>
    <w:rsid w:val="007342CF"/>
    <w:rsid w:val="007348AA"/>
    <w:rsid w:val="00734E47"/>
    <w:rsid w:val="00734FD4"/>
    <w:rsid w:val="0073575F"/>
    <w:rsid w:val="00735A0C"/>
    <w:rsid w:val="00736513"/>
    <w:rsid w:val="0073693D"/>
    <w:rsid w:val="00736EC9"/>
    <w:rsid w:val="007373AE"/>
    <w:rsid w:val="007377BC"/>
    <w:rsid w:val="00743709"/>
    <w:rsid w:val="00744D9D"/>
    <w:rsid w:val="0074533B"/>
    <w:rsid w:val="00746292"/>
    <w:rsid w:val="00750B12"/>
    <w:rsid w:val="00751FE1"/>
    <w:rsid w:val="00751FFF"/>
    <w:rsid w:val="00752B3F"/>
    <w:rsid w:val="00752D1C"/>
    <w:rsid w:val="00753446"/>
    <w:rsid w:val="00754B87"/>
    <w:rsid w:val="00756A12"/>
    <w:rsid w:val="00756B28"/>
    <w:rsid w:val="00757517"/>
    <w:rsid w:val="00757C4B"/>
    <w:rsid w:val="0076158C"/>
    <w:rsid w:val="007615BF"/>
    <w:rsid w:val="00761BC5"/>
    <w:rsid w:val="007635B7"/>
    <w:rsid w:val="00764A58"/>
    <w:rsid w:val="00764C76"/>
    <w:rsid w:val="00764ECE"/>
    <w:rsid w:val="00765331"/>
    <w:rsid w:val="0077099A"/>
    <w:rsid w:val="00770E0D"/>
    <w:rsid w:val="00772B3C"/>
    <w:rsid w:val="00772DDA"/>
    <w:rsid w:val="00773021"/>
    <w:rsid w:val="0077310E"/>
    <w:rsid w:val="007734E2"/>
    <w:rsid w:val="00774B87"/>
    <w:rsid w:val="0077664A"/>
    <w:rsid w:val="00777792"/>
    <w:rsid w:val="00777A4E"/>
    <w:rsid w:val="00780341"/>
    <w:rsid w:val="00780C6E"/>
    <w:rsid w:val="007817DB"/>
    <w:rsid w:val="00782CED"/>
    <w:rsid w:val="0078301C"/>
    <w:rsid w:val="007833F6"/>
    <w:rsid w:val="00784417"/>
    <w:rsid w:val="007857D3"/>
    <w:rsid w:val="007861D1"/>
    <w:rsid w:val="007865E3"/>
    <w:rsid w:val="00786CB6"/>
    <w:rsid w:val="007871A3"/>
    <w:rsid w:val="00790255"/>
    <w:rsid w:val="00790C45"/>
    <w:rsid w:val="00791887"/>
    <w:rsid w:val="00791B30"/>
    <w:rsid w:val="007929CF"/>
    <w:rsid w:val="00794719"/>
    <w:rsid w:val="007953A7"/>
    <w:rsid w:val="00795A4E"/>
    <w:rsid w:val="00795FA3"/>
    <w:rsid w:val="00796B06"/>
    <w:rsid w:val="0079742C"/>
    <w:rsid w:val="007A1371"/>
    <w:rsid w:val="007A1603"/>
    <w:rsid w:val="007A1C62"/>
    <w:rsid w:val="007A1CAB"/>
    <w:rsid w:val="007A31D5"/>
    <w:rsid w:val="007A4171"/>
    <w:rsid w:val="007A4CE7"/>
    <w:rsid w:val="007A5460"/>
    <w:rsid w:val="007A6289"/>
    <w:rsid w:val="007A6E95"/>
    <w:rsid w:val="007A79F8"/>
    <w:rsid w:val="007B13B7"/>
    <w:rsid w:val="007B179D"/>
    <w:rsid w:val="007B188D"/>
    <w:rsid w:val="007B1F82"/>
    <w:rsid w:val="007B2425"/>
    <w:rsid w:val="007B2B40"/>
    <w:rsid w:val="007B3FEB"/>
    <w:rsid w:val="007B41C6"/>
    <w:rsid w:val="007B51A4"/>
    <w:rsid w:val="007B61F6"/>
    <w:rsid w:val="007B6EB0"/>
    <w:rsid w:val="007B7B21"/>
    <w:rsid w:val="007B7F11"/>
    <w:rsid w:val="007C12DA"/>
    <w:rsid w:val="007C1999"/>
    <w:rsid w:val="007C20E7"/>
    <w:rsid w:val="007C2CBC"/>
    <w:rsid w:val="007C4665"/>
    <w:rsid w:val="007C502E"/>
    <w:rsid w:val="007C6F36"/>
    <w:rsid w:val="007D1127"/>
    <w:rsid w:val="007D33DD"/>
    <w:rsid w:val="007D38C8"/>
    <w:rsid w:val="007D426A"/>
    <w:rsid w:val="007D4783"/>
    <w:rsid w:val="007D544E"/>
    <w:rsid w:val="007D54C7"/>
    <w:rsid w:val="007D578F"/>
    <w:rsid w:val="007D6551"/>
    <w:rsid w:val="007D6D9A"/>
    <w:rsid w:val="007D71B4"/>
    <w:rsid w:val="007E04CB"/>
    <w:rsid w:val="007E0C2B"/>
    <w:rsid w:val="007E1627"/>
    <w:rsid w:val="007E1A7A"/>
    <w:rsid w:val="007E1E34"/>
    <w:rsid w:val="007E37FC"/>
    <w:rsid w:val="007E4FCE"/>
    <w:rsid w:val="007E51C3"/>
    <w:rsid w:val="007E54AB"/>
    <w:rsid w:val="007E57F9"/>
    <w:rsid w:val="007E6170"/>
    <w:rsid w:val="007E6364"/>
    <w:rsid w:val="007E6559"/>
    <w:rsid w:val="007E687D"/>
    <w:rsid w:val="007E7064"/>
    <w:rsid w:val="007E7E95"/>
    <w:rsid w:val="007F01FA"/>
    <w:rsid w:val="007F093B"/>
    <w:rsid w:val="007F0B5F"/>
    <w:rsid w:val="007F0E02"/>
    <w:rsid w:val="007F28D0"/>
    <w:rsid w:val="007F39D7"/>
    <w:rsid w:val="007F4845"/>
    <w:rsid w:val="007F4A90"/>
    <w:rsid w:val="007F56F1"/>
    <w:rsid w:val="007F63FA"/>
    <w:rsid w:val="007F6DF9"/>
    <w:rsid w:val="007F6FA5"/>
    <w:rsid w:val="007F741B"/>
    <w:rsid w:val="007F77CB"/>
    <w:rsid w:val="0080047D"/>
    <w:rsid w:val="00802120"/>
    <w:rsid w:val="008021EE"/>
    <w:rsid w:val="0080357B"/>
    <w:rsid w:val="00803BF4"/>
    <w:rsid w:val="0080446B"/>
    <w:rsid w:val="0080575E"/>
    <w:rsid w:val="00805822"/>
    <w:rsid w:val="00805DEA"/>
    <w:rsid w:val="00807961"/>
    <w:rsid w:val="0081077D"/>
    <w:rsid w:val="00810C0C"/>
    <w:rsid w:val="00810FEE"/>
    <w:rsid w:val="00811631"/>
    <w:rsid w:val="008117B9"/>
    <w:rsid w:val="008129D9"/>
    <w:rsid w:val="00812DE2"/>
    <w:rsid w:val="00812F23"/>
    <w:rsid w:val="008137EA"/>
    <w:rsid w:val="0081395D"/>
    <w:rsid w:val="008140DD"/>
    <w:rsid w:val="00814737"/>
    <w:rsid w:val="00814FEB"/>
    <w:rsid w:val="00815148"/>
    <w:rsid w:val="008159DD"/>
    <w:rsid w:val="00815BC0"/>
    <w:rsid w:val="00815D64"/>
    <w:rsid w:val="0081616B"/>
    <w:rsid w:val="00816348"/>
    <w:rsid w:val="00817252"/>
    <w:rsid w:val="00817E2C"/>
    <w:rsid w:val="00817F8B"/>
    <w:rsid w:val="00820718"/>
    <w:rsid w:val="00821612"/>
    <w:rsid w:val="008223DF"/>
    <w:rsid w:val="00823561"/>
    <w:rsid w:val="00823E83"/>
    <w:rsid w:val="0082446B"/>
    <w:rsid w:val="00825312"/>
    <w:rsid w:val="00825729"/>
    <w:rsid w:val="008263C9"/>
    <w:rsid w:val="00826517"/>
    <w:rsid w:val="0082655A"/>
    <w:rsid w:val="00826A08"/>
    <w:rsid w:val="008278EC"/>
    <w:rsid w:val="00831C91"/>
    <w:rsid w:val="00833C2D"/>
    <w:rsid w:val="00833DB0"/>
    <w:rsid w:val="00835C22"/>
    <w:rsid w:val="00835CAD"/>
    <w:rsid w:val="008369A1"/>
    <w:rsid w:val="00837081"/>
    <w:rsid w:val="0084038B"/>
    <w:rsid w:val="00840A3A"/>
    <w:rsid w:val="0084155F"/>
    <w:rsid w:val="00841AAC"/>
    <w:rsid w:val="00841DF1"/>
    <w:rsid w:val="0084221B"/>
    <w:rsid w:val="008424A1"/>
    <w:rsid w:val="0084426C"/>
    <w:rsid w:val="00844CED"/>
    <w:rsid w:val="00844E01"/>
    <w:rsid w:val="008455E2"/>
    <w:rsid w:val="00845FA5"/>
    <w:rsid w:val="0084680F"/>
    <w:rsid w:val="0084763C"/>
    <w:rsid w:val="00847981"/>
    <w:rsid w:val="008502A3"/>
    <w:rsid w:val="00850B90"/>
    <w:rsid w:val="00850BF8"/>
    <w:rsid w:val="00851720"/>
    <w:rsid w:val="00853C82"/>
    <w:rsid w:val="008543E2"/>
    <w:rsid w:val="00854E9F"/>
    <w:rsid w:val="0085598E"/>
    <w:rsid w:val="00855F99"/>
    <w:rsid w:val="00855FFD"/>
    <w:rsid w:val="0085632B"/>
    <w:rsid w:val="0085667C"/>
    <w:rsid w:val="00856ED7"/>
    <w:rsid w:val="0085705E"/>
    <w:rsid w:val="00857086"/>
    <w:rsid w:val="008570DB"/>
    <w:rsid w:val="00857F73"/>
    <w:rsid w:val="00860083"/>
    <w:rsid w:val="008612AD"/>
    <w:rsid w:val="00861C04"/>
    <w:rsid w:val="00862679"/>
    <w:rsid w:val="0086330D"/>
    <w:rsid w:val="00863E11"/>
    <w:rsid w:val="00864376"/>
    <w:rsid w:val="00864A9F"/>
    <w:rsid w:val="00864D20"/>
    <w:rsid w:val="00865462"/>
    <w:rsid w:val="00867042"/>
    <w:rsid w:val="008678CB"/>
    <w:rsid w:val="008701D5"/>
    <w:rsid w:val="00870462"/>
    <w:rsid w:val="008714B1"/>
    <w:rsid w:val="00871BD6"/>
    <w:rsid w:val="008729F3"/>
    <w:rsid w:val="00872A46"/>
    <w:rsid w:val="00873A41"/>
    <w:rsid w:val="00874DEC"/>
    <w:rsid w:val="008751C6"/>
    <w:rsid w:val="00875CF5"/>
    <w:rsid w:val="008768C1"/>
    <w:rsid w:val="00876F5B"/>
    <w:rsid w:val="00877C82"/>
    <w:rsid w:val="00877DA1"/>
    <w:rsid w:val="00880EE1"/>
    <w:rsid w:val="00881C96"/>
    <w:rsid w:val="00882CD3"/>
    <w:rsid w:val="00885943"/>
    <w:rsid w:val="00887DA7"/>
    <w:rsid w:val="00887DAE"/>
    <w:rsid w:val="008901D3"/>
    <w:rsid w:val="0089022B"/>
    <w:rsid w:val="00890890"/>
    <w:rsid w:val="00891F5D"/>
    <w:rsid w:val="0089253D"/>
    <w:rsid w:val="00893AC7"/>
    <w:rsid w:val="00893DC2"/>
    <w:rsid w:val="008945C5"/>
    <w:rsid w:val="00896B7B"/>
    <w:rsid w:val="00896FCC"/>
    <w:rsid w:val="00897000"/>
    <w:rsid w:val="00897FFC"/>
    <w:rsid w:val="008A11D4"/>
    <w:rsid w:val="008A2A9F"/>
    <w:rsid w:val="008A3198"/>
    <w:rsid w:val="008A32F5"/>
    <w:rsid w:val="008A4675"/>
    <w:rsid w:val="008A49FE"/>
    <w:rsid w:val="008A4AB8"/>
    <w:rsid w:val="008A4C85"/>
    <w:rsid w:val="008A4E29"/>
    <w:rsid w:val="008A56FD"/>
    <w:rsid w:val="008A61AB"/>
    <w:rsid w:val="008A6507"/>
    <w:rsid w:val="008A7608"/>
    <w:rsid w:val="008B0569"/>
    <w:rsid w:val="008B0A07"/>
    <w:rsid w:val="008B0DDC"/>
    <w:rsid w:val="008B1584"/>
    <w:rsid w:val="008B1A95"/>
    <w:rsid w:val="008B21E4"/>
    <w:rsid w:val="008B224E"/>
    <w:rsid w:val="008B2953"/>
    <w:rsid w:val="008B2D2F"/>
    <w:rsid w:val="008B349E"/>
    <w:rsid w:val="008B37B1"/>
    <w:rsid w:val="008B5680"/>
    <w:rsid w:val="008B5D5B"/>
    <w:rsid w:val="008B5D89"/>
    <w:rsid w:val="008B5E2B"/>
    <w:rsid w:val="008B68CB"/>
    <w:rsid w:val="008B7471"/>
    <w:rsid w:val="008B7AE5"/>
    <w:rsid w:val="008B7B06"/>
    <w:rsid w:val="008C006E"/>
    <w:rsid w:val="008C02DD"/>
    <w:rsid w:val="008C19D2"/>
    <w:rsid w:val="008C1EE7"/>
    <w:rsid w:val="008C1F46"/>
    <w:rsid w:val="008C2F85"/>
    <w:rsid w:val="008C3F88"/>
    <w:rsid w:val="008C56BB"/>
    <w:rsid w:val="008C6800"/>
    <w:rsid w:val="008D0117"/>
    <w:rsid w:val="008D031A"/>
    <w:rsid w:val="008D1595"/>
    <w:rsid w:val="008D1A5F"/>
    <w:rsid w:val="008D369C"/>
    <w:rsid w:val="008D4EBD"/>
    <w:rsid w:val="008D4FF8"/>
    <w:rsid w:val="008D5CDA"/>
    <w:rsid w:val="008D77D1"/>
    <w:rsid w:val="008E05E9"/>
    <w:rsid w:val="008E15E3"/>
    <w:rsid w:val="008E2623"/>
    <w:rsid w:val="008E383D"/>
    <w:rsid w:val="008E40BA"/>
    <w:rsid w:val="008E4490"/>
    <w:rsid w:val="008E503D"/>
    <w:rsid w:val="008E5100"/>
    <w:rsid w:val="008E5D1B"/>
    <w:rsid w:val="008E6467"/>
    <w:rsid w:val="008E664D"/>
    <w:rsid w:val="008E72E4"/>
    <w:rsid w:val="008F003F"/>
    <w:rsid w:val="008F049F"/>
    <w:rsid w:val="008F0B24"/>
    <w:rsid w:val="008F1446"/>
    <w:rsid w:val="008F18E1"/>
    <w:rsid w:val="008F1B00"/>
    <w:rsid w:val="008F1EEB"/>
    <w:rsid w:val="008F2AC0"/>
    <w:rsid w:val="008F35A5"/>
    <w:rsid w:val="008F449E"/>
    <w:rsid w:val="008F5479"/>
    <w:rsid w:val="008F5970"/>
    <w:rsid w:val="008F6610"/>
    <w:rsid w:val="008F6C96"/>
    <w:rsid w:val="008F7F88"/>
    <w:rsid w:val="00900347"/>
    <w:rsid w:val="00900383"/>
    <w:rsid w:val="00900778"/>
    <w:rsid w:val="00901F64"/>
    <w:rsid w:val="009035B3"/>
    <w:rsid w:val="009037B6"/>
    <w:rsid w:val="009039B8"/>
    <w:rsid w:val="00903B80"/>
    <w:rsid w:val="00903C4B"/>
    <w:rsid w:val="0090436C"/>
    <w:rsid w:val="0090582C"/>
    <w:rsid w:val="00905EDE"/>
    <w:rsid w:val="00906014"/>
    <w:rsid w:val="00907BBA"/>
    <w:rsid w:val="009100B1"/>
    <w:rsid w:val="00910116"/>
    <w:rsid w:val="0091016C"/>
    <w:rsid w:val="00910BBE"/>
    <w:rsid w:val="00911653"/>
    <w:rsid w:val="009127C2"/>
    <w:rsid w:val="009129B3"/>
    <w:rsid w:val="00913948"/>
    <w:rsid w:val="00913E88"/>
    <w:rsid w:val="009142E6"/>
    <w:rsid w:val="00915402"/>
    <w:rsid w:val="00916504"/>
    <w:rsid w:val="009176EC"/>
    <w:rsid w:val="00920C73"/>
    <w:rsid w:val="0092112D"/>
    <w:rsid w:val="00922734"/>
    <w:rsid w:val="00923629"/>
    <w:rsid w:val="009239D0"/>
    <w:rsid w:val="00924848"/>
    <w:rsid w:val="00924D24"/>
    <w:rsid w:val="00926676"/>
    <w:rsid w:val="00926D7B"/>
    <w:rsid w:val="009301FB"/>
    <w:rsid w:val="0093032D"/>
    <w:rsid w:val="00930A73"/>
    <w:rsid w:val="00932367"/>
    <w:rsid w:val="00932465"/>
    <w:rsid w:val="00933E10"/>
    <w:rsid w:val="009357ED"/>
    <w:rsid w:val="009362A9"/>
    <w:rsid w:val="00936E48"/>
    <w:rsid w:val="00940247"/>
    <w:rsid w:val="00940986"/>
    <w:rsid w:val="00940C7B"/>
    <w:rsid w:val="009419DC"/>
    <w:rsid w:val="00942989"/>
    <w:rsid w:val="0094330C"/>
    <w:rsid w:val="009434F4"/>
    <w:rsid w:val="00943824"/>
    <w:rsid w:val="009442D6"/>
    <w:rsid w:val="00944CF1"/>
    <w:rsid w:val="0094570D"/>
    <w:rsid w:val="00946A35"/>
    <w:rsid w:val="00946AFE"/>
    <w:rsid w:val="00946B9B"/>
    <w:rsid w:val="00947F31"/>
    <w:rsid w:val="00950675"/>
    <w:rsid w:val="00950906"/>
    <w:rsid w:val="00950FB0"/>
    <w:rsid w:val="00951044"/>
    <w:rsid w:val="00953023"/>
    <w:rsid w:val="009533DD"/>
    <w:rsid w:val="0095378B"/>
    <w:rsid w:val="00954505"/>
    <w:rsid w:val="00954BDA"/>
    <w:rsid w:val="00955D31"/>
    <w:rsid w:val="009578A5"/>
    <w:rsid w:val="00957AC3"/>
    <w:rsid w:val="00957F5F"/>
    <w:rsid w:val="0096007E"/>
    <w:rsid w:val="0096031A"/>
    <w:rsid w:val="009609E4"/>
    <w:rsid w:val="00960F84"/>
    <w:rsid w:val="009610A6"/>
    <w:rsid w:val="00961CF4"/>
    <w:rsid w:val="00963B14"/>
    <w:rsid w:val="00963CE7"/>
    <w:rsid w:val="00965584"/>
    <w:rsid w:val="009659A0"/>
    <w:rsid w:val="009665C1"/>
    <w:rsid w:val="00966975"/>
    <w:rsid w:val="00966C39"/>
    <w:rsid w:val="009715D6"/>
    <w:rsid w:val="00972972"/>
    <w:rsid w:val="00972BC8"/>
    <w:rsid w:val="00972FB2"/>
    <w:rsid w:val="009737F2"/>
    <w:rsid w:val="00974553"/>
    <w:rsid w:val="00974AF4"/>
    <w:rsid w:val="00975DC5"/>
    <w:rsid w:val="009763FC"/>
    <w:rsid w:val="009764A1"/>
    <w:rsid w:val="00977489"/>
    <w:rsid w:val="00977A4E"/>
    <w:rsid w:val="00977F9E"/>
    <w:rsid w:val="00980D87"/>
    <w:rsid w:val="0098100A"/>
    <w:rsid w:val="00981456"/>
    <w:rsid w:val="00982883"/>
    <w:rsid w:val="00982FCE"/>
    <w:rsid w:val="009836F3"/>
    <w:rsid w:val="0098385F"/>
    <w:rsid w:val="0098590A"/>
    <w:rsid w:val="00985DD9"/>
    <w:rsid w:val="00985F06"/>
    <w:rsid w:val="009867E7"/>
    <w:rsid w:val="00986850"/>
    <w:rsid w:val="009878BF"/>
    <w:rsid w:val="00987BEF"/>
    <w:rsid w:val="00990714"/>
    <w:rsid w:val="00990DE2"/>
    <w:rsid w:val="00991B5B"/>
    <w:rsid w:val="00991ED2"/>
    <w:rsid w:val="009921F3"/>
    <w:rsid w:val="00993C9E"/>
    <w:rsid w:val="00995048"/>
    <w:rsid w:val="00995214"/>
    <w:rsid w:val="00995761"/>
    <w:rsid w:val="00996617"/>
    <w:rsid w:val="009975C8"/>
    <w:rsid w:val="009A02EF"/>
    <w:rsid w:val="009A14E0"/>
    <w:rsid w:val="009A23E0"/>
    <w:rsid w:val="009A351E"/>
    <w:rsid w:val="009A3CC4"/>
    <w:rsid w:val="009A405A"/>
    <w:rsid w:val="009A460E"/>
    <w:rsid w:val="009A4C7C"/>
    <w:rsid w:val="009A69D7"/>
    <w:rsid w:val="009A7E1D"/>
    <w:rsid w:val="009B01F4"/>
    <w:rsid w:val="009B07D0"/>
    <w:rsid w:val="009B11C5"/>
    <w:rsid w:val="009B1AC5"/>
    <w:rsid w:val="009B1FA0"/>
    <w:rsid w:val="009B2507"/>
    <w:rsid w:val="009B308B"/>
    <w:rsid w:val="009B3B6F"/>
    <w:rsid w:val="009B5EBC"/>
    <w:rsid w:val="009B6577"/>
    <w:rsid w:val="009B6BC9"/>
    <w:rsid w:val="009B7965"/>
    <w:rsid w:val="009C06FE"/>
    <w:rsid w:val="009C0CAF"/>
    <w:rsid w:val="009C13CD"/>
    <w:rsid w:val="009C1756"/>
    <w:rsid w:val="009C1C18"/>
    <w:rsid w:val="009C207E"/>
    <w:rsid w:val="009C2348"/>
    <w:rsid w:val="009C25F2"/>
    <w:rsid w:val="009C3354"/>
    <w:rsid w:val="009C388F"/>
    <w:rsid w:val="009C4958"/>
    <w:rsid w:val="009C5313"/>
    <w:rsid w:val="009C5FF3"/>
    <w:rsid w:val="009C6198"/>
    <w:rsid w:val="009C6473"/>
    <w:rsid w:val="009C6E80"/>
    <w:rsid w:val="009C6F86"/>
    <w:rsid w:val="009C720E"/>
    <w:rsid w:val="009C7223"/>
    <w:rsid w:val="009C72CD"/>
    <w:rsid w:val="009C78BD"/>
    <w:rsid w:val="009D0E72"/>
    <w:rsid w:val="009D27A0"/>
    <w:rsid w:val="009D2983"/>
    <w:rsid w:val="009D2B28"/>
    <w:rsid w:val="009D3DAA"/>
    <w:rsid w:val="009D410C"/>
    <w:rsid w:val="009D479A"/>
    <w:rsid w:val="009D492F"/>
    <w:rsid w:val="009D5AF9"/>
    <w:rsid w:val="009D5DCD"/>
    <w:rsid w:val="009D60B6"/>
    <w:rsid w:val="009D6A08"/>
    <w:rsid w:val="009D700D"/>
    <w:rsid w:val="009D70E2"/>
    <w:rsid w:val="009D7A71"/>
    <w:rsid w:val="009E026C"/>
    <w:rsid w:val="009E0FAB"/>
    <w:rsid w:val="009E1415"/>
    <w:rsid w:val="009E186A"/>
    <w:rsid w:val="009E3564"/>
    <w:rsid w:val="009E43EA"/>
    <w:rsid w:val="009E5370"/>
    <w:rsid w:val="009E57B5"/>
    <w:rsid w:val="009E58F8"/>
    <w:rsid w:val="009E59A5"/>
    <w:rsid w:val="009E5F3D"/>
    <w:rsid w:val="009E6716"/>
    <w:rsid w:val="009E7042"/>
    <w:rsid w:val="009E7311"/>
    <w:rsid w:val="009E7475"/>
    <w:rsid w:val="009E7E80"/>
    <w:rsid w:val="009F0653"/>
    <w:rsid w:val="009F07BA"/>
    <w:rsid w:val="009F1E34"/>
    <w:rsid w:val="009F2748"/>
    <w:rsid w:val="009F2F33"/>
    <w:rsid w:val="009F369B"/>
    <w:rsid w:val="009F3864"/>
    <w:rsid w:val="009F3EB3"/>
    <w:rsid w:val="009F45C8"/>
    <w:rsid w:val="009F4DA5"/>
    <w:rsid w:val="009F5371"/>
    <w:rsid w:val="009F60D1"/>
    <w:rsid w:val="009F6B9E"/>
    <w:rsid w:val="009F7167"/>
    <w:rsid w:val="009F7DAC"/>
    <w:rsid w:val="009F7E9A"/>
    <w:rsid w:val="00A005A2"/>
    <w:rsid w:val="00A005AB"/>
    <w:rsid w:val="00A006C9"/>
    <w:rsid w:val="00A01093"/>
    <w:rsid w:val="00A01556"/>
    <w:rsid w:val="00A02174"/>
    <w:rsid w:val="00A02245"/>
    <w:rsid w:val="00A04F16"/>
    <w:rsid w:val="00A050A9"/>
    <w:rsid w:val="00A05A48"/>
    <w:rsid w:val="00A06F7E"/>
    <w:rsid w:val="00A0765B"/>
    <w:rsid w:val="00A07C6A"/>
    <w:rsid w:val="00A10102"/>
    <w:rsid w:val="00A10357"/>
    <w:rsid w:val="00A103B9"/>
    <w:rsid w:val="00A10610"/>
    <w:rsid w:val="00A10C3F"/>
    <w:rsid w:val="00A11163"/>
    <w:rsid w:val="00A1209F"/>
    <w:rsid w:val="00A1269F"/>
    <w:rsid w:val="00A12C59"/>
    <w:rsid w:val="00A13B7C"/>
    <w:rsid w:val="00A142A5"/>
    <w:rsid w:val="00A14CCE"/>
    <w:rsid w:val="00A1537C"/>
    <w:rsid w:val="00A154E9"/>
    <w:rsid w:val="00A173E4"/>
    <w:rsid w:val="00A17E73"/>
    <w:rsid w:val="00A201CA"/>
    <w:rsid w:val="00A20289"/>
    <w:rsid w:val="00A2042B"/>
    <w:rsid w:val="00A21433"/>
    <w:rsid w:val="00A236A9"/>
    <w:rsid w:val="00A23B12"/>
    <w:rsid w:val="00A24A2E"/>
    <w:rsid w:val="00A258A3"/>
    <w:rsid w:val="00A25EBB"/>
    <w:rsid w:val="00A26D43"/>
    <w:rsid w:val="00A2739C"/>
    <w:rsid w:val="00A27D3E"/>
    <w:rsid w:val="00A27DBD"/>
    <w:rsid w:val="00A30042"/>
    <w:rsid w:val="00A30D85"/>
    <w:rsid w:val="00A30E90"/>
    <w:rsid w:val="00A32437"/>
    <w:rsid w:val="00A33353"/>
    <w:rsid w:val="00A33A34"/>
    <w:rsid w:val="00A348B7"/>
    <w:rsid w:val="00A365F0"/>
    <w:rsid w:val="00A36784"/>
    <w:rsid w:val="00A3720A"/>
    <w:rsid w:val="00A37518"/>
    <w:rsid w:val="00A37CBC"/>
    <w:rsid w:val="00A40204"/>
    <w:rsid w:val="00A41C41"/>
    <w:rsid w:val="00A426E9"/>
    <w:rsid w:val="00A447C5"/>
    <w:rsid w:val="00A4540C"/>
    <w:rsid w:val="00A45AE9"/>
    <w:rsid w:val="00A46062"/>
    <w:rsid w:val="00A464D7"/>
    <w:rsid w:val="00A46C16"/>
    <w:rsid w:val="00A46EBB"/>
    <w:rsid w:val="00A5131B"/>
    <w:rsid w:val="00A513C2"/>
    <w:rsid w:val="00A53C14"/>
    <w:rsid w:val="00A53F50"/>
    <w:rsid w:val="00A5423F"/>
    <w:rsid w:val="00A55EDC"/>
    <w:rsid w:val="00A57795"/>
    <w:rsid w:val="00A57E28"/>
    <w:rsid w:val="00A57ED9"/>
    <w:rsid w:val="00A60280"/>
    <w:rsid w:val="00A60CF4"/>
    <w:rsid w:val="00A6201A"/>
    <w:rsid w:val="00A62248"/>
    <w:rsid w:val="00A628EC"/>
    <w:rsid w:val="00A629E2"/>
    <w:rsid w:val="00A65A2F"/>
    <w:rsid w:val="00A661E5"/>
    <w:rsid w:val="00A66333"/>
    <w:rsid w:val="00A66AD4"/>
    <w:rsid w:val="00A66AE3"/>
    <w:rsid w:val="00A70058"/>
    <w:rsid w:val="00A7089F"/>
    <w:rsid w:val="00A7226B"/>
    <w:rsid w:val="00A723CE"/>
    <w:rsid w:val="00A72865"/>
    <w:rsid w:val="00A72E40"/>
    <w:rsid w:val="00A73639"/>
    <w:rsid w:val="00A73CA9"/>
    <w:rsid w:val="00A73E18"/>
    <w:rsid w:val="00A7516C"/>
    <w:rsid w:val="00A76A15"/>
    <w:rsid w:val="00A76ABB"/>
    <w:rsid w:val="00A772BF"/>
    <w:rsid w:val="00A77B2B"/>
    <w:rsid w:val="00A80094"/>
    <w:rsid w:val="00A800C4"/>
    <w:rsid w:val="00A800F8"/>
    <w:rsid w:val="00A828E0"/>
    <w:rsid w:val="00A8308B"/>
    <w:rsid w:val="00A83FC0"/>
    <w:rsid w:val="00A847CC"/>
    <w:rsid w:val="00A8496E"/>
    <w:rsid w:val="00A84D65"/>
    <w:rsid w:val="00A858DB"/>
    <w:rsid w:val="00A863C6"/>
    <w:rsid w:val="00A8677E"/>
    <w:rsid w:val="00A8696F"/>
    <w:rsid w:val="00A86EEB"/>
    <w:rsid w:val="00A87B8C"/>
    <w:rsid w:val="00A9027E"/>
    <w:rsid w:val="00A910E4"/>
    <w:rsid w:val="00A91754"/>
    <w:rsid w:val="00A9282C"/>
    <w:rsid w:val="00A93659"/>
    <w:rsid w:val="00A9555A"/>
    <w:rsid w:val="00A973DB"/>
    <w:rsid w:val="00A97664"/>
    <w:rsid w:val="00A979D1"/>
    <w:rsid w:val="00AA0FA4"/>
    <w:rsid w:val="00AA1750"/>
    <w:rsid w:val="00AA259C"/>
    <w:rsid w:val="00AA2B74"/>
    <w:rsid w:val="00AA3878"/>
    <w:rsid w:val="00AA3AB7"/>
    <w:rsid w:val="00AA48BB"/>
    <w:rsid w:val="00AA55E0"/>
    <w:rsid w:val="00AA5612"/>
    <w:rsid w:val="00AA5BD5"/>
    <w:rsid w:val="00AA713B"/>
    <w:rsid w:val="00AA71D1"/>
    <w:rsid w:val="00AB00BC"/>
    <w:rsid w:val="00AB0879"/>
    <w:rsid w:val="00AB19A5"/>
    <w:rsid w:val="00AB247B"/>
    <w:rsid w:val="00AB253D"/>
    <w:rsid w:val="00AB2C03"/>
    <w:rsid w:val="00AB39B2"/>
    <w:rsid w:val="00AB3ED2"/>
    <w:rsid w:val="00AB40EE"/>
    <w:rsid w:val="00AB4CBE"/>
    <w:rsid w:val="00AB6213"/>
    <w:rsid w:val="00AB6478"/>
    <w:rsid w:val="00AB716C"/>
    <w:rsid w:val="00AB754C"/>
    <w:rsid w:val="00AB7D16"/>
    <w:rsid w:val="00AB7DA3"/>
    <w:rsid w:val="00AB7F54"/>
    <w:rsid w:val="00AC043C"/>
    <w:rsid w:val="00AC1561"/>
    <w:rsid w:val="00AC1A66"/>
    <w:rsid w:val="00AC20F2"/>
    <w:rsid w:val="00AC24B0"/>
    <w:rsid w:val="00AC27B8"/>
    <w:rsid w:val="00AC2A55"/>
    <w:rsid w:val="00AC2C57"/>
    <w:rsid w:val="00AC2FA9"/>
    <w:rsid w:val="00AC41B0"/>
    <w:rsid w:val="00AC480D"/>
    <w:rsid w:val="00AC4B08"/>
    <w:rsid w:val="00AC508B"/>
    <w:rsid w:val="00AC7655"/>
    <w:rsid w:val="00AC76B7"/>
    <w:rsid w:val="00AC79F0"/>
    <w:rsid w:val="00AD027E"/>
    <w:rsid w:val="00AD182A"/>
    <w:rsid w:val="00AD19CF"/>
    <w:rsid w:val="00AD1AD3"/>
    <w:rsid w:val="00AD4038"/>
    <w:rsid w:val="00AD453C"/>
    <w:rsid w:val="00AD55AB"/>
    <w:rsid w:val="00AD60CF"/>
    <w:rsid w:val="00AD70CC"/>
    <w:rsid w:val="00AE1AD3"/>
    <w:rsid w:val="00AE3602"/>
    <w:rsid w:val="00AE5385"/>
    <w:rsid w:val="00AE5AB4"/>
    <w:rsid w:val="00AE6028"/>
    <w:rsid w:val="00AE6B92"/>
    <w:rsid w:val="00AE6B9D"/>
    <w:rsid w:val="00AE6BBF"/>
    <w:rsid w:val="00AE6E04"/>
    <w:rsid w:val="00AE7E32"/>
    <w:rsid w:val="00AF0345"/>
    <w:rsid w:val="00AF1726"/>
    <w:rsid w:val="00AF1BF9"/>
    <w:rsid w:val="00AF3176"/>
    <w:rsid w:val="00AF3BA3"/>
    <w:rsid w:val="00AF425A"/>
    <w:rsid w:val="00AF4958"/>
    <w:rsid w:val="00AF4D81"/>
    <w:rsid w:val="00AF5159"/>
    <w:rsid w:val="00AF6507"/>
    <w:rsid w:val="00AF6668"/>
    <w:rsid w:val="00AF6DF9"/>
    <w:rsid w:val="00AF7B89"/>
    <w:rsid w:val="00B0038D"/>
    <w:rsid w:val="00B006FF"/>
    <w:rsid w:val="00B0138D"/>
    <w:rsid w:val="00B01BDB"/>
    <w:rsid w:val="00B01DAC"/>
    <w:rsid w:val="00B01E28"/>
    <w:rsid w:val="00B02195"/>
    <w:rsid w:val="00B027D5"/>
    <w:rsid w:val="00B028FF"/>
    <w:rsid w:val="00B02A6A"/>
    <w:rsid w:val="00B03FBF"/>
    <w:rsid w:val="00B04CC3"/>
    <w:rsid w:val="00B0588C"/>
    <w:rsid w:val="00B05D5E"/>
    <w:rsid w:val="00B05DE9"/>
    <w:rsid w:val="00B066BC"/>
    <w:rsid w:val="00B0678A"/>
    <w:rsid w:val="00B07356"/>
    <w:rsid w:val="00B07B8D"/>
    <w:rsid w:val="00B07D27"/>
    <w:rsid w:val="00B10226"/>
    <w:rsid w:val="00B10F48"/>
    <w:rsid w:val="00B11CDE"/>
    <w:rsid w:val="00B120A2"/>
    <w:rsid w:val="00B12C10"/>
    <w:rsid w:val="00B145DB"/>
    <w:rsid w:val="00B14D2B"/>
    <w:rsid w:val="00B14FF7"/>
    <w:rsid w:val="00B157B7"/>
    <w:rsid w:val="00B15893"/>
    <w:rsid w:val="00B164A9"/>
    <w:rsid w:val="00B164C1"/>
    <w:rsid w:val="00B1662B"/>
    <w:rsid w:val="00B16D41"/>
    <w:rsid w:val="00B1700D"/>
    <w:rsid w:val="00B17A94"/>
    <w:rsid w:val="00B20882"/>
    <w:rsid w:val="00B21F13"/>
    <w:rsid w:val="00B21F77"/>
    <w:rsid w:val="00B2240F"/>
    <w:rsid w:val="00B23D7E"/>
    <w:rsid w:val="00B23F84"/>
    <w:rsid w:val="00B2449D"/>
    <w:rsid w:val="00B25961"/>
    <w:rsid w:val="00B25B81"/>
    <w:rsid w:val="00B263F0"/>
    <w:rsid w:val="00B26E10"/>
    <w:rsid w:val="00B26FEC"/>
    <w:rsid w:val="00B30940"/>
    <w:rsid w:val="00B30B28"/>
    <w:rsid w:val="00B31C5F"/>
    <w:rsid w:val="00B32297"/>
    <w:rsid w:val="00B36AC3"/>
    <w:rsid w:val="00B36D3E"/>
    <w:rsid w:val="00B37CD4"/>
    <w:rsid w:val="00B40596"/>
    <w:rsid w:val="00B4122C"/>
    <w:rsid w:val="00B412EF"/>
    <w:rsid w:val="00B4152B"/>
    <w:rsid w:val="00B429AA"/>
    <w:rsid w:val="00B42B35"/>
    <w:rsid w:val="00B432C1"/>
    <w:rsid w:val="00B4373F"/>
    <w:rsid w:val="00B44196"/>
    <w:rsid w:val="00B4428F"/>
    <w:rsid w:val="00B44892"/>
    <w:rsid w:val="00B44AE9"/>
    <w:rsid w:val="00B45892"/>
    <w:rsid w:val="00B45C82"/>
    <w:rsid w:val="00B45E2D"/>
    <w:rsid w:val="00B47559"/>
    <w:rsid w:val="00B500B9"/>
    <w:rsid w:val="00B50275"/>
    <w:rsid w:val="00B522F5"/>
    <w:rsid w:val="00B523D8"/>
    <w:rsid w:val="00B524DF"/>
    <w:rsid w:val="00B53797"/>
    <w:rsid w:val="00B53ACF"/>
    <w:rsid w:val="00B55817"/>
    <w:rsid w:val="00B5598E"/>
    <w:rsid w:val="00B55F61"/>
    <w:rsid w:val="00B5667A"/>
    <w:rsid w:val="00B5708F"/>
    <w:rsid w:val="00B5766B"/>
    <w:rsid w:val="00B57EFC"/>
    <w:rsid w:val="00B604F9"/>
    <w:rsid w:val="00B614FD"/>
    <w:rsid w:val="00B61D06"/>
    <w:rsid w:val="00B61E9F"/>
    <w:rsid w:val="00B621A0"/>
    <w:rsid w:val="00B62496"/>
    <w:rsid w:val="00B62898"/>
    <w:rsid w:val="00B630BB"/>
    <w:rsid w:val="00B6457A"/>
    <w:rsid w:val="00B656A9"/>
    <w:rsid w:val="00B65C26"/>
    <w:rsid w:val="00B66888"/>
    <w:rsid w:val="00B66E28"/>
    <w:rsid w:val="00B6781E"/>
    <w:rsid w:val="00B70D99"/>
    <w:rsid w:val="00B716E4"/>
    <w:rsid w:val="00B71849"/>
    <w:rsid w:val="00B71C1C"/>
    <w:rsid w:val="00B72E69"/>
    <w:rsid w:val="00B733D5"/>
    <w:rsid w:val="00B73BD2"/>
    <w:rsid w:val="00B75FB8"/>
    <w:rsid w:val="00B760A7"/>
    <w:rsid w:val="00B76691"/>
    <w:rsid w:val="00B76D25"/>
    <w:rsid w:val="00B7734D"/>
    <w:rsid w:val="00B77C02"/>
    <w:rsid w:val="00B80A0B"/>
    <w:rsid w:val="00B81484"/>
    <w:rsid w:val="00B82210"/>
    <w:rsid w:val="00B83A50"/>
    <w:rsid w:val="00B83E4F"/>
    <w:rsid w:val="00B84373"/>
    <w:rsid w:val="00B8479F"/>
    <w:rsid w:val="00B848A3"/>
    <w:rsid w:val="00B84943"/>
    <w:rsid w:val="00B84E79"/>
    <w:rsid w:val="00B8532B"/>
    <w:rsid w:val="00B85444"/>
    <w:rsid w:val="00B85470"/>
    <w:rsid w:val="00B857B8"/>
    <w:rsid w:val="00B85EF8"/>
    <w:rsid w:val="00B86F06"/>
    <w:rsid w:val="00B876F4"/>
    <w:rsid w:val="00B878DF"/>
    <w:rsid w:val="00B87FEB"/>
    <w:rsid w:val="00B90E21"/>
    <w:rsid w:val="00B918CB"/>
    <w:rsid w:val="00B92011"/>
    <w:rsid w:val="00B92089"/>
    <w:rsid w:val="00B9284B"/>
    <w:rsid w:val="00B92A4B"/>
    <w:rsid w:val="00B93809"/>
    <w:rsid w:val="00B93A80"/>
    <w:rsid w:val="00B93FA0"/>
    <w:rsid w:val="00B940A0"/>
    <w:rsid w:val="00B9495D"/>
    <w:rsid w:val="00B95837"/>
    <w:rsid w:val="00B964F9"/>
    <w:rsid w:val="00B965A5"/>
    <w:rsid w:val="00B968CE"/>
    <w:rsid w:val="00B969F3"/>
    <w:rsid w:val="00B96BEC"/>
    <w:rsid w:val="00B96D1F"/>
    <w:rsid w:val="00B96E7E"/>
    <w:rsid w:val="00BA0220"/>
    <w:rsid w:val="00BA19BC"/>
    <w:rsid w:val="00BA2E15"/>
    <w:rsid w:val="00BA38E9"/>
    <w:rsid w:val="00BA3EEC"/>
    <w:rsid w:val="00BA48E3"/>
    <w:rsid w:val="00BA4E93"/>
    <w:rsid w:val="00BA5FAE"/>
    <w:rsid w:val="00BB000C"/>
    <w:rsid w:val="00BB069F"/>
    <w:rsid w:val="00BB1CE9"/>
    <w:rsid w:val="00BB213A"/>
    <w:rsid w:val="00BB2C20"/>
    <w:rsid w:val="00BB30D5"/>
    <w:rsid w:val="00BB3595"/>
    <w:rsid w:val="00BB4476"/>
    <w:rsid w:val="00BB6C13"/>
    <w:rsid w:val="00BC12F5"/>
    <w:rsid w:val="00BC1722"/>
    <w:rsid w:val="00BC21DF"/>
    <w:rsid w:val="00BC27AF"/>
    <w:rsid w:val="00BC2936"/>
    <w:rsid w:val="00BC2B28"/>
    <w:rsid w:val="00BC2B64"/>
    <w:rsid w:val="00BC2DD8"/>
    <w:rsid w:val="00BC3009"/>
    <w:rsid w:val="00BC366A"/>
    <w:rsid w:val="00BC45D9"/>
    <w:rsid w:val="00BC484B"/>
    <w:rsid w:val="00BC51A0"/>
    <w:rsid w:val="00BC520A"/>
    <w:rsid w:val="00BC521A"/>
    <w:rsid w:val="00BC52C4"/>
    <w:rsid w:val="00BC58F3"/>
    <w:rsid w:val="00BC5AB6"/>
    <w:rsid w:val="00BC70E0"/>
    <w:rsid w:val="00BC75CB"/>
    <w:rsid w:val="00BD0135"/>
    <w:rsid w:val="00BD0A60"/>
    <w:rsid w:val="00BD0B81"/>
    <w:rsid w:val="00BD1CF2"/>
    <w:rsid w:val="00BD21C4"/>
    <w:rsid w:val="00BD2E80"/>
    <w:rsid w:val="00BD3295"/>
    <w:rsid w:val="00BD3331"/>
    <w:rsid w:val="00BD3BBA"/>
    <w:rsid w:val="00BD4335"/>
    <w:rsid w:val="00BD4454"/>
    <w:rsid w:val="00BD48DC"/>
    <w:rsid w:val="00BD4AF6"/>
    <w:rsid w:val="00BD581C"/>
    <w:rsid w:val="00BD6969"/>
    <w:rsid w:val="00BD6FB1"/>
    <w:rsid w:val="00BE0C1A"/>
    <w:rsid w:val="00BE103C"/>
    <w:rsid w:val="00BE14AF"/>
    <w:rsid w:val="00BE170C"/>
    <w:rsid w:val="00BE1AF7"/>
    <w:rsid w:val="00BE2007"/>
    <w:rsid w:val="00BE26C5"/>
    <w:rsid w:val="00BE301C"/>
    <w:rsid w:val="00BE4C3C"/>
    <w:rsid w:val="00BE6DF3"/>
    <w:rsid w:val="00BE76A9"/>
    <w:rsid w:val="00BE783F"/>
    <w:rsid w:val="00BF305D"/>
    <w:rsid w:val="00BF31DC"/>
    <w:rsid w:val="00BF3FFA"/>
    <w:rsid w:val="00BF4416"/>
    <w:rsid w:val="00BF5D27"/>
    <w:rsid w:val="00BF6FB3"/>
    <w:rsid w:val="00BF7F66"/>
    <w:rsid w:val="00C00ACE"/>
    <w:rsid w:val="00C01166"/>
    <w:rsid w:val="00C015E3"/>
    <w:rsid w:val="00C01E1D"/>
    <w:rsid w:val="00C02398"/>
    <w:rsid w:val="00C033F1"/>
    <w:rsid w:val="00C03506"/>
    <w:rsid w:val="00C05270"/>
    <w:rsid w:val="00C05488"/>
    <w:rsid w:val="00C068B1"/>
    <w:rsid w:val="00C06B49"/>
    <w:rsid w:val="00C06D4C"/>
    <w:rsid w:val="00C07FFB"/>
    <w:rsid w:val="00C104A5"/>
    <w:rsid w:val="00C10755"/>
    <w:rsid w:val="00C10E09"/>
    <w:rsid w:val="00C112BE"/>
    <w:rsid w:val="00C117C8"/>
    <w:rsid w:val="00C11813"/>
    <w:rsid w:val="00C11CFA"/>
    <w:rsid w:val="00C12355"/>
    <w:rsid w:val="00C12827"/>
    <w:rsid w:val="00C1378E"/>
    <w:rsid w:val="00C139F3"/>
    <w:rsid w:val="00C13C5E"/>
    <w:rsid w:val="00C145F1"/>
    <w:rsid w:val="00C15CA8"/>
    <w:rsid w:val="00C15CC6"/>
    <w:rsid w:val="00C16669"/>
    <w:rsid w:val="00C174D8"/>
    <w:rsid w:val="00C17779"/>
    <w:rsid w:val="00C2007E"/>
    <w:rsid w:val="00C20D85"/>
    <w:rsid w:val="00C21CCB"/>
    <w:rsid w:val="00C21FE0"/>
    <w:rsid w:val="00C2364D"/>
    <w:rsid w:val="00C23AD7"/>
    <w:rsid w:val="00C23E76"/>
    <w:rsid w:val="00C243B5"/>
    <w:rsid w:val="00C24B3C"/>
    <w:rsid w:val="00C24F77"/>
    <w:rsid w:val="00C26C86"/>
    <w:rsid w:val="00C27E72"/>
    <w:rsid w:val="00C30194"/>
    <w:rsid w:val="00C3231F"/>
    <w:rsid w:val="00C33B89"/>
    <w:rsid w:val="00C342C4"/>
    <w:rsid w:val="00C3544D"/>
    <w:rsid w:val="00C35DA8"/>
    <w:rsid w:val="00C37AFD"/>
    <w:rsid w:val="00C401F0"/>
    <w:rsid w:val="00C403F6"/>
    <w:rsid w:val="00C4082B"/>
    <w:rsid w:val="00C40A31"/>
    <w:rsid w:val="00C42788"/>
    <w:rsid w:val="00C4293A"/>
    <w:rsid w:val="00C42B34"/>
    <w:rsid w:val="00C430D4"/>
    <w:rsid w:val="00C43651"/>
    <w:rsid w:val="00C43B8D"/>
    <w:rsid w:val="00C440B6"/>
    <w:rsid w:val="00C44C5C"/>
    <w:rsid w:val="00C452C8"/>
    <w:rsid w:val="00C45511"/>
    <w:rsid w:val="00C4603A"/>
    <w:rsid w:val="00C47DCF"/>
    <w:rsid w:val="00C5003C"/>
    <w:rsid w:val="00C50114"/>
    <w:rsid w:val="00C515E8"/>
    <w:rsid w:val="00C51928"/>
    <w:rsid w:val="00C51ADD"/>
    <w:rsid w:val="00C5252A"/>
    <w:rsid w:val="00C52E76"/>
    <w:rsid w:val="00C5318F"/>
    <w:rsid w:val="00C54559"/>
    <w:rsid w:val="00C54C19"/>
    <w:rsid w:val="00C553D8"/>
    <w:rsid w:val="00C558C5"/>
    <w:rsid w:val="00C562F5"/>
    <w:rsid w:val="00C61441"/>
    <w:rsid w:val="00C61D7D"/>
    <w:rsid w:val="00C626D5"/>
    <w:rsid w:val="00C62B49"/>
    <w:rsid w:val="00C633DB"/>
    <w:rsid w:val="00C64AF6"/>
    <w:rsid w:val="00C64C93"/>
    <w:rsid w:val="00C64E2C"/>
    <w:rsid w:val="00C65253"/>
    <w:rsid w:val="00C66FAD"/>
    <w:rsid w:val="00C66FFC"/>
    <w:rsid w:val="00C6759F"/>
    <w:rsid w:val="00C67B1E"/>
    <w:rsid w:val="00C70C0C"/>
    <w:rsid w:val="00C725C9"/>
    <w:rsid w:val="00C73FCC"/>
    <w:rsid w:val="00C740E4"/>
    <w:rsid w:val="00C74727"/>
    <w:rsid w:val="00C74751"/>
    <w:rsid w:val="00C75C7F"/>
    <w:rsid w:val="00C75F2E"/>
    <w:rsid w:val="00C76DA4"/>
    <w:rsid w:val="00C771B4"/>
    <w:rsid w:val="00C77799"/>
    <w:rsid w:val="00C77E2F"/>
    <w:rsid w:val="00C80BA8"/>
    <w:rsid w:val="00C80F86"/>
    <w:rsid w:val="00C823DE"/>
    <w:rsid w:val="00C82876"/>
    <w:rsid w:val="00C82911"/>
    <w:rsid w:val="00C838A6"/>
    <w:rsid w:val="00C84355"/>
    <w:rsid w:val="00C84967"/>
    <w:rsid w:val="00C849F8"/>
    <w:rsid w:val="00C857CF"/>
    <w:rsid w:val="00C86BCA"/>
    <w:rsid w:val="00C86C08"/>
    <w:rsid w:val="00C86DE2"/>
    <w:rsid w:val="00C878FD"/>
    <w:rsid w:val="00C87B05"/>
    <w:rsid w:val="00C87D35"/>
    <w:rsid w:val="00C9029C"/>
    <w:rsid w:val="00C909A3"/>
    <w:rsid w:val="00C90C22"/>
    <w:rsid w:val="00C90F71"/>
    <w:rsid w:val="00C917F2"/>
    <w:rsid w:val="00C92672"/>
    <w:rsid w:val="00C92A9A"/>
    <w:rsid w:val="00C933AB"/>
    <w:rsid w:val="00C943B0"/>
    <w:rsid w:val="00C94CC7"/>
    <w:rsid w:val="00C94E68"/>
    <w:rsid w:val="00C95DD8"/>
    <w:rsid w:val="00C966AE"/>
    <w:rsid w:val="00C96750"/>
    <w:rsid w:val="00C968EC"/>
    <w:rsid w:val="00C969F5"/>
    <w:rsid w:val="00C96CEF"/>
    <w:rsid w:val="00C97328"/>
    <w:rsid w:val="00C97CED"/>
    <w:rsid w:val="00CA0969"/>
    <w:rsid w:val="00CA16B2"/>
    <w:rsid w:val="00CA23EF"/>
    <w:rsid w:val="00CA2C70"/>
    <w:rsid w:val="00CA3321"/>
    <w:rsid w:val="00CA390A"/>
    <w:rsid w:val="00CA3D53"/>
    <w:rsid w:val="00CA4C46"/>
    <w:rsid w:val="00CA4E9E"/>
    <w:rsid w:val="00CA4F96"/>
    <w:rsid w:val="00CA541A"/>
    <w:rsid w:val="00CA58C9"/>
    <w:rsid w:val="00CA707D"/>
    <w:rsid w:val="00CA756C"/>
    <w:rsid w:val="00CA787E"/>
    <w:rsid w:val="00CA7E87"/>
    <w:rsid w:val="00CB0461"/>
    <w:rsid w:val="00CB1168"/>
    <w:rsid w:val="00CB1750"/>
    <w:rsid w:val="00CB2663"/>
    <w:rsid w:val="00CB4B66"/>
    <w:rsid w:val="00CB5828"/>
    <w:rsid w:val="00CB60ED"/>
    <w:rsid w:val="00CB647A"/>
    <w:rsid w:val="00CB6738"/>
    <w:rsid w:val="00CB6C7D"/>
    <w:rsid w:val="00CC037E"/>
    <w:rsid w:val="00CC2941"/>
    <w:rsid w:val="00CC2CE3"/>
    <w:rsid w:val="00CC2E94"/>
    <w:rsid w:val="00CC3734"/>
    <w:rsid w:val="00CC38B4"/>
    <w:rsid w:val="00CC4BFE"/>
    <w:rsid w:val="00CC4EC4"/>
    <w:rsid w:val="00CC6AE8"/>
    <w:rsid w:val="00CC6F70"/>
    <w:rsid w:val="00CC707B"/>
    <w:rsid w:val="00CC7DC2"/>
    <w:rsid w:val="00CD0E45"/>
    <w:rsid w:val="00CD0FF5"/>
    <w:rsid w:val="00CD14FA"/>
    <w:rsid w:val="00CD167A"/>
    <w:rsid w:val="00CD397E"/>
    <w:rsid w:val="00CD399F"/>
    <w:rsid w:val="00CD5233"/>
    <w:rsid w:val="00CD54BF"/>
    <w:rsid w:val="00CD7160"/>
    <w:rsid w:val="00CE07C9"/>
    <w:rsid w:val="00CE0CAC"/>
    <w:rsid w:val="00CE14FF"/>
    <w:rsid w:val="00CE1F4D"/>
    <w:rsid w:val="00CE222C"/>
    <w:rsid w:val="00CE2417"/>
    <w:rsid w:val="00CE2C5C"/>
    <w:rsid w:val="00CE358E"/>
    <w:rsid w:val="00CE5257"/>
    <w:rsid w:val="00CE59D7"/>
    <w:rsid w:val="00CE5CAE"/>
    <w:rsid w:val="00CE7930"/>
    <w:rsid w:val="00CE79D8"/>
    <w:rsid w:val="00CF04EB"/>
    <w:rsid w:val="00CF06A0"/>
    <w:rsid w:val="00CF0980"/>
    <w:rsid w:val="00CF1674"/>
    <w:rsid w:val="00CF1721"/>
    <w:rsid w:val="00CF1D68"/>
    <w:rsid w:val="00CF20D6"/>
    <w:rsid w:val="00CF3626"/>
    <w:rsid w:val="00CF378E"/>
    <w:rsid w:val="00CF422A"/>
    <w:rsid w:val="00CF515A"/>
    <w:rsid w:val="00CF51A2"/>
    <w:rsid w:val="00CF6443"/>
    <w:rsid w:val="00CF6668"/>
    <w:rsid w:val="00CF694D"/>
    <w:rsid w:val="00CF69C2"/>
    <w:rsid w:val="00CF69E3"/>
    <w:rsid w:val="00CF702C"/>
    <w:rsid w:val="00CF77CE"/>
    <w:rsid w:val="00D0082A"/>
    <w:rsid w:val="00D00D04"/>
    <w:rsid w:val="00D013C5"/>
    <w:rsid w:val="00D01AD0"/>
    <w:rsid w:val="00D024AC"/>
    <w:rsid w:val="00D030DD"/>
    <w:rsid w:val="00D0324F"/>
    <w:rsid w:val="00D03B7C"/>
    <w:rsid w:val="00D0411B"/>
    <w:rsid w:val="00D04473"/>
    <w:rsid w:val="00D04AF1"/>
    <w:rsid w:val="00D0516F"/>
    <w:rsid w:val="00D05385"/>
    <w:rsid w:val="00D05791"/>
    <w:rsid w:val="00D07353"/>
    <w:rsid w:val="00D07D2C"/>
    <w:rsid w:val="00D07D4E"/>
    <w:rsid w:val="00D07DA1"/>
    <w:rsid w:val="00D106C7"/>
    <w:rsid w:val="00D1114C"/>
    <w:rsid w:val="00D112B8"/>
    <w:rsid w:val="00D125C1"/>
    <w:rsid w:val="00D1378D"/>
    <w:rsid w:val="00D148DF"/>
    <w:rsid w:val="00D15368"/>
    <w:rsid w:val="00D16691"/>
    <w:rsid w:val="00D17EB0"/>
    <w:rsid w:val="00D20669"/>
    <w:rsid w:val="00D20970"/>
    <w:rsid w:val="00D21160"/>
    <w:rsid w:val="00D21D99"/>
    <w:rsid w:val="00D22218"/>
    <w:rsid w:val="00D2225B"/>
    <w:rsid w:val="00D222ED"/>
    <w:rsid w:val="00D22908"/>
    <w:rsid w:val="00D23FA4"/>
    <w:rsid w:val="00D25118"/>
    <w:rsid w:val="00D25262"/>
    <w:rsid w:val="00D2691C"/>
    <w:rsid w:val="00D26BF0"/>
    <w:rsid w:val="00D274E9"/>
    <w:rsid w:val="00D30EF1"/>
    <w:rsid w:val="00D30F9B"/>
    <w:rsid w:val="00D3124D"/>
    <w:rsid w:val="00D313B9"/>
    <w:rsid w:val="00D316A8"/>
    <w:rsid w:val="00D31A84"/>
    <w:rsid w:val="00D32028"/>
    <w:rsid w:val="00D32438"/>
    <w:rsid w:val="00D324DC"/>
    <w:rsid w:val="00D330D0"/>
    <w:rsid w:val="00D33905"/>
    <w:rsid w:val="00D34297"/>
    <w:rsid w:val="00D35939"/>
    <w:rsid w:val="00D35A3F"/>
    <w:rsid w:val="00D35BA5"/>
    <w:rsid w:val="00D36105"/>
    <w:rsid w:val="00D371D9"/>
    <w:rsid w:val="00D4077C"/>
    <w:rsid w:val="00D409B5"/>
    <w:rsid w:val="00D44052"/>
    <w:rsid w:val="00D4557A"/>
    <w:rsid w:val="00D46783"/>
    <w:rsid w:val="00D47B15"/>
    <w:rsid w:val="00D47C71"/>
    <w:rsid w:val="00D50D3A"/>
    <w:rsid w:val="00D5174A"/>
    <w:rsid w:val="00D52240"/>
    <w:rsid w:val="00D538EF"/>
    <w:rsid w:val="00D54527"/>
    <w:rsid w:val="00D55625"/>
    <w:rsid w:val="00D55C87"/>
    <w:rsid w:val="00D60865"/>
    <w:rsid w:val="00D61DAB"/>
    <w:rsid w:val="00D62855"/>
    <w:rsid w:val="00D62929"/>
    <w:rsid w:val="00D6296D"/>
    <w:rsid w:val="00D62C15"/>
    <w:rsid w:val="00D63166"/>
    <w:rsid w:val="00D632CA"/>
    <w:rsid w:val="00D6359A"/>
    <w:rsid w:val="00D635FC"/>
    <w:rsid w:val="00D63790"/>
    <w:rsid w:val="00D6774B"/>
    <w:rsid w:val="00D703F6"/>
    <w:rsid w:val="00D70A2A"/>
    <w:rsid w:val="00D712DC"/>
    <w:rsid w:val="00D7159A"/>
    <w:rsid w:val="00D72984"/>
    <w:rsid w:val="00D72AFE"/>
    <w:rsid w:val="00D7414F"/>
    <w:rsid w:val="00D74993"/>
    <w:rsid w:val="00D77213"/>
    <w:rsid w:val="00D774C7"/>
    <w:rsid w:val="00D778A1"/>
    <w:rsid w:val="00D80365"/>
    <w:rsid w:val="00D808AA"/>
    <w:rsid w:val="00D81F04"/>
    <w:rsid w:val="00D81F21"/>
    <w:rsid w:val="00D8377E"/>
    <w:rsid w:val="00D8384B"/>
    <w:rsid w:val="00D845A7"/>
    <w:rsid w:val="00D8515C"/>
    <w:rsid w:val="00D855FC"/>
    <w:rsid w:val="00D85FAA"/>
    <w:rsid w:val="00D86782"/>
    <w:rsid w:val="00D86CE7"/>
    <w:rsid w:val="00D8710A"/>
    <w:rsid w:val="00D8741D"/>
    <w:rsid w:val="00D87780"/>
    <w:rsid w:val="00D87BD1"/>
    <w:rsid w:val="00D87C26"/>
    <w:rsid w:val="00D87F13"/>
    <w:rsid w:val="00D90397"/>
    <w:rsid w:val="00D90BC3"/>
    <w:rsid w:val="00D91A54"/>
    <w:rsid w:val="00D91D33"/>
    <w:rsid w:val="00D92C0A"/>
    <w:rsid w:val="00D92EC7"/>
    <w:rsid w:val="00D93D1D"/>
    <w:rsid w:val="00D9440A"/>
    <w:rsid w:val="00D94C86"/>
    <w:rsid w:val="00D95640"/>
    <w:rsid w:val="00D95A8B"/>
    <w:rsid w:val="00D95FF8"/>
    <w:rsid w:val="00D96262"/>
    <w:rsid w:val="00D966F0"/>
    <w:rsid w:val="00D96A6F"/>
    <w:rsid w:val="00D96B9A"/>
    <w:rsid w:val="00D97B35"/>
    <w:rsid w:val="00DA0302"/>
    <w:rsid w:val="00DA05D2"/>
    <w:rsid w:val="00DA0697"/>
    <w:rsid w:val="00DA0BEE"/>
    <w:rsid w:val="00DA23A4"/>
    <w:rsid w:val="00DA244A"/>
    <w:rsid w:val="00DA2ADC"/>
    <w:rsid w:val="00DA2D7E"/>
    <w:rsid w:val="00DA313B"/>
    <w:rsid w:val="00DA34A2"/>
    <w:rsid w:val="00DA37D8"/>
    <w:rsid w:val="00DA4019"/>
    <w:rsid w:val="00DA4E0C"/>
    <w:rsid w:val="00DA54E3"/>
    <w:rsid w:val="00DA54E8"/>
    <w:rsid w:val="00DA65FD"/>
    <w:rsid w:val="00DA66A4"/>
    <w:rsid w:val="00DA6859"/>
    <w:rsid w:val="00DA6D43"/>
    <w:rsid w:val="00DA7A84"/>
    <w:rsid w:val="00DB0538"/>
    <w:rsid w:val="00DB0792"/>
    <w:rsid w:val="00DB0D72"/>
    <w:rsid w:val="00DB1559"/>
    <w:rsid w:val="00DB169E"/>
    <w:rsid w:val="00DB26EC"/>
    <w:rsid w:val="00DB2AC8"/>
    <w:rsid w:val="00DB4109"/>
    <w:rsid w:val="00DB4493"/>
    <w:rsid w:val="00DB4A13"/>
    <w:rsid w:val="00DB5677"/>
    <w:rsid w:val="00DB5CB1"/>
    <w:rsid w:val="00DB61CD"/>
    <w:rsid w:val="00DB6601"/>
    <w:rsid w:val="00DB6731"/>
    <w:rsid w:val="00DB6C07"/>
    <w:rsid w:val="00DC037A"/>
    <w:rsid w:val="00DC0BEF"/>
    <w:rsid w:val="00DC1381"/>
    <w:rsid w:val="00DC152A"/>
    <w:rsid w:val="00DC2688"/>
    <w:rsid w:val="00DC2A96"/>
    <w:rsid w:val="00DC2C35"/>
    <w:rsid w:val="00DC3486"/>
    <w:rsid w:val="00DC4A8E"/>
    <w:rsid w:val="00DC54B9"/>
    <w:rsid w:val="00DC57D8"/>
    <w:rsid w:val="00DC57EA"/>
    <w:rsid w:val="00DC729B"/>
    <w:rsid w:val="00DD023E"/>
    <w:rsid w:val="00DD06B2"/>
    <w:rsid w:val="00DD0747"/>
    <w:rsid w:val="00DD0B9C"/>
    <w:rsid w:val="00DD1BEF"/>
    <w:rsid w:val="00DD2A28"/>
    <w:rsid w:val="00DD2A39"/>
    <w:rsid w:val="00DD3137"/>
    <w:rsid w:val="00DD350F"/>
    <w:rsid w:val="00DD40EE"/>
    <w:rsid w:val="00DD574D"/>
    <w:rsid w:val="00DD5B7D"/>
    <w:rsid w:val="00DD645A"/>
    <w:rsid w:val="00DD673A"/>
    <w:rsid w:val="00DD6AA3"/>
    <w:rsid w:val="00DD6C5A"/>
    <w:rsid w:val="00DD6F67"/>
    <w:rsid w:val="00DD76CF"/>
    <w:rsid w:val="00DD7D3F"/>
    <w:rsid w:val="00DE0AF8"/>
    <w:rsid w:val="00DE1705"/>
    <w:rsid w:val="00DE1D2B"/>
    <w:rsid w:val="00DE239D"/>
    <w:rsid w:val="00DE2B2A"/>
    <w:rsid w:val="00DE3EB5"/>
    <w:rsid w:val="00DE4B4A"/>
    <w:rsid w:val="00DE5042"/>
    <w:rsid w:val="00DE5916"/>
    <w:rsid w:val="00DE6A2C"/>
    <w:rsid w:val="00DF04CD"/>
    <w:rsid w:val="00DF0D43"/>
    <w:rsid w:val="00DF1AC4"/>
    <w:rsid w:val="00DF2121"/>
    <w:rsid w:val="00DF5D9D"/>
    <w:rsid w:val="00DF5E0D"/>
    <w:rsid w:val="00DF68AC"/>
    <w:rsid w:val="00DF79A4"/>
    <w:rsid w:val="00DF7EE7"/>
    <w:rsid w:val="00E0173F"/>
    <w:rsid w:val="00E01F13"/>
    <w:rsid w:val="00E01FA6"/>
    <w:rsid w:val="00E02AFB"/>
    <w:rsid w:val="00E06AD1"/>
    <w:rsid w:val="00E06EC1"/>
    <w:rsid w:val="00E07128"/>
    <w:rsid w:val="00E073B2"/>
    <w:rsid w:val="00E10946"/>
    <w:rsid w:val="00E10C92"/>
    <w:rsid w:val="00E10CC5"/>
    <w:rsid w:val="00E10D43"/>
    <w:rsid w:val="00E10F1C"/>
    <w:rsid w:val="00E12B6F"/>
    <w:rsid w:val="00E12C13"/>
    <w:rsid w:val="00E1444D"/>
    <w:rsid w:val="00E14882"/>
    <w:rsid w:val="00E15299"/>
    <w:rsid w:val="00E1553E"/>
    <w:rsid w:val="00E15883"/>
    <w:rsid w:val="00E1593A"/>
    <w:rsid w:val="00E177F2"/>
    <w:rsid w:val="00E201A6"/>
    <w:rsid w:val="00E20897"/>
    <w:rsid w:val="00E2117C"/>
    <w:rsid w:val="00E21A40"/>
    <w:rsid w:val="00E21FD5"/>
    <w:rsid w:val="00E22321"/>
    <w:rsid w:val="00E236EB"/>
    <w:rsid w:val="00E24689"/>
    <w:rsid w:val="00E2490B"/>
    <w:rsid w:val="00E25454"/>
    <w:rsid w:val="00E273F4"/>
    <w:rsid w:val="00E27885"/>
    <w:rsid w:val="00E27C35"/>
    <w:rsid w:val="00E308C2"/>
    <w:rsid w:val="00E30A26"/>
    <w:rsid w:val="00E31A93"/>
    <w:rsid w:val="00E31AE6"/>
    <w:rsid w:val="00E31DD5"/>
    <w:rsid w:val="00E32071"/>
    <w:rsid w:val="00E32178"/>
    <w:rsid w:val="00E32DEB"/>
    <w:rsid w:val="00E332B0"/>
    <w:rsid w:val="00E33361"/>
    <w:rsid w:val="00E3383C"/>
    <w:rsid w:val="00E34DEB"/>
    <w:rsid w:val="00E35164"/>
    <w:rsid w:val="00E36BCB"/>
    <w:rsid w:val="00E40230"/>
    <w:rsid w:val="00E404CC"/>
    <w:rsid w:val="00E4149F"/>
    <w:rsid w:val="00E42C1F"/>
    <w:rsid w:val="00E435A0"/>
    <w:rsid w:val="00E43708"/>
    <w:rsid w:val="00E43AFC"/>
    <w:rsid w:val="00E43B95"/>
    <w:rsid w:val="00E445CB"/>
    <w:rsid w:val="00E45313"/>
    <w:rsid w:val="00E454B0"/>
    <w:rsid w:val="00E454EA"/>
    <w:rsid w:val="00E45572"/>
    <w:rsid w:val="00E45EF1"/>
    <w:rsid w:val="00E4627B"/>
    <w:rsid w:val="00E467DE"/>
    <w:rsid w:val="00E46852"/>
    <w:rsid w:val="00E47DE4"/>
    <w:rsid w:val="00E50049"/>
    <w:rsid w:val="00E501F6"/>
    <w:rsid w:val="00E513C2"/>
    <w:rsid w:val="00E5144B"/>
    <w:rsid w:val="00E5219B"/>
    <w:rsid w:val="00E523AD"/>
    <w:rsid w:val="00E534B0"/>
    <w:rsid w:val="00E535A0"/>
    <w:rsid w:val="00E53DF2"/>
    <w:rsid w:val="00E54A5C"/>
    <w:rsid w:val="00E54B0B"/>
    <w:rsid w:val="00E555C5"/>
    <w:rsid w:val="00E55F87"/>
    <w:rsid w:val="00E563D9"/>
    <w:rsid w:val="00E56801"/>
    <w:rsid w:val="00E577E9"/>
    <w:rsid w:val="00E6054C"/>
    <w:rsid w:val="00E60C8E"/>
    <w:rsid w:val="00E61B22"/>
    <w:rsid w:val="00E61C3A"/>
    <w:rsid w:val="00E6230C"/>
    <w:rsid w:val="00E62492"/>
    <w:rsid w:val="00E62CFD"/>
    <w:rsid w:val="00E6444E"/>
    <w:rsid w:val="00E64AF5"/>
    <w:rsid w:val="00E701E5"/>
    <w:rsid w:val="00E70882"/>
    <w:rsid w:val="00E708F9"/>
    <w:rsid w:val="00E7091B"/>
    <w:rsid w:val="00E7092F"/>
    <w:rsid w:val="00E70FAE"/>
    <w:rsid w:val="00E71A17"/>
    <w:rsid w:val="00E72E11"/>
    <w:rsid w:val="00E72EEC"/>
    <w:rsid w:val="00E7372F"/>
    <w:rsid w:val="00E738D1"/>
    <w:rsid w:val="00E74DC4"/>
    <w:rsid w:val="00E755C3"/>
    <w:rsid w:val="00E75DF5"/>
    <w:rsid w:val="00E76D77"/>
    <w:rsid w:val="00E76E03"/>
    <w:rsid w:val="00E76FCC"/>
    <w:rsid w:val="00E77DEC"/>
    <w:rsid w:val="00E8095F"/>
    <w:rsid w:val="00E81A77"/>
    <w:rsid w:val="00E8245F"/>
    <w:rsid w:val="00E825F3"/>
    <w:rsid w:val="00E82E60"/>
    <w:rsid w:val="00E84C78"/>
    <w:rsid w:val="00E85130"/>
    <w:rsid w:val="00E87309"/>
    <w:rsid w:val="00E9010B"/>
    <w:rsid w:val="00E903FA"/>
    <w:rsid w:val="00E91168"/>
    <w:rsid w:val="00E9143E"/>
    <w:rsid w:val="00E930F5"/>
    <w:rsid w:val="00E9310F"/>
    <w:rsid w:val="00E9326C"/>
    <w:rsid w:val="00E94278"/>
    <w:rsid w:val="00E973E3"/>
    <w:rsid w:val="00EA0A29"/>
    <w:rsid w:val="00EA158C"/>
    <w:rsid w:val="00EA215A"/>
    <w:rsid w:val="00EA4FB0"/>
    <w:rsid w:val="00EA5186"/>
    <w:rsid w:val="00EA5486"/>
    <w:rsid w:val="00EA5612"/>
    <w:rsid w:val="00EA581E"/>
    <w:rsid w:val="00EA58B9"/>
    <w:rsid w:val="00EA5B7A"/>
    <w:rsid w:val="00EA61A1"/>
    <w:rsid w:val="00EA61C1"/>
    <w:rsid w:val="00EA62A8"/>
    <w:rsid w:val="00EA742A"/>
    <w:rsid w:val="00EA749B"/>
    <w:rsid w:val="00EA79B6"/>
    <w:rsid w:val="00EB09D0"/>
    <w:rsid w:val="00EB0FE3"/>
    <w:rsid w:val="00EB152F"/>
    <w:rsid w:val="00EB19AF"/>
    <w:rsid w:val="00EB1FD0"/>
    <w:rsid w:val="00EB2851"/>
    <w:rsid w:val="00EB3E96"/>
    <w:rsid w:val="00EB4110"/>
    <w:rsid w:val="00EB5B85"/>
    <w:rsid w:val="00EB606C"/>
    <w:rsid w:val="00EB60E9"/>
    <w:rsid w:val="00EB7CF9"/>
    <w:rsid w:val="00EC0D2B"/>
    <w:rsid w:val="00EC1D93"/>
    <w:rsid w:val="00EC2216"/>
    <w:rsid w:val="00EC249F"/>
    <w:rsid w:val="00EC2676"/>
    <w:rsid w:val="00EC2F75"/>
    <w:rsid w:val="00EC309A"/>
    <w:rsid w:val="00EC3849"/>
    <w:rsid w:val="00EC4A35"/>
    <w:rsid w:val="00EC53D3"/>
    <w:rsid w:val="00EC5A0D"/>
    <w:rsid w:val="00EC6213"/>
    <w:rsid w:val="00EC697A"/>
    <w:rsid w:val="00EC69F8"/>
    <w:rsid w:val="00EC70CF"/>
    <w:rsid w:val="00EC740B"/>
    <w:rsid w:val="00EC7949"/>
    <w:rsid w:val="00EC7CA4"/>
    <w:rsid w:val="00ED0E96"/>
    <w:rsid w:val="00ED163B"/>
    <w:rsid w:val="00ED18A3"/>
    <w:rsid w:val="00ED221A"/>
    <w:rsid w:val="00ED2986"/>
    <w:rsid w:val="00ED41A0"/>
    <w:rsid w:val="00ED4373"/>
    <w:rsid w:val="00ED43F5"/>
    <w:rsid w:val="00ED4B2C"/>
    <w:rsid w:val="00ED4CE9"/>
    <w:rsid w:val="00ED6846"/>
    <w:rsid w:val="00ED72C3"/>
    <w:rsid w:val="00EE0821"/>
    <w:rsid w:val="00EE0BBC"/>
    <w:rsid w:val="00EE0F91"/>
    <w:rsid w:val="00EE1542"/>
    <w:rsid w:val="00EE1FC2"/>
    <w:rsid w:val="00EE21D7"/>
    <w:rsid w:val="00EE28B5"/>
    <w:rsid w:val="00EE3297"/>
    <w:rsid w:val="00EE3C3F"/>
    <w:rsid w:val="00EE43A5"/>
    <w:rsid w:val="00EE4566"/>
    <w:rsid w:val="00EE4FC0"/>
    <w:rsid w:val="00EE504C"/>
    <w:rsid w:val="00EE50F0"/>
    <w:rsid w:val="00EE67FF"/>
    <w:rsid w:val="00EE7F0E"/>
    <w:rsid w:val="00EF0969"/>
    <w:rsid w:val="00EF1006"/>
    <w:rsid w:val="00EF2715"/>
    <w:rsid w:val="00EF4186"/>
    <w:rsid w:val="00EF5280"/>
    <w:rsid w:val="00EF5393"/>
    <w:rsid w:val="00EF5B33"/>
    <w:rsid w:val="00EF6210"/>
    <w:rsid w:val="00EF6EB9"/>
    <w:rsid w:val="00EF72EC"/>
    <w:rsid w:val="00EF7303"/>
    <w:rsid w:val="00EF73D7"/>
    <w:rsid w:val="00EF7EE7"/>
    <w:rsid w:val="00F0031F"/>
    <w:rsid w:val="00F02219"/>
    <w:rsid w:val="00F02943"/>
    <w:rsid w:val="00F02A13"/>
    <w:rsid w:val="00F02D07"/>
    <w:rsid w:val="00F03001"/>
    <w:rsid w:val="00F0341A"/>
    <w:rsid w:val="00F042F3"/>
    <w:rsid w:val="00F0446E"/>
    <w:rsid w:val="00F04E7E"/>
    <w:rsid w:val="00F079C8"/>
    <w:rsid w:val="00F108DF"/>
    <w:rsid w:val="00F11092"/>
    <w:rsid w:val="00F11B54"/>
    <w:rsid w:val="00F11E7E"/>
    <w:rsid w:val="00F1275B"/>
    <w:rsid w:val="00F12871"/>
    <w:rsid w:val="00F12C6E"/>
    <w:rsid w:val="00F13AA9"/>
    <w:rsid w:val="00F13BBE"/>
    <w:rsid w:val="00F13E3D"/>
    <w:rsid w:val="00F15CFE"/>
    <w:rsid w:val="00F16AE4"/>
    <w:rsid w:val="00F17F02"/>
    <w:rsid w:val="00F203BB"/>
    <w:rsid w:val="00F2118B"/>
    <w:rsid w:val="00F22318"/>
    <w:rsid w:val="00F23C70"/>
    <w:rsid w:val="00F241F9"/>
    <w:rsid w:val="00F245F2"/>
    <w:rsid w:val="00F26904"/>
    <w:rsid w:val="00F26932"/>
    <w:rsid w:val="00F27E6C"/>
    <w:rsid w:val="00F30B10"/>
    <w:rsid w:val="00F316F5"/>
    <w:rsid w:val="00F3226E"/>
    <w:rsid w:val="00F33074"/>
    <w:rsid w:val="00F33975"/>
    <w:rsid w:val="00F34091"/>
    <w:rsid w:val="00F34101"/>
    <w:rsid w:val="00F34CA7"/>
    <w:rsid w:val="00F351F6"/>
    <w:rsid w:val="00F358FC"/>
    <w:rsid w:val="00F35CD6"/>
    <w:rsid w:val="00F36170"/>
    <w:rsid w:val="00F36761"/>
    <w:rsid w:val="00F36BFE"/>
    <w:rsid w:val="00F37226"/>
    <w:rsid w:val="00F37CFA"/>
    <w:rsid w:val="00F37EAA"/>
    <w:rsid w:val="00F4114B"/>
    <w:rsid w:val="00F41CAA"/>
    <w:rsid w:val="00F420DA"/>
    <w:rsid w:val="00F42AAE"/>
    <w:rsid w:val="00F42F41"/>
    <w:rsid w:val="00F43535"/>
    <w:rsid w:val="00F43DF9"/>
    <w:rsid w:val="00F4491E"/>
    <w:rsid w:val="00F461E5"/>
    <w:rsid w:val="00F462CC"/>
    <w:rsid w:val="00F475ED"/>
    <w:rsid w:val="00F47D9F"/>
    <w:rsid w:val="00F503A3"/>
    <w:rsid w:val="00F51868"/>
    <w:rsid w:val="00F51897"/>
    <w:rsid w:val="00F51961"/>
    <w:rsid w:val="00F51C47"/>
    <w:rsid w:val="00F51FDB"/>
    <w:rsid w:val="00F524FF"/>
    <w:rsid w:val="00F5327E"/>
    <w:rsid w:val="00F5374E"/>
    <w:rsid w:val="00F537C1"/>
    <w:rsid w:val="00F54779"/>
    <w:rsid w:val="00F54902"/>
    <w:rsid w:val="00F54A67"/>
    <w:rsid w:val="00F55E17"/>
    <w:rsid w:val="00F561EF"/>
    <w:rsid w:val="00F5664C"/>
    <w:rsid w:val="00F5687E"/>
    <w:rsid w:val="00F56A24"/>
    <w:rsid w:val="00F57D8C"/>
    <w:rsid w:val="00F57E0F"/>
    <w:rsid w:val="00F608BE"/>
    <w:rsid w:val="00F60B0F"/>
    <w:rsid w:val="00F60EE5"/>
    <w:rsid w:val="00F6181C"/>
    <w:rsid w:val="00F61DC5"/>
    <w:rsid w:val="00F62066"/>
    <w:rsid w:val="00F62AFB"/>
    <w:rsid w:val="00F62BA9"/>
    <w:rsid w:val="00F6362F"/>
    <w:rsid w:val="00F63CA7"/>
    <w:rsid w:val="00F63D4A"/>
    <w:rsid w:val="00F646E8"/>
    <w:rsid w:val="00F64C47"/>
    <w:rsid w:val="00F660CB"/>
    <w:rsid w:val="00F66265"/>
    <w:rsid w:val="00F6651F"/>
    <w:rsid w:val="00F66D4E"/>
    <w:rsid w:val="00F67D89"/>
    <w:rsid w:val="00F67E1B"/>
    <w:rsid w:val="00F67F49"/>
    <w:rsid w:val="00F67FB6"/>
    <w:rsid w:val="00F70545"/>
    <w:rsid w:val="00F70703"/>
    <w:rsid w:val="00F71332"/>
    <w:rsid w:val="00F716BB"/>
    <w:rsid w:val="00F71E9E"/>
    <w:rsid w:val="00F71F58"/>
    <w:rsid w:val="00F725DE"/>
    <w:rsid w:val="00F72D76"/>
    <w:rsid w:val="00F7316B"/>
    <w:rsid w:val="00F73B4E"/>
    <w:rsid w:val="00F74F8D"/>
    <w:rsid w:val="00F75009"/>
    <w:rsid w:val="00F760AC"/>
    <w:rsid w:val="00F76A12"/>
    <w:rsid w:val="00F770BF"/>
    <w:rsid w:val="00F77E35"/>
    <w:rsid w:val="00F82527"/>
    <w:rsid w:val="00F825D4"/>
    <w:rsid w:val="00F8340B"/>
    <w:rsid w:val="00F83A3C"/>
    <w:rsid w:val="00F842B8"/>
    <w:rsid w:val="00F84B3C"/>
    <w:rsid w:val="00F85636"/>
    <w:rsid w:val="00F85D22"/>
    <w:rsid w:val="00F85DF2"/>
    <w:rsid w:val="00F878CF"/>
    <w:rsid w:val="00F87CC6"/>
    <w:rsid w:val="00F90A18"/>
    <w:rsid w:val="00F91F43"/>
    <w:rsid w:val="00F92747"/>
    <w:rsid w:val="00F92A5C"/>
    <w:rsid w:val="00F92C00"/>
    <w:rsid w:val="00F92DA9"/>
    <w:rsid w:val="00F93107"/>
    <w:rsid w:val="00F94EE7"/>
    <w:rsid w:val="00F9662B"/>
    <w:rsid w:val="00F971E7"/>
    <w:rsid w:val="00F97491"/>
    <w:rsid w:val="00F976E1"/>
    <w:rsid w:val="00F979EC"/>
    <w:rsid w:val="00FA05ED"/>
    <w:rsid w:val="00FA19E9"/>
    <w:rsid w:val="00FA1A50"/>
    <w:rsid w:val="00FA1DB0"/>
    <w:rsid w:val="00FA2D75"/>
    <w:rsid w:val="00FA2EB5"/>
    <w:rsid w:val="00FA54AE"/>
    <w:rsid w:val="00FA63D0"/>
    <w:rsid w:val="00FA70DB"/>
    <w:rsid w:val="00FB007B"/>
    <w:rsid w:val="00FB0298"/>
    <w:rsid w:val="00FB03CD"/>
    <w:rsid w:val="00FB096F"/>
    <w:rsid w:val="00FB2352"/>
    <w:rsid w:val="00FB2439"/>
    <w:rsid w:val="00FB3402"/>
    <w:rsid w:val="00FB35BF"/>
    <w:rsid w:val="00FB4C04"/>
    <w:rsid w:val="00FB519D"/>
    <w:rsid w:val="00FB5271"/>
    <w:rsid w:val="00FB5B6D"/>
    <w:rsid w:val="00FB5C16"/>
    <w:rsid w:val="00FB5D51"/>
    <w:rsid w:val="00FB650E"/>
    <w:rsid w:val="00FB6CF6"/>
    <w:rsid w:val="00FB71D5"/>
    <w:rsid w:val="00FC25B7"/>
    <w:rsid w:val="00FC2A5D"/>
    <w:rsid w:val="00FC47EF"/>
    <w:rsid w:val="00FC498C"/>
    <w:rsid w:val="00FC4C17"/>
    <w:rsid w:val="00FC6E5F"/>
    <w:rsid w:val="00FC6E71"/>
    <w:rsid w:val="00FC7DA0"/>
    <w:rsid w:val="00FD09C7"/>
    <w:rsid w:val="00FD1806"/>
    <w:rsid w:val="00FD1990"/>
    <w:rsid w:val="00FD2188"/>
    <w:rsid w:val="00FD29EF"/>
    <w:rsid w:val="00FD2E87"/>
    <w:rsid w:val="00FD2F39"/>
    <w:rsid w:val="00FD31FF"/>
    <w:rsid w:val="00FD32E4"/>
    <w:rsid w:val="00FD468A"/>
    <w:rsid w:val="00FD4C56"/>
    <w:rsid w:val="00FD4D57"/>
    <w:rsid w:val="00FD5CC3"/>
    <w:rsid w:val="00FD5F72"/>
    <w:rsid w:val="00FD63D3"/>
    <w:rsid w:val="00FD6B28"/>
    <w:rsid w:val="00FD7747"/>
    <w:rsid w:val="00FE07DF"/>
    <w:rsid w:val="00FE168B"/>
    <w:rsid w:val="00FE1694"/>
    <w:rsid w:val="00FE434F"/>
    <w:rsid w:val="00FE5081"/>
    <w:rsid w:val="00FE59FF"/>
    <w:rsid w:val="00FE6F26"/>
    <w:rsid w:val="00FE75E9"/>
    <w:rsid w:val="00FE7CAE"/>
    <w:rsid w:val="00FF0180"/>
    <w:rsid w:val="00FF1ADB"/>
    <w:rsid w:val="00FF1D46"/>
    <w:rsid w:val="00FF2645"/>
    <w:rsid w:val="00FF269B"/>
    <w:rsid w:val="00FF3EE8"/>
    <w:rsid w:val="00FF4007"/>
    <w:rsid w:val="00FF57DC"/>
    <w:rsid w:val="00FF6190"/>
    <w:rsid w:val="00FF6F58"/>
    <w:rsid w:val="00FF7844"/>
    <w:rsid w:val="00FF78C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C5B760FB-901E-4100-813C-CF7BA683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1"/>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9E9"/>
    <w:pPr>
      <w:spacing w:after="200" w:line="276" w:lineRule="auto"/>
    </w:pPr>
    <w:rPr>
      <w:rFonts w:ascii="Arial" w:hAnsi="Arial"/>
      <w:sz w:val="22"/>
      <w:szCs w:val="22"/>
      <w:lang w:val="es-ES" w:eastAsia="en-US"/>
    </w:rPr>
  </w:style>
  <w:style w:type="paragraph" w:styleId="Ttulo1">
    <w:name w:val="heading 1"/>
    <w:basedOn w:val="Normal"/>
    <w:next w:val="Normal"/>
    <w:link w:val="Ttulo1Car"/>
    <w:qFormat/>
    <w:rsid w:val="00EB0FE3"/>
    <w:pPr>
      <w:keepNext/>
      <w:numPr>
        <w:numId w:val="100"/>
      </w:numPr>
      <w:spacing w:after="0" w:line="240" w:lineRule="auto"/>
      <w:outlineLvl w:val="0"/>
    </w:pPr>
    <w:rPr>
      <w:rFonts w:eastAsia="Times New Roman"/>
      <w:b/>
      <w:bCs/>
      <w:kern w:val="32"/>
      <w:szCs w:val="32"/>
    </w:rPr>
  </w:style>
  <w:style w:type="paragraph" w:styleId="Ttulo2">
    <w:name w:val="heading 2"/>
    <w:basedOn w:val="Normal"/>
    <w:next w:val="Normal"/>
    <w:link w:val="Ttulo2Car"/>
    <w:unhideWhenUsed/>
    <w:qFormat/>
    <w:rsid w:val="003F4933"/>
    <w:pPr>
      <w:keepNext/>
      <w:keepLines/>
      <w:numPr>
        <w:ilvl w:val="1"/>
        <w:numId w:val="100"/>
      </w:numPr>
      <w:spacing w:before="40" w:after="0"/>
      <w:outlineLvl w:val="1"/>
    </w:pPr>
    <w:rPr>
      <w:rFonts w:eastAsiaTheme="majorEastAsia" w:cstheme="majorBidi"/>
      <w:szCs w:val="26"/>
    </w:rPr>
  </w:style>
  <w:style w:type="paragraph" w:styleId="Ttulo3">
    <w:name w:val="heading 3"/>
    <w:basedOn w:val="Normal"/>
    <w:next w:val="Normal"/>
    <w:link w:val="Ttulo3Car"/>
    <w:uiPriority w:val="9"/>
    <w:qFormat/>
    <w:rsid w:val="00EB0FE3"/>
    <w:pPr>
      <w:keepNext/>
      <w:numPr>
        <w:ilvl w:val="2"/>
        <w:numId w:val="100"/>
      </w:numPr>
      <w:tabs>
        <w:tab w:val="left" w:pos="4395"/>
      </w:tabs>
      <w:spacing w:after="0" w:line="240" w:lineRule="auto"/>
      <w:outlineLvl w:val="2"/>
    </w:pPr>
    <w:rPr>
      <w:rFonts w:eastAsia="Times New Roman"/>
      <w:b/>
      <w:szCs w:val="20"/>
      <w:lang w:eastAsia="es-ES"/>
    </w:rPr>
  </w:style>
  <w:style w:type="paragraph" w:styleId="Ttulo4">
    <w:name w:val="heading 4"/>
    <w:basedOn w:val="Normal"/>
    <w:next w:val="Normal"/>
    <w:link w:val="Ttulo4Car"/>
    <w:uiPriority w:val="9"/>
    <w:qFormat/>
    <w:rsid w:val="00A66AE3"/>
    <w:pPr>
      <w:keepNext/>
      <w:numPr>
        <w:ilvl w:val="3"/>
        <w:numId w:val="100"/>
      </w:numPr>
      <w:tabs>
        <w:tab w:val="num" w:pos="864"/>
      </w:tabs>
      <w:spacing w:after="0" w:line="240" w:lineRule="auto"/>
      <w:jc w:val="both"/>
      <w:outlineLvl w:val="3"/>
    </w:pPr>
    <w:rPr>
      <w:rFonts w:ascii="Verdana" w:eastAsia="Times New Roman" w:hAnsi="Verdana"/>
      <w:b/>
      <w:bCs/>
      <w:i/>
      <w:sz w:val="20"/>
      <w:szCs w:val="28"/>
      <w:lang w:eastAsia="es-ES"/>
    </w:rPr>
  </w:style>
  <w:style w:type="paragraph" w:styleId="Ttulo5">
    <w:name w:val="heading 5"/>
    <w:basedOn w:val="Normal"/>
    <w:next w:val="Normal"/>
    <w:link w:val="Ttulo5Car"/>
    <w:uiPriority w:val="9"/>
    <w:unhideWhenUsed/>
    <w:qFormat/>
    <w:rsid w:val="00DA66A4"/>
    <w:pPr>
      <w:keepNext/>
      <w:keepLines/>
      <w:numPr>
        <w:ilvl w:val="4"/>
        <w:numId w:val="100"/>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qFormat/>
    <w:rsid w:val="00A66AE3"/>
    <w:pPr>
      <w:numPr>
        <w:ilvl w:val="5"/>
        <w:numId w:val="100"/>
      </w:numPr>
      <w:tabs>
        <w:tab w:val="num" w:pos="1152"/>
      </w:tabs>
      <w:spacing w:before="240" w:after="60" w:line="240" w:lineRule="auto"/>
      <w:jc w:val="both"/>
      <w:outlineLvl w:val="5"/>
    </w:pPr>
    <w:rPr>
      <w:rFonts w:ascii="Verdana" w:eastAsia="Times New Roman" w:hAnsi="Verdana"/>
      <w:b/>
      <w:bCs/>
      <w:i/>
      <w:sz w:val="20"/>
      <w:lang w:eastAsia="es-ES"/>
    </w:rPr>
  </w:style>
  <w:style w:type="paragraph" w:styleId="Ttulo7">
    <w:name w:val="heading 7"/>
    <w:basedOn w:val="Normal"/>
    <w:next w:val="Normal"/>
    <w:link w:val="Ttulo7Car"/>
    <w:uiPriority w:val="9"/>
    <w:qFormat/>
    <w:rsid w:val="00A66AE3"/>
    <w:pPr>
      <w:numPr>
        <w:ilvl w:val="6"/>
        <w:numId w:val="100"/>
      </w:numPr>
      <w:tabs>
        <w:tab w:val="num" w:pos="1296"/>
      </w:tabs>
      <w:spacing w:before="240" w:after="60" w:line="240" w:lineRule="auto"/>
      <w:jc w:val="both"/>
      <w:outlineLvl w:val="6"/>
    </w:pPr>
    <w:rPr>
      <w:rFonts w:ascii="Verdana" w:eastAsia="Times New Roman" w:hAnsi="Verdana"/>
      <w:sz w:val="20"/>
      <w:szCs w:val="24"/>
      <w:lang w:eastAsia="es-ES"/>
    </w:rPr>
  </w:style>
  <w:style w:type="paragraph" w:styleId="Ttulo8">
    <w:name w:val="heading 8"/>
    <w:basedOn w:val="Normal"/>
    <w:next w:val="Normal"/>
    <w:link w:val="Ttulo8Car"/>
    <w:uiPriority w:val="9"/>
    <w:qFormat/>
    <w:rsid w:val="00A66AE3"/>
    <w:pPr>
      <w:numPr>
        <w:ilvl w:val="7"/>
        <w:numId w:val="100"/>
      </w:numPr>
      <w:tabs>
        <w:tab w:val="num" w:pos="1440"/>
      </w:tabs>
      <w:spacing w:before="240" w:after="60" w:line="240" w:lineRule="auto"/>
      <w:jc w:val="both"/>
      <w:outlineLvl w:val="7"/>
    </w:pPr>
    <w:rPr>
      <w:rFonts w:ascii="Verdana" w:eastAsia="Times New Roman" w:hAnsi="Verdana"/>
      <w:i/>
      <w:iCs/>
      <w:sz w:val="20"/>
      <w:szCs w:val="24"/>
      <w:lang w:eastAsia="es-ES"/>
    </w:rPr>
  </w:style>
  <w:style w:type="paragraph" w:styleId="Ttulo9">
    <w:name w:val="heading 9"/>
    <w:basedOn w:val="Normal"/>
    <w:next w:val="Normal"/>
    <w:link w:val="Ttulo9Car"/>
    <w:qFormat/>
    <w:rsid w:val="00A66AE3"/>
    <w:pPr>
      <w:numPr>
        <w:ilvl w:val="8"/>
        <w:numId w:val="100"/>
      </w:numPr>
      <w:tabs>
        <w:tab w:val="num" w:pos="1584"/>
      </w:tabs>
      <w:spacing w:before="240" w:after="60" w:line="240" w:lineRule="auto"/>
      <w:jc w:val="both"/>
      <w:outlineLvl w:val="8"/>
    </w:pPr>
    <w:rPr>
      <w:rFonts w:eastAsia="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0FE3"/>
    <w:rPr>
      <w:rFonts w:ascii="Arial" w:eastAsia="Times New Roman" w:hAnsi="Arial"/>
      <w:b/>
      <w:bCs/>
      <w:kern w:val="32"/>
      <w:sz w:val="22"/>
      <w:szCs w:val="32"/>
      <w:lang w:val="es-ES" w:eastAsia="en-US"/>
    </w:rPr>
  </w:style>
  <w:style w:type="character" w:customStyle="1" w:styleId="Ttulo2Car">
    <w:name w:val="Título 2 Car"/>
    <w:basedOn w:val="Fuentedeprrafopredeter"/>
    <w:link w:val="Ttulo2"/>
    <w:rsid w:val="003F4933"/>
    <w:rPr>
      <w:rFonts w:ascii="Arial" w:eastAsiaTheme="majorEastAsia" w:hAnsi="Arial" w:cstheme="majorBidi"/>
      <w:sz w:val="22"/>
      <w:szCs w:val="26"/>
      <w:lang w:val="es-ES" w:eastAsia="en-US"/>
    </w:rPr>
  </w:style>
  <w:style w:type="character" w:customStyle="1" w:styleId="Ttulo3Car">
    <w:name w:val="Título 3 Car"/>
    <w:basedOn w:val="Fuentedeprrafopredeter"/>
    <w:link w:val="Ttulo3"/>
    <w:uiPriority w:val="9"/>
    <w:rsid w:val="00EB0FE3"/>
    <w:rPr>
      <w:rFonts w:ascii="Arial" w:eastAsia="Times New Roman" w:hAnsi="Arial"/>
      <w:b/>
      <w:sz w:val="22"/>
      <w:lang w:val="es-ES" w:eastAsia="es-ES"/>
    </w:rPr>
  </w:style>
  <w:style w:type="character" w:customStyle="1" w:styleId="Ttulo5Car">
    <w:name w:val="Título 5 Car"/>
    <w:basedOn w:val="Fuentedeprrafopredeter"/>
    <w:link w:val="Ttulo5"/>
    <w:uiPriority w:val="9"/>
    <w:rsid w:val="00DA66A4"/>
    <w:rPr>
      <w:rFonts w:asciiTheme="majorHAnsi" w:eastAsiaTheme="majorEastAsia" w:hAnsiTheme="majorHAnsi" w:cstheme="majorBidi"/>
      <w:color w:val="365F91" w:themeColor="accent1" w:themeShade="BF"/>
      <w:sz w:val="22"/>
      <w:szCs w:val="22"/>
      <w:lang w:val="es-ES" w:eastAsia="en-US"/>
    </w:rPr>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aliases w:val="Rodapé1"/>
    <w:basedOn w:val="Normal"/>
    <w:link w:val="PiedepginaCar"/>
    <w:uiPriority w:val="99"/>
    <w:unhideWhenUsed/>
    <w:rsid w:val="009B2507"/>
    <w:pPr>
      <w:tabs>
        <w:tab w:val="center" w:pos="4252"/>
        <w:tab w:val="right" w:pos="8504"/>
      </w:tabs>
    </w:pPr>
  </w:style>
  <w:style w:type="character" w:customStyle="1" w:styleId="PiedepginaCar">
    <w:name w:val="Pie de página Car"/>
    <w:aliases w:val="Rodapé1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Sinespaciado">
    <w:name w:val="No Spacing"/>
    <w:basedOn w:val="Normal"/>
    <w:link w:val="SinespaciadoCar"/>
    <w:uiPriority w:val="1"/>
    <w:qFormat/>
    <w:rsid w:val="00485A77"/>
    <w:pPr>
      <w:spacing w:after="0" w:line="240" w:lineRule="auto"/>
    </w:pPr>
    <w:rPr>
      <w:lang w:eastAsia="es-ES"/>
    </w:rPr>
  </w:style>
  <w:style w:type="character" w:customStyle="1" w:styleId="SinespaciadoCar">
    <w:name w:val="Sin espaciado Car"/>
    <w:link w:val="Sinespaciado"/>
    <w:uiPriority w:val="1"/>
    <w:rsid w:val="0029145C"/>
    <w:rPr>
      <w:sz w:val="22"/>
      <w:szCs w:val="22"/>
      <w:lang w:val="es-ES" w:eastAsia="es-ES"/>
    </w:rPr>
  </w:style>
  <w:style w:type="paragraph" w:styleId="Textoindependiente">
    <w:name w:val="Body Text"/>
    <w:aliases w:val="body text,bt,body tesx,contents,Subsection Body Text,Texto independiente Car Car,Inicio,Texto independiente Car Car Car Car Car Car,Texto independiente Car Car Car Car,Texto independiente Car Car Car Car Car"/>
    <w:basedOn w:val="Normal"/>
    <w:link w:val="TextoindependienteCar"/>
    <w:rsid w:val="00A142A5"/>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aliases w:val="body text Car,bt Car,body tesx Car,contents Car,Subsection Body Text Car,Texto independiente Car Car Car,Inicio Car,Texto independiente Car Car Car Car Car Car Car,Texto independiente Car Car Car Car Car1"/>
    <w:link w:val="Textoindependiente"/>
    <w:rsid w:val="00A142A5"/>
    <w:rPr>
      <w:rFonts w:ascii="Times New Roman" w:eastAsia="Times New Roman" w:hAnsi="Times New Roman"/>
      <w:sz w:val="24"/>
      <w:szCs w:val="24"/>
      <w:lang w:eastAsia="es-ES"/>
    </w:rPr>
  </w:style>
  <w:style w:type="paragraph" w:styleId="Prrafodelista">
    <w:name w:val="List Paragraph"/>
    <w:aliases w:val="Ha,titulo 3,List,Bullets,Fluvial1,Cuadrícula clara - Énfasis 31,Normal. Viñetas,HOJA,Bolita,Párrafo de lista4,BOLADEF,Párrafo de lista3,Párrafo de lista21,BOLA,Nivel 1 OS,Lista vistosa - Énfasis 11,List Paragraph,列出段落,Bullet List,number"/>
    <w:basedOn w:val="Normal"/>
    <w:link w:val="PrrafodelistaCar"/>
    <w:uiPriority w:val="34"/>
    <w:qFormat/>
    <w:rsid w:val="00D72AFE"/>
    <w:pPr>
      <w:ind w:left="708"/>
    </w:pPr>
  </w:style>
  <w:style w:type="character" w:customStyle="1" w:styleId="PrrafodelistaCar">
    <w:name w:val="Párrafo de lista Car"/>
    <w:aliases w:val="Ha Car,titulo 3 Car,List Car,Bullets Car,Fluvial1 Car,Cuadrícula clara - Énfasis 31 Car,Normal. Viñetas Car,HOJA Car,Bolita Car,Párrafo de lista4 Car,BOLADEF Car,Párrafo de lista3 Car,Párrafo de lista21 Car,BOLA Car,Nivel 1 OS Car"/>
    <w:link w:val="Prrafodelista"/>
    <w:uiPriority w:val="34"/>
    <w:rsid w:val="00420700"/>
    <w:rPr>
      <w:sz w:val="22"/>
      <w:szCs w:val="22"/>
      <w:lang w:val="es-ES" w:eastAsia="en-US"/>
    </w:rPr>
  </w:style>
  <w:style w:type="paragraph" w:styleId="NormalWeb">
    <w:name w:val="Normal (Web)"/>
    <w:basedOn w:val="Normal"/>
    <w:uiPriority w:val="99"/>
    <w:unhideWhenUsed/>
    <w:rsid w:val="00307AC9"/>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2">
    <w:name w:val="Body Text 2"/>
    <w:basedOn w:val="Normal"/>
    <w:link w:val="Textoindependiente2Car"/>
    <w:uiPriority w:val="99"/>
    <w:unhideWhenUsed/>
    <w:rsid w:val="00B77C02"/>
    <w:pPr>
      <w:spacing w:after="120" w:line="480" w:lineRule="auto"/>
    </w:pPr>
  </w:style>
  <w:style w:type="character" w:customStyle="1" w:styleId="Textoindependiente2Car">
    <w:name w:val="Texto independiente 2 Car"/>
    <w:link w:val="Textoindependiente2"/>
    <w:uiPriority w:val="99"/>
    <w:rsid w:val="00B77C02"/>
    <w:rPr>
      <w:sz w:val="22"/>
      <w:szCs w:val="22"/>
      <w:lang w:val="es-ES" w:eastAsia="en-US"/>
    </w:rPr>
  </w:style>
  <w:style w:type="paragraph" w:customStyle="1" w:styleId="Default">
    <w:name w:val="Default"/>
    <w:link w:val="DefaultCar"/>
    <w:rsid w:val="003114FF"/>
    <w:pPr>
      <w:autoSpaceDE w:val="0"/>
      <w:autoSpaceDN w:val="0"/>
      <w:adjustRightInd w:val="0"/>
    </w:pPr>
    <w:rPr>
      <w:rFonts w:ascii="Verdana" w:hAnsi="Verdana" w:cs="Verdana"/>
      <w:color w:val="000000"/>
      <w:sz w:val="24"/>
      <w:szCs w:val="24"/>
    </w:rPr>
  </w:style>
  <w:style w:type="character" w:customStyle="1" w:styleId="DefaultCar">
    <w:name w:val="Default Car"/>
    <w:link w:val="Default"/>
    <w:rsid w:val="000D6ACA"/>
    <w:rPr>
      <w:rFonts w:ascii="Verdana" w:hAnsi="Verdana" w:cs="Verdana"/>
      <w:color w:val="000000"/>
      <w:sz w:val="24"/>
      <w:szCs w:val="24"/>
    </w:rPr>
  </w:style>
  <w:style w:type="paragraph" w:styleId="Textonotapie">
    <w:name w:val="footnote text"/>
    <w:aliases w:val="ft,single space,Footnote Text Char Char Char Char Char Char Char Char Char Char,Footnote Text Char Char Char Char Char Char Char Char Char Char Char Char,Footnote Text2,ft2,FA Fu,Footnote Text Char Char Char Char Char,fn,footnote text,C"/>
    <w:basedOn w:val="Normal"/>
    <w:link w:val="TextonotapieCar"/>
    <w:uiPriority w:val="99"/>
    <w:unhideWhenUsed/>
    <w:qFormat/>
    <w:rsid w:val="00932465"/>
    <w:pPr>
      <w:spacing w:after="0" w:line="240" w:lineRule="auto"/>
    </w:pPr>
    <w:rPr>
      <w:rFonts w:asciiTheme="minorHAnsi" w:eastAsiaTheme="minorHAnsi" w:hAnsiTheme="minorHAnsi" w:cstheme="minorBidi"/>
      <w:sz w:val="20"/>
      <w:szCs w:val="20"/>
      <w:lang w:val="es-CO"/>
    </w:rPr>
  </w:style>
  <w:style w:type="character" w:customStyle="1" w:styleId="TextonotapieCar">
    <w:name w:val="Texto nota pie Car"/>
    <w:aliases w:val="ft Car,single space Car,Footnote Text Char Char Char Char Char Char Char Char Char Char Car,Footnote Text Char Char Char Char Char Char Char Char Char Char Char Char Car,Footnote Text2 Car,ft2 Car,FA Fu Car,fn Car,footnote text Car"/>
    <w:basedOn w:val="Fuentedeprrafopredeter"/>
    <w:link w:val="Textonotapie"/>
    <w:uiPriority w:val="99"/>
    <w:rsid w:val="00932465"/>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ootnote,f"/>
    <w:basedOn w:val="Fuentedeprrafopredeter"/>
    <w:uiPriority w:val="99"/>
    <w:unhideWhenUsed/>
    <w:rsid w:val="00932465"/>
    <w:rPr>
      <w:vertAlign w:val="superscript"/>
    </w:rPr>
  </w:style>
  <w:style w:type="character" w:customStyle="1" w:styleId="apple-converted-space">
    <w:name w:val="apple-converted-space"/>
    <w:basedOn w:val="Fuentedeprrafopredeter"/>
    <w:rsid w:val="00D63790"/>
  </w:style>
  <w:style w:type="paragraph" w:customStyle="1" w:styleId="vietas">
    <w:name w:val="vietas"/>
    <w:basedOn w:val="Normal"/>
    <w:rsid w:val="0080047D"/>
    <w:pPr>
      <w:spacing w:after="0" w:line="240" w:lineRule="auto"/>
      <w:ind w:left="360" w:hanging="360"/>
      <w:jc w:val="both"/>
    </w:pPr>
    <w:rPr>
      <w:rFonts w:eastAsia="Times New Roman" w:cs="Arial"/>
      <w:sz w:val="20"/>
      <w:szCs w:val="20"/>
      <w:lang w:val="es-CO" w:eastAsia="es-CO"/>
    </w:rPr>
  </w:style>
  <w:style w:type="paragraph" w:customStyle="1" w:styleId="textosmorados">
    <w:name w:val="textosmorados"/>
    <w:basedOn w:val="Normal"/>
    <w:rsid w:val="00C917F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5">
    <w:name w:val="A5"/>
    <w:uiPriority w:val="99"/>
    <w:rsid w:val="00891F5D"/>
    <w:rPr>
      <w:rFonts w:cs="Zurich BT"/>
      <w:color w:val="000000"/>
      <w:sz w:val="12"/>
      <w:szCs w:val="12"/>
    </w:rPr>
  </w:style>
  <w:style w:type="character" w:customStyle="1" w:styleId="A7">
    <w:name w:val="A7"/>
    <w:uiPriority w:val="99"/>
    <w:rsid w:val="00891F5D"/>
    <w:rPr>
      <w:rFonts w:cs="Zurich BT"/>
      <w:color w:val="000000"/>
      <w:sz w:val="12"/>
      <w:szCs w:val="12"/>
    </w:rPr>
  </w:style>
  <w:style w:type="paragraph" w:customStyle="1" w:styleId="Arialsinespacio">
    <w:name w:val="Arial sin espacio"/>
    <w:basedOn w:val="Sinespaciado"/>
    <w:link w:val="ArialsinespacioCar"/>
    <w:qFormat/>
    <w:rsid w:val="00EB0FE3"/>
    <w:rPr>
      <w:rFonts w:eastAsia="Times New Roman"/>
      <w:szCs w:val="20"/>
    </w:rPr>
  </w:style>
  <w:style w:type="character" w:customStyle="1" w:styleId="ArialsinespacioCar">
    <w:name w:val="Arial sin espacio Car"/>
    <w:link w:val="Arialsinespacio"/>
    <w:rsid w:val="00EB0FE3"/>
    <w:rPr>
      <w:rFonts w:ascii="Arial" w:eastAsia="Times New Roman" w:hAnsi="Arial"/>
      <w:sz w:val="22"/>
      <w:lang w:val="es-ES" w:eastAsia="es-ES"/>
    </w:rPr>
  </w:style>
  <w:style w:type="character" w:styleId="Ttulodellibro">
    <w:name w:val="Book Title"/>
    <w:basedOn w:val="Fuentedeprrafopredeter"/>
    <w:uiPriority w:val="33"/>
    <w:qFormat/>
    <w:rsid w:val="00334E27"/>
    <w:rPr>
      <w:b/>
      <w:bCs/>
      <w:smallCaps/>
      <w:spacing w:val="5"/>
    </w:rPr>
  </w:style>
  <w:style w:type="paragraph" w:styleId="Textocomentario">
    <w:name w:val="annotation text"/>
    <w:basedOn w:val="Normal"/>
    <w:link w:val="TextocomentarioCar"/>
    <w:uiPriority w:val="99"/>
    <w:unhideWhenUsed/>
    <w:rsid w:val="00D31A84"/>
    <w:pPr>
      <w:spacing w:line="240" w:lineRule="auto"/>
    </w:pPr>
    <w:rPr>
      <w:sz w:val="20"/>
      <w:szCs w:val="20"/>
    </w:rPr>
  </w:style>
  <w:style w:type="character" w:customStyle="1" w:styleId="TextocomentarioCar">
    <w:name w:val="Texto comentario Car"/>
    <w:basedOn w:val="Fuentedeprrafopredeter"/>
    <w:link w:val="Textocomentario"/>
    <w:uiPriority w:val="99"/>
    <w:rsid w:val="00D31A84"/>
    <w:rPr>
      <w:lang w:val="es-ES" w:eastAsia="en-US"/>
    </w:rPr>
  </w:style>
  <w:style w:type="character" w:styleId="Textoennegrita">
    <w:name w:val="Strong"/>
    <w:basedOn w:val="Fuentedeprrafopredeter"/>
    <w:qFormat/>
    <w:rsid w:val="005C2A74"/>
    <w:rPr>
      <w:b/>
      <w:bCs/>
    </w:rPr>
  </w:style>
  <w:style w:type="character" w:styleId="Nmerodepgina">
    <w:name w:val="page number"/>
    <w:basedOn w:val="Fuentedeprrafopredeter"/>
    <w:uiPriority w:val="99"/>
    <w:unhideWhenUsed/>
    <w:rsid w:val="007A1CAB"/>
  </w:style>
  <w:style w:type="character" w:styleId="Refdecomentario">
    <w:name w:val="annotation reference"/>
    <w:basedOn w:val="Fuentedeprrafopredeter"/>
    <w:uiPriority w:val="99"/>
    <w:unhideWhenUsed/>
    <w:rsid w:val="00055581"/>
    <w:rPr>
      <w:sz w:val="16"/>
      <w:szCs w:val="16"/>
    </w:rPr>
  </w:style>
  <w:style w:type="paragraph" w:styleId="Asuntodelcomentario">
    <w:name w:val="annotation subject"/>
    <w:basedOn w:val="Textocomentario"/>
    <w:next w:val="Textocomentario"/>
    <w:link w:val="AsuntodelcomentarioCar"/>
    <w:uiPriority w:val="99"/>
    <w:semiHidden/>
    <w:unhideWhenUsed/>
    <w:rsid w:val="00055581"/>
    <w:rPr>
      <w:b/>
      <w:bCs/>
    </w:rPr>
  </w:style>
  <w:style w:type="character" w:customStyle="1" w:styleId="AsuntodelcomentarioCar">
    <w:name w:val="Asunto del comentario Car"/>
    <w:basedOn w:val="TextocomentarioCar"/>
    <w:link w:val="Asuntodelcomentario"/>
    <w:uiPriority w:val="99"/>
    <w:semiHidden/>
    <w:rsid w:val="00055581"/>
    <w:rPr>
      <w:b/>
      <w:bCs/>
      <w:lang w:val="es-ES" w:eastAsia="en-US"/>
    </w:rPr>
  </w:style>
  <w:style w:type="paragraph" w:customStyle="1" w:styleId="Titulo2">
    <w:name w:val="Titulo 2"/>
    <w:basedOn w:val="Normal"/>
    <w:link w:val="Titulo2Car"/>
    <w:qFormat/>
    <w:rsid w:val="008C6800"/>
    <w:pPr>
      <w:jc w:val="both"/>
    </w:pPr>
    <w:rPr>
      <w:rFonts w:cs="Arial"/>
      <w:color w:val="FFFFFF" w:themeColor="background1"/>
      <w:sz w:val="28"/>
      <w:lang w:val="es-CO"/>
    </w:rPr>
  </w:style>
  <w:style w:type="character" w:customStyle="1" w:styleId="Titulo2Car">
    <w:name w:val="Titulo 2 Car"/>
    <w:basedOn w:val="Fuentedeprrafopredeter"/>
    <w:link w:val="Titulo2"/>
    <w:rsid w:val="008C6800"/>
    <w:rPr>
      <w:rFonts w:ascii="Arial" w:hAnsi="Arial" w:cs="Arial"/>
      <w:color w:val="FFFFFF" w:themeColor="background1"/>
      <w:sz w:val="28"/>
      <w:szCs w:val="22"/>
      <w:lang w:eastAsia="en-US"/>
    </w:rPr>
  </w:style>
  <w:style w:type="paragraph" w:customStyle="1" w:styleId="Prrafodelista1">
    <w:name w:val="Párrafo de lista1"/>
    <w:basedOn w:val="Normal"/>
    <w:link w:val="ListParagraphChar"/>
    <w:qFormat/>
    <w:rsid w:val="0029145C"/>
    <w:pPr>
      <w:spacing w:after="0" w:line="240" w:lineRule="auto"/>
      <w:ind w:left="708"/>
    </w:pPr>
    <w:rPr>
      <w:rFonts w:ascii="Times New Roman" w:eastAsia="Times New Roman" w:hAnsi="Times New Roman"/>
      <w:sz w:val="24"/>
      <w:szCs w:val="24"/>
      <w:lang w:eastAsia="es-ES"/>
    </w:rPr>
  </w:style>
  <w:style w:type="character" w:customStyle="1" w:styleId="ListParagraphChar">
    <w:name w:val="List Paragraph Char"/>
    <w:link w:val="Prrafodelista1"/>
    <w:uiPriority w:val="99"/>
    <w:locked/>
    <w:rsid w:val="0029145C"/>
    <w:rPr>
      <w:rFonts w:ascii="Times New Roman" w:eastAsia="Times New Roman" w:hAnsi="Times New Roman"/>
      <w:sz w:val="24"/>
      <w:szCs w:val="24"/>
      <w:lang w:val="es-ES" w:eastAsia="es-ES"/>
    </w:rPr>
  </w:style>
  <w:style w:type="character" w:styleId="nfasis">
    <w:name w:val="Emphasis"/>
    <w:uiPriority w:val="20"/>
    <w:qFormat/>
    <w:rsid w:val="000D6ACA"/>
    <w:rPr>
      <w:i/>
      <w:iCs/>
    </w:rPr>
  </w:style>
  <w:style w:type="paragraph" w:customStyle="1" w:styleId="Niveldenota12">
    <w:name w:val="Nivel de nota 12"/>
    <w:basedOn w:val="Normal"/>
    <w:uiPriority w:val="99"/>
    <w:unhideWhenUsed/>
    <w:rsid w:val="00C90F71"/>
    <w:pPr>
      <w:keepNext/>
      <w:tabs>
        <w:tab w:val="num" w:pos="0"/>
      </w:tabs>
      <w:spacing w:after="0" w:line="240" w:lineRule="auto"/>
      <w:contextualSpacing/>
      <w:jc w:val="both"/>
      <w:outlineLvl w:val="0"/>
    </w:pPr>
    <w:rPr>
      <w:rFonts w:ascii="Verdana" w:hAnsi="Verdana"/>
    </w:rPr>
  </w:style>
  <w:style w:type="paragraph" w:customStyle="1" w:styleId="Cuadrculamedia21">
    <w:name w:val="Cuadrícula media 21"/>
    <w:uiPriority w:val="1"/>
    <w:qFormat/>
    <w:rsid w:val="00B429AA"/>
    <w:rPr>
      <w:sz w:val="22"/>
      <w:szCs w:val="22"/>
      <w:lang w:val="es-ES" w:eastAsia="en-US"/>
    </w:rPr>
  </w:style>
  <w:style w:type="character" w:customStyle="1" w:styleId="texto1">
    <w:name w:val="texto1"/>
    <w:rsid w:val="00DA66A4"/>
    <w:rPr>
      <w:rFonts w:ascii="Verdana" w:hAnsi="Verdana" w:cs="Times New Roman"/>
      <w:color w:val="000099"/>
      <w:sz w:val="22"/>
      <w:szCs w:val="22"/>
    </w:rPr>
  </w:style>
  <w:style w:type="table" w:customStyle="1" w:styleId="Tabladecuadrcula2-nfasis31">
    <w:name w:val="Tabla de cuadrícula 2 - Énfasis 3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11">
    <w:name w:val="Tabla de cuadrícula 2 - Énfasis 311"/>
    <w:basedOn w:val="Tablanormal"/>
    <w:uiPriority w:val="47"/>
    <w:rsid w:val="00DA66A4"/>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0">
    <w:name w:val="A0"/>
    <w:uiPriority w:val="99"/>
    <w:rsid w:val="00DA66A4"/>
    <w:rPr>
      <w:rFonts w:cs="Arial Narrow"/>
      <w:color w:val="000000"/>
    </w:rPr>
  </w:style>
  <w:style w:type="paragraph" w:customStyle="1" w:styleId="Pa1">
    <w:name w:val="Pa1"/>
    <w:basedOn w:val="Normal"/>
    <w:next w:val="Normal"/>
    <w:uiPriority w:val="99"/>
    <w:rsid w:val="00DA66A4"/>
    <w:pPr>
      <w:autoSpaceDE w:val="0"/>
      <w:autoSpaceDN w:val="0"/>
      <w:adjustRightInd w:val="0"/>
      <w:spacing w:after="0" w:line="241" w:lineRule="atLeast"/>
    </w:pPr>
    <w:rPr>
      <w:rFonts w:ascii="Arial Narrow" w:hAnsi="Arial Narrow"/>
      <w:sz w:val="24"/>
      <w:szCs w:val="24"/>
      <w:lang w:val="es-MX" w:eastAsia="es-CO"/>
    </w:rPr>
  </w:style>
  <w:style w:type="table" w:customStyle="1" w:styleId="Tabladecuadrcula4-nfasis61">
    <w:name w:val="Tabla de cuadrícula 4 - Énfasis 61"/>
    <w:basedOn w:val="Tablanormal"/>
    <w:uiPriority w:val="49"/>
    <w:rsid w:val="00DA66A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2-nfasis32">
    <w:name w:val="Tabla de cuadrícula 2 - Énfasis 32"/>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2-nfasis321">
    <w:name w:val="Tabla de cuadrícula 2 - Énfasis 321"/>
    <w:basedOn w:val="Tablanormal"/>
    <w:uiPriority w:val="47"/>
    <w:rsid w:val="001F0F91"/>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tandard">
    <w:name w:val="Standard"/>
    <w:uiPriority w:val="99"/>
    <w:rsid w:val="001F0F91"/>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customStyle="1" w:styleId="BodyText21">
    <w:name w:val="Body Text 21"/>
    <w:basedOn w:val="Normal"/>
    <w:rsid w:val="001F0F91"/>
    <w:pPr>
      <w:widowControl w:val="0"/>
      <w:spacing w:after="0" w:line="240" w:lineRule="auto"/>
      <w:jc w:val="center"/>
    </w:pPr>
    <w:rPr>
      <w:rFonts w:ascii="Courier New" w:eastAsia="Times New Roman" w:hAnsi="Courier New" w:cs="Courier New"/>
      <w:b/>
      <w:bCs/>
      <w:sz w:val="32"/>
      <w:szCs w:val="32"/>
      <w:lang w:val="es-CO" w:eastAsia="es-CO"/>
    </w:rPr>
  </w:style>
  <w:style w:type="table" w:customStyle="1" w:styleId="Tabladelista3-nfasis11">
    <w:name w:val="Tabla de lista 3 - Énfasis 11"/>
    <w:basedOn w:val="Tablanormal"/>
    <w:uiPriority w:val="48"/>
    <w:rsid w:val="001F0F9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cuadrcula1clara-nfasis11">
    <w:name w:val="Tabla de cuadrícula 1 clara - Énfasis 11"/>
    <w:basedOn w:val="Tablanormal"/>
    <w:uiPriority w:val="46"/>
    <w:rsid w:val="001F0F91"/>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2-nfasis61">
    <w:name w:val="Tabla de cuadrícula 2 - Énfasis 61"/>
    <w:basedOn w:val="Tablanormal"/>
    <w:uiPriority w:val="47"/>
    <w:rsid w:val="001F0F91"/>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list0020paragraph">
    <w:name w:val="list_0020paragraph"/>
    <w:basedOn w:val="Normal"/>
    <w:rsid w:val="001F0F91"/>
    <w:pPr>
      <w:spacing w:before="100" w:beforeAutospacing="1" w:after="100" w:afterAutospacing="1" w:line="240" w:lineRule="auto"/>
    </w:pPr>
    <w:rPr>
      <w:rFonts w:ascii="Times" w:hAnsi="Times"/>
      <w:sz w:val="20"/>
      <w:szCs w:val="20"/>
      <w:lang w:val="es-CO" w:eastAsia="es-ES"/>
    </w:rPr>
  </w:style>
  <w:style w:type="character" w:customStyle="1" w:styleId="list0020paragraphchar">
    <w:name w:val="list_0020paragraph__char"/>
    <w:rsid w:val="001F0F91"/>
  </w:style>
  <w:style w:type="paragraph" w:customStyle="1" w:styleId="Textonormal">
    <w:name w:val="Texto normal"/>
    <w:basedOn w:val="Normal"/>
    <w:rsid w:val="001F0F91"/>
    <w:pPr>
      <w:spacing w:after="0" w:line="240" w:lineRule="auto"/>
    </w:pPr>
    <w:rPr>
      <w:rFonts w:ascii="Tahoma" w:eastAsia="Batang" w:hAnsi="Tahoma"/>
      <w:sz w:val="24"/>
      <w:szCs w:val="20"/>
      <w:lang w:val="es-MX" w:eastAsia="es-CO"/>
    </w:rPr>
  </w:style>
  <w:style w:type="paragraph" w:customStyle="1" w:styleId="Sinespaciado1">
    <w:name w:val="Sin espaciado1"/>
    <w:uiPriority w:val="1"/>
    <w:qFormat/>
    <w:rsid w:val="001F0F91"/>
    <w:rPr>
      <w:rFonts w:ascii="Times New Roman" w:eastAsia="Times New Roman" w:hAnsi="Times New Roman"/>
      <w:sz w:val="24"/>
      <w:szCs w:val="24"/>
      <w:lang w:val="es-ES" w:eastAsia="es-ES"/>
    </w:rPr>
  </w:style>
  <w:style w:type="character" w:customStyle="1" w:styleId="CharacterStyle1">
    <w:name w:val="Character Style 1"/>
    <w:uiPriority w:val="99"/>
    <w:rsid w:val="001F0F91"/>
    <w:rPr>
      <w:sz w:val="20"/>
      <w:szCs w:val="20"/>
    </w:rPr>
  </w:style>
  <w:style w:type="paragraph" w:styleId="TtulodeTDC">
    <w:name w:val="TOC Heading"/>
    <w:basedOn w:val="Ttulo1"/>
    <w:next w:val="Normal"/>
    <w:uiPriority w:val="39"/>
    <w:unhideWhenUsed/>
    <w:qFormat/>
    <w:rsid w:val="001F0F91"/>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lang w:val="es-CO" w:eastAsia="es-CO"/>
    </w:rPr>
  </w:style>
  <w:style w:type="paragraph" w:styleId="TDC3">
    <w:name w:val="toc 3"/>
    <w:basedOn w:val="Normal"/>
    <w:next w:val="Normal"/>
    <w:autoRedefine/>
    <w:uiPriority w:val="39"/>
    <w:unhideWhenUsed/>
    <w:rsid w:val="001F0F91"/>
    <w:pPr>
      <w:spacing w:after="100"/>
      <w:ind w:left="440"/>
    </w:pPr>
  </w:style>
  <w:style w:type="paragraph" w:styleId="TDC1">
    <w:name w:val="toc 1"/>
    <w:basedOn w:val="Normal"/>
    <w:next w:val="Normal"/>
    <w:autoRedefine/>
    <w:uiPriority w:val="39"/>
    <w:unhideWhenUsed/>
    <w:rsid w:val="009610A6"/>
    <w:pPr>
      <w:tabs>
        <w:tab w:val="left" w:pos="660"/>
        <w:tab w:val="right" w:leader="dot" w:pos="9395"/>
      </w:tabs>
      <w:spacing w:after="100"/>
    </w:pPr>
    <w:rPr>
      <w:rFonts w:eastAsia="Times New Roman" w:cs="Arial"/>
      <w:b/>
      <w:bCs/>
      <w:noProof/>
      <w:kern w:val="32"/>
    </w:rPr>
  </w:style>
  <w:style w:type="paragraph" w:styleId="TDC2">
    <w:name w:val="toc 2"/>
    <w:basedOn w:val="Normal"/>
    <w:next w:val="Normal"/>
    <w:autoRedefine/>
    <w:uiPriority w:val="39"/>
    <w:unhideWhenUsed/>
    <w:rsid w:val="001F0F91"/>
    <w:pPr>
      <w:spacing w:after="100"/>
      <w:ind w:left="220"/>
    </w:pPr>
  </w:style>
  <w:style w:type="table" w:styleId="Listaclara-nfasis6">
    <w:name w:val="Light List Accent 6"/>
    <w:basedOn w:val="Tablanormal"/>
    <w:uiPriority w:val="61"/>
    <w:rsid w:val="00946A35"/>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Ttulo4Car">
    <w:name w:val="Título 4 Car"/>
    <w:basedOn w:val="Fuentedeprrafopredeter"/>
    <w:link w:val="Ttulo4"/>
    <w:uiPriority w:val="9"/>
    <w:rsid w:val="00A66AE3"/>
    <w:rPr>
      <w:rFonts w:ascii="Verdana" w:eastAsia="Times New Roman" w:hAnsi="Verdana"/>
      <w:b/>
      <w:bCs/>
      <w:i/>
      <w:szCs w:val="28"/>
      <w:lang w:val="es-ES" w:eastAsia="es-ES"/>
    </w:rPr>
  </w:style>
  <w:style w:type="character" w:customStyle="1" w:styleId="Ttulo6Car">
    <w:name w:val="Título 6 Car"/>
    <w:basedOn w:val="Fuentedeprrafopredeter"/>
    <w:link w:val="Ttulo6"/>
    <w:uiPriority w:val="9"/>
    <w:rsid w:val="00A66AE3"/>
    <w:rPr>
      <w:rFonts w:ascii="Verdana" w:eastAsia="Times New Roman" w:hAnsi="Verdana"/>
      <w:b/>
      <w:bCs/>
      <w:i/>
      <w:szCs w:val="22"/>
      <w:lang w:val="es-ES" w:eastAsia="es-ES"/>
    </w:rPr>
  </w:style>
  <w:style w:type="character" w:customStyle="1" w:styleId="Ttulo7Car">
    <w:name w:val="Título 7 Car"/>
    <w:basedOn w:val="Fuentedeprrafopredeter"/>
    <w:link w:val="Ttulo7"/>
    <w:uiPriority w:val="9"/>
    <w:rsid w:val="00A66AE3"/>
    <w:rPr>
      <w:rFonts w:ascii="Verdana" w:eastAsia="Times New Roman" w:hAnsi="Verdana"/>
      <w:szCs w:val="24"/>
      <w:lang w:val="es-ES" w:eastAsia="es-ES"/>
    </w:rPr>
  </w:style>
  <w:style w:type="character" w:customStyle="1" w:styleId="Ttulo8Car">
    <w:name w:val="Título 8 Car"/>
    <w:basedOn w:val="Fuentedeprrafopredeter"/>
    <w:link w:val="Ttulo8"/>
    <w:uiPriority w:val="9"/>
    <w:rsid w:val="00A66AE3"/>
    <w:rPr>
      <w:rFonts w:ascii="Verdana" w:eastAsia="Times New Roman" w:hAnsi="Verdana"/>
      <w:i/>
      <w:iCs/>
      <w:szCs w:val="24"/>
      <w:lang w:val="es-ES" w:eastAsia="es-ES"/>
    </w:rPr>
  </w:style>
  <w:style w:type="character" w:customStyle="1" w:styleId="Ttulo9Car">
    <w:name w:val="Título 9 Car"/>
    <w:basedOn w:val="Fuentedeprrafopredeter"/>
    <w:link w:val="Ttulo9"/>
    <w:rsid w:val="00A66AE3"/>
    <w:rPr>
      <w:rFonts w:ascii="Arial" w:eastAsia="Times New Roman" w:hAnsi="Arial"/>
      <w:sz w:val="22"/>
      <w:szCs w:val="22"/>
      <w:lang w:val="es-ES" w:eastAsia="es-ES"/>
    </w:rPr>
  </w:style>
  <w:style w:type="paragraph" w:styleId="TDC4">
    <w:name w:val="toc 4"/>
    <w:basedOn w:val="Normal"/>
    <w:next w:val="Normal"/>
    <w:autoRedefine/>
    <w:uiPriority w:val="39"/>
    <w:unhideWhenUsed/>
    <w:rsid w:val="003068C8"/>
    <w:pPr>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3068C8"/>
    <w:pPr>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3068C8"/>
    <w:pPr>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3068C8"/>
    <w:pPr>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3068C8"/>
    <w:pPr>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3068C8"/>
    <w:pPr>
      <w:spacing w:after="100" w:line="259" w:lineRule="auto"/>
      <w:ind w:left="1760"/>
    </w:pPr>
    <w:rPr>
      <w:rFonts w:asciiTheme="minorHAnsi" w:eastAsiaTheme="minorEastAsia" w:hAnsiTheme="minorHAnsi" w:cstheme="minorBidi"/>
      <w:lang w:val="es-CO" w:eastAsia="es-CO"/>
    </w:rPr>
  </w:style>
  <w:style w:type="character" w:styleId="Hipervnculovisitado">
    <w:name w:val="FollowedHyperlink"/>
    <w:basedOn w:val="Fuentedeprrafopredeter"/>
    <w:uiPriority w:val="99"/>
    <w:semiHidden/>
    <w:unhideWhenUsed/>
    <w:rsid w:val="00F979EC"/>
    <w:rPr>
      <w:color w:val="800080" w:themeColor="followedHyperlink"/>
      <w:u w:val="single"/>
    </w:rPr>
  </w:style>
  <w:style w:type="paragraph" w:customStyle="1" w:styleId="LauraCuerpoInforme">
    <w:name w:val="Laura Cuerpo Informe"/>
    <w:basedOn w:val="Normal"/>
    <w:link w:val="LauraCuerpoInformeCar"/>
    <w:qFormat/>
    <w:rsid w:val="00F979EC"/>
    <w:pPr>
      <w:spacing w:after="0" w:line="240" w:lineRule="auto"/>
      <w:ind w:left="3905" w:hanging="360"/>
      <w:jc w:val="both"/>
    </w:pPr>
    <w:rPr>
      <w:rFonts w:cs="Arial"/>
      <w:b/>
      <w:color w:val="000000"/>
      <w:lang w:eastAsia="es-ES"/>
    </w:rPr>
  </w:style>
  <w:style w:type="character" w:customStyle="1" w:styleId="LauraCuerpoInformeCar">
    <w:name w:val="Laura Cuerpo Informe Car"/>
    <w:link w:val="LauraCuerpoInforme"/>
    <w:rsid w:val="00F979EC"/>
    <w:rPr>
      <w:rFonts w:ascii="Arial" w:hAnsi="Arial" w:cs="Arial"/>
      <w:b/>
      <w:color w:val="000000"/>
      <w:sz w:val="22"/>
      <w:szCs w:val="22"/>
      <w:lang w:val="es-ES" w:eastAsia="es-ES"/>
    </w:rPr>
  </w:style>
  <w:style w:type="paragraph" w:styleId="Listaconvietas">
    <w:name w:val="List Bullet"/>
    <w:basedOn w:val="Normal"/>
    <w:uiPriority w:val="99"/>
    <w:unhideWhenUsed/>
    <w:rsid w:val="00435AA2"/>
    <w:pPr>
      <w:numPr>
        <w:numId w:val="16"/>
      </w:numPr>
      <w:contextualSpacing/>
    </w:pPr>
  </w:style>
  <w:style w:type="table" w:styleId="Listaclara-nfasis1">
    <w:name w:val="Light List Accent 1"/>
    <w:basedOn w:val="Tablanormal"/>
    <w:uiPriority w:val="61"/>
    <w:rsid w:val="0002123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ueve">
    <w:name w:val="Nueve"/>
    <w:rsid w:val="00BC2936"/>
    <w:pPr>
      <w:widowControl w:val="0"/>
      <w:autoSpaceDE w:val="0"/>
      <w:autoSpaceDN w:val="0"/>
      <w:adjustRightInd w:val="0"/>
      <w:spacing w:before="113"/>
      <w:ind w:firstLine="283"/>
      <w:jc w:val="both"/>
    </w:pPr>
    <w:rPr>
      <w:rFonts w:ascii="Arial" w:eastAsia="Times New Roman" w:hAnsi="Arial" w:cs="Arial"/>
      <w:color w:val="000000"/>
      <w:sz w:val="24"/>
      <w:szCs w:val="24"/>
      <w:lang w:val="es-ES" w:eastAsia="es-ES"/>
    </w:rPr>
  </w:style>
  <w:style w:type="paragraph" w:styleId="Descripcin">
    <w:name w:val="caption"/>
    <w:aliases w:val="Car,Tablas,Figs y tabs,Título tabla/gráfica,Geomatica_Epígrafe,Epígrafe Car1,Epígrafe Car2,Epígrafe Car3,Epígrafe Car4,Epígrafe Car5,Epígrafe Car6,Epígrafe Car7,Epígrafe Car8,Epígrafe Car9,Epígrafe Car11,Epígrafe Car21,Epígrafe Car31"/>
    <w:basedOn w:val="Normal"/>
    <w:next w:val="Normal"/>
    <w:link w:val="DescripcinCar"/>
    <w:uiPriority w:val="35"/>
    <w:unhideWhenUsed/>
    <w:qFormat/>
    <w:rsid w:val="005A035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5A035D"/>
    <w:pPr>
      <w:spacing w:after="0"/>
    </w:pPr>
  </w:style>
  <w:style w:type="table" w:customStyle="1" w:styleId="Tabladecuadrcula3-nfasis31">
    <w:name w:val="Tabla de cuadrícula 3 - Énfasis 31"/>
    <w:basedOn w:val="Tablanormal"/>
    <w:uiPriority w:val="48"/>
    <w:rsid w:val="006557A4"/>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
    <w:name w:val="Tabla de cuadrícula 5 oscura - Énfasis 11"/>
    <w:basedOn w:val="Tablanormal"/>
    <w:uiPriority w:val="50"/>
    <w:rsid w:val="002254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uadrculamedia3-nfasis3">
    <w:name w:val="Medium Grid 3 Accent 3"/>
    <w:basedOn w:val="Tablanormal"/>
    <w:uiPriority w:val="69"/>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clara-nfasis3">
    <w:name w:val="Light Grid Accent 3"/>
    <w:basedOn w:val="Tablanormal"/>
    <w:uiPriority w:val="62"/>
    <w:rsid w:val="001A6EEA"/>
    <w:rPr>
      <w:rFonts w:asciiTheme="minorHAnsi" w:eastAsiaTheme="minorHAnsi"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
    <w:name w:val="Light Shading"/>
    <w:basedOn w:val="Tablanormal"/>
    <w:uiPriority w:val="60"/>
    <w:rsid w:val="00242CF5"/>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3-nfasis311">
    <w:name w:val="Tabla de cuadrícula 3 - Énfasis 311"/>
    <w:basedOn w:val="Tablanormal"/>
    <w:uiPriority w:val="48"/>
    <w:rsid w:val="0012366F"/>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adecuadrcula5oscura-nfasis111">
    <w:name w:val="Tabla de cuadrícula 5 oscura - Énfasis 111"/>
    <w:basedOn w:val="Tablanormal"/>
    <w:uiPriority w:val="50"/>
    <w:rsid w:val="0012366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n">
    <w:name w:val="Revision"/>
    <w:hidden/>
    <w:uiPriority w:val="99"/>
    <w:semiHidden/>
    <w:rsid w:val="006A78D0"/>
    <w:rPr>
      <w:rFonts w:ascii="Arial" w:hAnsi="Arial"/>
      <w:sz w:val="22"/>
      <w:szCs w:val="22"/>
      <w:lang w:val="es-ES" w:eastAsia="en-US"/>
    </w:rPr>
  </w:style>
  <w:style w:type="table" w:customStyle="1" w:styleId="Tabladecuadrcula4-nfasis62">
    <w:name w:val="Tabla de cuadrícula 4 - Énfasis 62"/>
    <w:basedOn w:val="Tablanormal"/>
    <w:uiPriority w:val="49"/>
    <w:rsid w:val="00B716E4"/>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Cuadrculamedia1-nfasis3">
    <w:name w:val="Medium Grid 1 Accent 3"/>
    <w:basedOn w:val="Tablanormal"/>
    <w:uiPriority w:val="67"/>
    <w:rsid w:val="00965584"/>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numbering" w:customStyle="1" w:styleId="Sinlista1">
    <w:name w:val="Sin lista1"/>
    <w:next w:val="Sinlista"/>
    <w:uiPriority w:val="99"/>
    <w:semiHidden/>
    <w:unhideWhenUsed/>
    <w:rsid w:val="00975DC5"/>
  </w:style>
  <w:style w:type="paragraph" w:styleId="Subttulo">
    <w:name w:val="Subtitle"/>
    <w:basedOn w:val="Normal"/>
    <w:next w:val="Normal"/>
    <w:link w:val="SubttuloCar"/>
    <w:uiPriority w:val="11"/>
    <w:qFormat/>
    <w:rsid w:val="0062601E"/>
    <w:pPr>
      <w:numPr>
        <w:ilvl w:val="1"/>
      </w:numPr>
      <w:spacing w:after="160" w:line="259" w:lineRule="auto"/>
    </w:pPr>
    <w:rPr>
      <w:rFonts w:ascii="Calibri" w:eastAsia="Times New Roman" w:hAnsi="Calibri"/>
      <w:color w:val="5A5A5A"/>
      <w:spacing w:val="15"/>
      <w:lang w:val="es-CO"/>
    </w:rPr>
  </w:style>
  <w:style w:type="character" w:customStyle="1" w:styleId="SubttuloCar">
    <w:name w:val="Subtítulo Car"/>
    <w:basedOn w:val="Fuentedeprrafopredeter"/>
    <w:link w:val="Subttulo"/>
    <w:uiPriority w:val="11"/>
    <w:rsid w:val="0062601E"/>
    <w:rPr>
      <w:rFonts w:eastAsia="Times New Roman"/>
      <w:color w:val="5A5A5A"/>
      <w:spacing w:val="15"/>
      <w:sz w:val="22"/>
      <w:szCs w:val="22"/>
      <w:lang w:eastAsia="en-US"/>
    </w:rPr>
  </w:style>
  <w:style w:type="character" w:styleId="nfasisintenso">
    <w:name w:val="Intense Emphasis"/>
    <w:uiPriority w:val="21"/>
    <w:qFormat/>
    <w:rsid w:val="0062601E"/>
    <w:rPr>
      <w:i/>
      <w:iCs/>
      <w:color w:val="5B9BD5"/>
    </w:rPr>
  </w:style>
  <w:style w:type="table" w:customStyle="1" w:styleId="Tabladecuadrcula4-nfasis31">
    <w:name w:val="Tabla de cuadrícula 4 - Énfasis 31"/>
    <w:basedOn w:val="Tablanormal"/>
    <w:uiPriority w:val="49"/>
    <w:rsid w:val="0062601E"/>
    <w:rPr>
      <w:lang w:eastAsia="es-ES_tradnl"/>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ibliografa">
    <w:name w:val="Bibliography"/>
    <w:basedOn w:val="Normal"/>
    <w:next w:val="Normal"/>
    <w:uiPriority w:val="37"/>
    <w:unhideWhenUsed/>
    <w:rsid w:val="0062601E"/>
    <w:rPr>
      <w:rFonts w:ascii="Calibri" w:hAnsi="Calibri"/>
    </w:rPr>
  </w:style>
  <w:style w:type="table" w:customStyle="1" w:styleId="Tablanormal31">
    <w:name w:val="Tabla normal 31"/>
    <w:basedOn w:val="Tablanormal"/>
    <w:uiPriority w:val="43"/>
    <w:rsid w:val="0062601E"/>
    <w:rPr>
      <w:lang w:eastAsia="es-ES_tradnl"/>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normal21">
    <w:name w:val="Tabla normal 21"/>
    <w:basedOn w:val="Tablanormal"/>
    <w:uiPriority w:val="42"/>
    <w:rsid w:val="0062601E"/>
    <w:rPr>
      <w:lang w:eastAsia="es-ES_tradn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21">
    <w:name w:val="Tabla de cuadrícula 21"/>
    <w:basedOn w:val="Tablanormal"/>
    <w:uiPriority w:val="47"/>
    <w:rsid w:val="0062601E"/>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avistosa-nfasis1Car">
    <w:name w:val="Lista vistosa - Énfasis 1 Car"/>
    <w:link w:val="Listavistosa-nfasis1"/>
    <w:uiPriority w:val="34"/>
    <w:locked/>
    <w:rsid w:val="0062601E"/>
    <w:rPr>
      <w:sz w:val="22"/>
      <w:szCs w:val="22"/>
      <w:lang w:val="es-MX" w:eastAsia="en-US"/>
    </w:rPr>
  </w:style>
  <w:style w:type="table" w:styleId="Listavistosa-nfasis1">
    <w:name w:val="Colorful List Accent 1"/>
    <w:basedOn w:val="Tablanormal"/>
    <w:link w:val="Listavistosa-nfasis1Car"/>
    <w:uiPriority w:val="34"/>
    <w:unhideWhenUsed/>
    <w:rsid w:val="0062601E"/>
    <w:rPr>
      <w:sz w:val="22"/>
      <w:szCs w:val="22"/>
      <w:lang w:val="es-MX"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ladelista1clara1">
    <w:name w:val="Tabla de lista 1 clara1"/>
    <w:basedOn w:val="Tablanormal"/>
    <w:uiPriority w:val="46"/>
    <w:rsid w:val="0062601E"/>
    <w:rPr>
      <w:lang w:eastAsia="es-ES_tradnl"/>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6concolores1">
    <w:name w:val="Tabla de cuadrícula 6 con colores1"/>
    <w:basedOn w:val="Tablanormal"/>
    <w:uiPriority w:val="51"/>
    <w:rsid w:val="0062601E"/>
    <w:rPr>
      <w:color w:val="000000" w:themeColor="text1"/>
      <w:lang w:eastAsia="es-ES_tradnl"/>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sinformato">
    <w:name w:val="Plain Text"/>
    <w:basedOn w:val="Normal"/>
    <w:link w:val="TextosinformatoCar"/>
    <w:uiPriority w:val="99"/>
    <w:unhideWhenUsed/>
    <w:rsid w:val="0062601E"/>
    <w:pPr>
      <w:spacing w:after="0" w:line="240" w:lineRule="auto"/>
    </w:pPr>
    <w:rPr>
      <w:rFonts w:ascii="Calibri" w:hAnsi="Calibri"/>
      <w:szCs w:val="21"/>
      <w:lang w:val="es-CO"/>
    </w:rPr>
  </w:style>
  <w:style w:type="character" w:customStyle="1" w:styleId="TextosinformatoCar">
    <w:name w:val="Texto sin formato Car"/>
    <w:basedOn w:val="Fuentedeprrafopredeter"/>
    <w:link w:val="Textosinformato"/>
    <w:uiPriority w:val="99"/>
    <w:rsid w:val="0062601E"/>
    <w:rPr>
      <w:sz w:val="22"/>
      <w:szCs w:val="21"/>
      <w:lang w:eastAsia="en-US"/>
    </w:rPr>
  </w:style>
  <w:style w:type="table" w:styleId="Listaclara-nfasis3">
    <w:name w:val="Light List Accent 3"/>
    <w:basedOn w:val="Tablanormal"/>
    <w:uiPriority w:val="61"/>
    <w:rsid w:val="00A37CBC"/>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delista3-nfasis31">
    <w:name w:val="Tabla de lista 3 - Énfasis 31"/>
    <w:basedOn w:val="Tablanormal"/>
    <w:uiPriority w:val="48"/>
    <w:rsid w:val="00A37CBC"/>
    <w:rPr>
      <w:lang w:eastAsia="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adecuadrcula6concolores-nfasis31">
    <w:name w:val="Tabla de cuadrícula 6 con colores - Énfasis 31"/>
    <w:basedOn w:val="Tablanormal"/>
    <w:uiPriority w:val="51"/>
    <w:rsid w:val="00A37CBC"/>
    <w:rPr>
      <w:color w:val="76923C" w:themeColor="accent3" w:themeShade="BF"/>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gc">
    <w:name w:val="_tgc"/>
    <w:basedOn w:val="Fuentedeprrafopredeter"/>
    <w:rsid w:val="00A37CBC"/>
  </w:style>
  <w:style w:type="paragraph" w:styleId="Textonotaalfinal">
    <w:name w:val="endnote text"/>
    <w:basedOn w:val="Normal"/>
    <w:link w:val="TextonotaalfinalCar"/>
    <w:uiPriority w:val="99"/>
    <w:unhideWhenUsed/>
    <w:rsid w:val="00B522F5"/>
    <w:pPr>
      <w:spacing w:after="0" w:line="240" w:lineRule="auto"/>
    </w:pPr>
    <w:rPr>
      <w:rFonts w:ascii="Calibri" w:hAnsi="Calibri"/>
      <w:sz w:val="20"/>
      <w:szCs w:val="20"/>
      <w:lang w:val="es-CO"/>
    </w:rPr>
  </w:style>
  <w:style w:type="character" w:customStyle="1" w:styleId="TextonotaalfinalCar">
    <w:name w:val="Texto nota al final Car"/>
    <w:basedOn w:val="Fuentedeprrafopredeter"/>
    <w:link w:val="Textonotaalfinal"/>
    <w:uiPriority w:val="99"/>
    <w:rsid w:val="00B522F5"/>
    <w:rPr>
      <w:lang w:eastAsia="en-US"/>
    </w:rPr>
  </w:style>
  <w:style w:type="table" w:styleId="Cuadrculamedia1-nfasis5">
    <w:name w:val="Medium Grid 1 Accent 5"/>
    <w:basedOn w:val="Tablanormal"/>
    <w:uiPriority w:val="67"/>
    <w:rsid w:val="00B522F5"/>
    <w:rPr>
      <w:rFonts w:asciiTheme="minorHAnsi" w:eastAsiaTheme="minorEastAsia" w:hAnsiTheme="minorHAnsi" w:cstheme="minorBidi"/>
      <w:sz w:val="24"/>
      <w:szCs w:val="24"/>
      <w:lang w:val="es-ES_tradnl" w:eastAsia="es-E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ombreadomedio1-nfasis4">
    <w:name w:val="Medium Shading 1 Accent 4"/>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B522F5"/>
    <w:rPr>
      <w:rFonts w:asciiTheme="minorHAnsi" w:eastAsiaTheme="minorEastAsia" w:hAnsiTheme="minorHAnsi" w:cstheme="minorBidi"/>
      <w:sz w:val="24"/>
      <w:szCs w:val="24"/>
      <w:lang w:val="es-ES_tradnl" w:eastAsia="es-E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clara">
    <w:name w:val="Light List"/>
    <w:basedOn w:val="Tablanormal"/>
    <w:uiPriority w:val="61"/>
    <w:rsid w:val="00B522F5"/>
    <w:rPr>
      <w:rFonts w:asciiTheme="minorHAnsi" w:eastAsiaTheme="minorEastAsia" w:hAnsiTheme="minorHAnsi" w:cstheme="minorBidi"/>
      <w:sz w:val="24"/>
      <w:szCs w:val="24"/>
      <w:lang w:val="es-ES_tradnl" w:eastAsia="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32">
    <w:name w:val="Tabla de cuadrícula 4 - Énfasis 32"/>
    <w:basedOn w:val="Tablanormal"/>
    <w:uiPriority w:val="49"/>
    <w:rsid w:val="00332BE3"/>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auraCuerpoinformeCar0">
    <w:name w:val="laura Cuerpo informe Car"/>
    <w:rsid w:val="00243D96"/>
    <w:rPr>
      <w:rFonts w:ascii="Arial" w:hAnsi="Arial" w:cs="Arial"/>
      <w:color w:val="000000"/>
      <w:sz w:val="22"/>
      <w:szCs w:val="22"/>
      <w:lang w:val="es-ES" w:eastAsia="es-ES"/>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3F1CFC"/>
    <w:rPr>
      <w:rFonts w:ascii="Arial" w:hAnsi="Arial" w:cs="Arial"/>
      <w:sz w:val="18"/>
      <w:szCs w:val="18"/>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3F1CFC"/>
    <w:pPr>
      <w:widowControl w:val="0"/>
      <w:shd w:val="clear" w:color="auto" w:fill="FFFFFF"/>
      <w:spacing w:before="300" w:after="300" w:line="230" w:lineRule="exact"/>
      <w:ind w:hanging="720"/>
      <w:jc w:val="both"/>
    </w:pPr>
    <w:rPr>
      <w:rFonts w:cs="Arial"/>
      <w:sz w:val="18"/>
      <w:szCs w:val="18"/>
      <w:lang w:val="es-CO" w:eastAsia="es-CO"/>
    </w:rPr>
  </w:style>
  <w:style w:type="paragraph" w:styleId="Textoindependiente3">
    <w:name w:val="Body Text 3"/>
    <w:basedOn w:val="Normal"/>
    <w:link w:val="Textoindependiente3Car"/>
    <w:uiPriority w:val="99"/>
    <w:unhideWhenUsed/>
    <w:rsid w:val="003F1CFC"/>
    <w:pPr>
      <w:spacing w:after="120"/>
    </w:pPr>
    <w:rPr>
      <w:rFonts w:ascii="Calibri" w:eastAsia="Times New Roman" w:hAnsi="Calibri"/>
      <w:sz w:val="16"/>
      <w:szCs w:val="16"/>
      <w:lang w:val="es-CO" w:eastAsia="es-CO"/>
    </w:rPr>
  </w:style>
  <w:style w:type="character" w:customStyle="1" w:styleId="Textoindependiente3Car">
    <w:name w:val="Texto independiente 3 Car"/>
    <w:basedOn w:val="Fuentedeprrafopredeter"/>
    <w:link w:val="Textoindependiente3"/>
    <w:uiPriority w:val="99"/>
    <w:rsid w:val="003F1CFC"/>
    <w:rPr>
      <w:rFonts w:eastAsia="Times New Roman"/>
      <w:sz w:val="16"/>
      <w:szCs w:val="16"/>
    </w:rPr>
  </w:style>
  <w:style w:type="character" w:customStyle="1" w:styleId="texto-pequeno1">
    <w:name w:val="texto-pequeno1"/>
    <w:rsid w:val="003F1CFC"/>
    <w:rPr>
      <w:b w:val="0"/>
      <w:bCs w:val="0"/>
      <w:strike w:val="0"/>
      <w:dstrike w:val="0"/>
      <w:color w:val="666666"/>
      <w:sz w:val="17"/>
      <w:szCs w:val="17"/>
      <w:u w:val="none"/>
      <w:effect w:val="none"/>
    </w:rPr>
  </w:style>
  <w:style w:type="paragraph" w:customStyle="1" w:styleId="xl205">
    <w:name w:val="xl20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6">
    <w:name w:val="xl20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7">
    <w:name w:val="xl207"/>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textAlignment w:val="center"/>
    </w:pPr>
    <w:rPr>
      <w:rFonts w:ascii="Arial Narrow" w:eastAsia="Times New Roman" w:hAnsi="Arial Narrow"/>
      <w:b/>
      <w:bCs/>
      <w:sz w:val="24"/>
      <w:szCs w:val="24"/>
      <w:lang w:val="es-CO" w:eastAsia="es-CO"/>
    </w:rPr>
  </w:style>
  <w:style w:type="paragraph" w:customStyle="1" w:styleId="xl208">
    <w:name w:val="xl208"/>
    <w:basedOn w:val="Normal"/>
    <w:rsid w:val="003F1CFC"/>
    <w:pPr>
      <w:spacing w:beforeAutospacing="1" w:after="100" w:afterAutospacing="1" w:line="240" w:lineRule="auto"/>
      <w:jc w:val="both"/>
    </w:pPr>
    <w:rPr>
      <w:rFonts w:ascii="Times New Roman" w:eastAsia="Times New Roman" w:hAnsi="Times New Roman"/>
      <w:sz w:val="24"/>
      <w:szCs w:val="24"/>
      <w:lang w:val="es-CO" w:eastAsia="es-CO"/>
    </w:rPr>
  </w:style>
  <w:style w:type="paragraph" w:customStyle="1" w:styleId="xl209">
    <w:name w:val="xl209"/>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0">
    <w:name w:val="xl210"/>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1">
    <w:name w:val="xl211"/>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2">
    <w:name w:val="xl212"/>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13">
    <w:name w:val="xl213"/>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4">
    <w:name w:val="xl214"/>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15">
    <w:name w:val="xl215"/>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16">
    <w:name w:val="xl216"/>
    <w:basedOn w:val="Normal"/>
    <w:rsid w:val="003F1CFC"/>
    <w:pPr>
      <w:pBdr>
        <w:top w:val="single" w:sz="4" w:space="0" w:color="948A54"/>
        <w:left w:val="single" w:sz="4" w:space="0" w:color="948A54"/>
        <w:bottom w:val="single" w:sz="4" w:space="0" w:color="948A54"/>
        <w:right w:val="single" w:sz="4" w:space="0" w:color="948A54"/>
      </w:pBdr>
      <w:shd w:val="clear" w:color="000000" w:fill="EBF1DE"/>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17">
    <w:name w:val="xl217"/>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18">
    <w:name w:val="xl218"/>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b/>
      <w:bCs/>
      <w:sz w:val="24"/>
      <w:szCs w:val="24"/>
      <w:lang w:val="es-CO" w:eastAsia="es-CO"/>
    </w:rPr>
  </w:style>
  <w:style w:type="paragraph" w:customStyle="1" w:styleId="xl219">
    <w:name w:val="xl219"/>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b/>
      <w:bCs/>
      <w:sz w:val="24"/>
      <w:szCs w:val="24"/>
      <w:lang w:val="es-CO" w:eastAsia="es-CO"/>
    </w:rPr>
  </w:style>
  <w:style w:type="paragraph" w:customStyle="1" w:styleId="xl220">
    <w:name w:val="xl220"/>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b/>
      <w:bCs/>
      <w:sz w:val="24"/>
      <w:szCs w:val="24"/>
      <w:lang w:val="es-CO" w:eastAsia="es-CO"/>
    </w:rPr>
  </w:style>
  <w:style w:type="paragraph" w:customStyle="1" w:styleId="xl221">
    <w:name w:val="xl221"/>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2">
    <w:name w:val="xl222"/>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223">
    <w:name w:val="xl223"/>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4">
    <w:name w:val="xl224"/>
    <w:basedOn w:val="Normal"/>
    <w:rsid w:val="003F1CFC"/>
    <w:pPr>
      <w:pBdr>
        <w:top w:val="single" w:sz="4" w:space="0" w:color="948A54"/>
        <w:left w:val="single" w:sz="4" w:space="0" w:color="948A54"/>
        <w:bottom w:val="single" w:sz="4" w:space="0" w:color="948A54"/>
        <w:right w:val="single" w:sz="4" w:space="0" w:color="948A54"/>
      </w:pBdr>
      <w:spacing w:beforeAutospacing="1" w:after="100" w:afterAutospacing="1" w:line="240" w:lineRule="auto"/>
      <w:jc w:val="right"/>
    </w:pPr>
    <w:rPr>
      <w:rFonts w:ascii="Arial Narrow" w:eastAsia="Times New Roman" w:hAnsi="Arial Narrow"/>
      <w:sz w:val="24"/>
      <w:szCs w:val="24"/>
      <w:lang w:val="es-CO" w:eastAsia="es-CO"/>
    </w:rPr>
  </w:style>
  <w:style w:type="paragraph" w:customStyle="1" w:styleId="xl225">
    <w:name w:val="xl225"/>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paragraph" w:customStyle="1" w:styleId="xl226">
    <w:name w:val="xl226"/>
    <w:basedOn w:val="Normal"/>
    <w:rsid w:val="003F1CFC"/>
    <w:pPr>
      <w:spacing w:beforeAutospacing="1" w:after="100" w:afterAutospacing="1" w:line="240" w:lineRule="auto"/>
      <w:jc w:val="both"/>
    </w:pPr>
    <w:rPr>
      <w:rFonts w:ascii="Arial Narrow" w:eastAsia="Times New Roman" w:hAnsi="Arial Narrow"/>
      <w:sz w:val="24"/>
      <w:szCs w:val="24"/>
      <w:lang w:val="es-CO" w:eastAsia="es-CO"/>
    </w:rPr>
  </w:style>
  <w:style w:type="table" w:styleId="Sombreadomedio2-nfasis3">
    <w:name w:val="Medium Shading 2 Accent 3"/>
    <w:basedOn w:val="Tablanormal"/>
    <w:uiPriority w:val="64"/>
    <w:rsid w:val="003F1CFC"/>
    <w:rPr>
      <w:rFonts w:ascii="Arial" w:eastAsia="Times New Roman" w:hAnsi="Arial"/>
      <w:lang w:val="es-ES_tradn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Puesto">
    <w:name w:val="Title"/>
    <w:basedOn w:val="Normal"/>
    <w:next w:val="Normal"/>
    <w:link w:val="PuestoCar"/>
    <w:uiPriority w:val="10"/>
    <w:qFormat/>
    <w:rsid w:val="003F1CFC"/>
    <w:pPr>
      <w:spacing w:after="0" w:line="240" w:lineRule="auto"/>
      <w:contextualSpacing/>
    </w:pPr>
    <w:rPr>
      <w:rFonts w:ascii="Calibri Light" w:eastAsia="SimSun" w:hAnsi="Calibri Light"/>
      <w:color w:val="262626"/>
      <w:sz w:val="96"/>
      <w:szCs w:val="96"/>
      <w:lang w:val="es-CO" w:eastAsia="es-CO"/>
    </w:rPr>
  </w:style>
  <w:style w:type="character" w:customStyle="1" w:styleId="PuestoCar">
    <w:name w:val="Puesto Car"/>
    <w:basedOn w:val="Fuentedeprrafopredeter"/>
    <w:link w:val="Puesto"/>
    <w:uiPriority w:val="10"/>
    <w:rsid w:val="003F1CFC"/>
    <w:rPr>
      <w:rFonts w:ascii="Calibri Light" w:eastAsia="SimSun" w:hAnsi="Calibri Light"/>
      <w:color w:val="262626"/>
      <w:sz w:val="96"/>
      <w:szCs w:val="96"/>
    </w:rPr>
  </w:style>
  <w:style w:type="paragraph" w:styleId="Sangradetextonormal">
    <w:name w:val="Body Text Indent"/>
    <w:basedOn w:val="Normal"/>
    <w:link w:val="SangradetextonormalCar"/>
    <w:uiPriority w:val="99"/>
    <w:rsid w:val="003F1CFC"/>
    <w:pPr>
      <w:spacing w:after="0" w:line="240" w:lineRule="auto"/>
      <w:ind w:left="426"/>
    </w:pPr>
    <w:rPr>
      <w:rFonts w:eastAsia="Times New Roman"/>
      <w:b/>
      <w:bCs/>
      <w:sz w:val="21"/>
      <w:szCs w:val="21"/>
      <w:lang w:val="es-CO" w:eastAsia="x-none"/>
    </w:rPr>
  </w:style>
  <w:style w:type="character" w:customStyle="1" w:styleId="SangradetextonormalCar">
    <w:name w:val="Sangría de texto normal Car"/>
    <w:basedOn w:val="Fuentedeprrafopredeter"/>
    <w:link w:val="Sangradetextonormal"/>
    <w:uiPriority w:val="99"/>
    <w:rsid w:val="003F1CFC"/>
    <w:rPr>
      <w:rFonts w:ascii="Arial" w:eastAsia="Times New Roman" w:hAnsi="Arial"/>
      <w:b/>
      <w:bCs/>
      <w:sz w:val="21"/>
      <w:szCs w:val="21"/>
      <w:lang w:eastAsia="x-none"/>
    </w:rPr>
  </w:style>
  <w:style w:type="paragraph" w:customStyle="1" w:styleId="Estilo1">
    <w:name w:val="Estilo1"/>
    <w:basedOn w:val="Normal"/>
    <w:link w:val="Estilo1Car"/>
    <w:rsid w:val="003F1CFC"/>
    <w:pPr>
      <w:numPr>
        <w:numId w:val="97"/>
      </w:numPr>
      <w:spacing w:after="0" w:line="240" w:lineRule="auto"/>
      <w:ind w:left="284" w:hanging="284"/>
    </w:pPr>
    <w:rPr>
      <w:rFonts w:ascii="Arial Narrow" w:eastAsia="Times New Roman" w:hAnsi="Arial Narrow"/>
      <w:b/>
      <w:sz w:val="24"/>
      <w:szCs w:val="24"/>
      <w:lang w:val="es-CO" w:eastAsia="es-CO"/>
    </w:rPr>
  </w:style>
  <w:style w:type="character" w:customStyle="1" w:styleId="Estilo1Car">
    <w:name w:val="Estilo1 Car"/>
    <w:link w:val="Estilo1"/>
    <w:rsid w:val="003F1CFC"/>
    <w:rPr>
      <w:rFonts w:ascii="Arial Narrow" w:eastAsia="Times New Roman" w:hAnsi="Arial Narrow"/>
      <w:b/>
      <w:sz w:val="24"/>
      <w:szCs w:val="24"/>
    </w:rPr>
  </w:style>
  <w:style w:type="paragraph" w:customStyle="1" w:styleId="font5">
    <w:name w:val="font5"/>
    <w:basedOn w:val="Normal"/>
    <w:rsid w:val="003F1CFC"/>
    <w:pPr>
      <w:spacing w:beforeAutospacing="1" w:after="100" w:afterAutospacing="1" w:line="240" w:lineRule="auto"/>
    </w:pPr>
    <w:rPr>
      <w:rFonts w:eastAsia="Times New Roman" w:cs="Arial"/>
      <w:color w:val="000000"/>
      <w:sz w:val="18"/>
      <w:szCs w:val="18"/>
      <w:lang w:val="es-CO" w:eastAsia="es-CO"/>
    </w:rPr>
  </w:style>
  <w:style w:type="paragraph" w:customStyle="1" w:styleId="xl64">
    <w:name w:val="xl64"/>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5">
    <w:name w:val="xl65"/>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6">
    <w:name w:val="xl66"/>
    <w:basedOn w:val="Normal"/>
    <w:rsid w:val="003F1CFC"/>
    <w:pPr>
      <w:pBdr>
        <w:top w:val="single" w:sz="4" w:space="0" w:color="auto"/>
        <w:left w:val="single" w:sz="4" w:space="0" w:color="auto"/>
        <w:bottom w:val="single" w:sz="4" w:space="0" w:color="auto"/>
        <w:right w:val="single" w:sz="4" w:space="0" w:color="auto"/>
      </w:pBdr>
      <w:shd w:val="clear" w:color="000000" w:fill="8DB4E3"/>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7">
    <w:name w:val="xl67"/>
    <w:basedOn w:val="Normal"/>
    <w:rsid w:val="003F1CFC"/>
    <w:pPr>
      <w:spacing w:beforeAutospacing="1" w:after="100" w:afterAutospacing="1" w:line="240" w:lineRule="auto"/>
    </w:pPr>
    <w:rPr>
      <w:rFonts w:ascii="Times New Roman" w:eastAsia="Times New Roman" w:hAnsi="Times New Roman"/>
      <w:sz w:val="18"/>
      <w:szCs w:val="18"/>
      <w:lang w:val="es-CO" w:eastAsia="es-CO"/>
    </w:rPr>
  </w:style>
  <w:style w:type="paragraph" w:customStyle="1" w:styleId="xl68">
    <w:name w:val="xl68"/>
    <w:basedOn w:val="Normal"/>
    <w:rsid w:val="003F1CFC"/>
    <w:pPr>
      <w:pBdr>
        <w:top w:val="single" w:sz="4" w:space="0" w:color="auto"/>
        <w:left w:val="single" w:sz="4" w:space="0" w:color="auto"/>
        <w:bottom w:val="single" w:sz="4" w:space="0" w:color="auto"/>
        <w:right w:val="single" w:sz="4" w:space="0" w:color="auto"/>
      </w:pBdr>
      <w:shd w:val="clear" w:color="DBE5F1"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69">
    <w:name w:val="xl69"/>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0">
    <w:name w:val="xl7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1">
    <w:name w:val="xl7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2">
    <w:name w:val="xl72"/>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3">
    <w:name w:val="xl73"/>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4">
    <w:name w:val="xl74"/>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75">
    <w:name w:val="xl75"/>
    <w:basedOn w:val="Normal"/>
    <w:rsid w:val="003F1CFC"/>
    <w:pPr>
      <w:pBdr>
        <w:top w:val="single" w:sz="4" w:space="0" w:color="auto"/>
        <w:left w:val="single" w:sz="4" w:space="0" w:color="auto"/>
        <w:bottom w:val="single" w:sz="4" w:space="0" w:color="auto"/>
        <w:right w:val="single" w:sz="4" w:space="0" w:color="auto"/>
      </w:pBdr>
      <w:shd w:val="clear" w:color="B8CCE4"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6">
    <w:name w:val="xl76"/>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eastAsia="Times New Roman" w:cs="Arial"/>
      <w:sz w:val="18"/>
      <w:szCs w:val="18"/>
      <w:lang w:val="es-CO" w:eastAsia="es-CO"/>
    </w:rPr>
  </w:style>
  <w:style w:type="paragraph" w:customStyle="1" w:styleId="xl77">
    <w:name w:val="xl77"/>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8">
    <w:name w:val="xl78"/>
    <w:basedOn w:val="Normal"/>
    <w:rsid w:val="003F1CFC"/>
    <w:pPr>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xl79">
    <w:name w:val="xl79"/>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color w:val="000000"/>
      <w:sz w:val="18"/>
      <w:szCs w:val="18"/>
      <w:lang w:val="es-CO" w:eastAsia="es-CO"/>
    </w:rPr>
  </w:style>
  <w:style w:type="paragraph" w:customStyle="1" w:styleId="xl80">
    <w:name w:val="xl80"/>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pPr>
    <w:rPr>
      <w:rFonts w:ascii="Times New Roman" w:eastAsia="Times New Roman" w:hAnsi="Times New Roman"/>
      <w:color w:val="000000"/>
      <w:sz w:val="18"/>
      <w:szCs w:val="18"/>
      <w:lang w:val="es-CO" w:eastAsia="es-CO"/>
    </w:rPr>
  </w:style>
  <w:style w:type="paragraph" w:customStyle="1" w:styleId="xl81">
    <w:name w:val="xl81"/>
    <w:basedOn w:val="Normal"/>
    <w:rsid w:val="003F1CFC"/>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center"/>
    </w:pPr>
    <w:rPr>
      <w:rFonts w:ascii="Times New Roman" w:eastAsia="Times New Roman" w:hAnsi="Times New Roman"/>
      <w:sz w:val="18"/>
      <w:szCs w:val="18"/>
      <w:lang w:val="es-CO" w:eastAsia="es-CO"/>
    </w:rPr>
  </w:style>
  <w:style w:type="paragraph" w:customStyle="1" w:styleId="xl82">
    <w:name w:val="xl82"/>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color w:val="000000"/>
      <w:sz w:val="18"/>
      <w:szCs w:val="18"/>
      <w:lang w:val="es-CO" w:eastAsia="es-CO"/>
    </w:rPr>
  </w:style>
  <w:style w:type="paragraph" w:customStyle="1" w:styleId="xl83">
    <w:name w:val="xl83"/>
    <w:basedOn w:val="Normal"/>
    <w:rsid w:val="003F1CFC"/>
    <w:pPr>
      <w:pBdr>
        <w:top w:val="single" w:sz="4" w:space="0" w:color="auto"/>
        <w:left w:val="single" w:sz="4" w:space="0" w:color="auto"/>
        <w:bottom w:val="single" w:sz="4" w:space="0" w:color="auto"/>
        <w:right w:val="single" w:sz="4" w:space="0" w:color="auto"/>
      </w:pBdr>
      <w:shd w:val="clear" w:color="000000" w:fill="FFFFFF"/>
      <w:spacing w:beforeAutospacing="1" w:after="100" w:afterAutospacing="1" w:line="240" w:lineRule="auto"/>
      <w:jc w:val="center"/>
      <w:textAlignment w:val="center"/>
    </w:pPr>
    <w:rPr>
      <w:rFonts w:ascii="Times New Roman" w:eastAsia="Times New Roman" w:hAnsi="Times New Roman"/>
      <w:sz w:val="18"/>
      <w:szCs w:val="18"/>
      <w:lang w:val="es-CO" w:eastAsia="es-CO"/>
    </w:rPr>
  </w:style>
  <w:style w:type="paragraph" w:customStyle="1" w:styleId="CM34">
    <w:name w:val="CM34"/>
    <w:basedOn w:val="Default"/>
    <w:next w:val="Default"/>
    <w:uiPriority w:val="99"/>
    <w:rsid w:val="003F1CFC"/>
    <w:pPr>
      <w:spacing w:before="100" w:after="200" w:line="276" w:lineRule="auto"/>
    </w:pPr>
    <w:rPr>
      <w:rFonts w:ascii="Arial" w:eastAsia="Times New Roman" w:hAnsi="Arial" w:cs="Arial"/>
      <w:color w:val="auto"/>
      <w:lang w:val="es-ES" w:eastAsia="en-US"/>
    </w:rPr>
  </w:style>
  <w:style w:type="table" w:customStyle="1" w:styleId="Listamedia11">
    <w:name w:val="Lista media 11"/>
    <w:basedOn w:val="Tablanormal"/>
    <w:uiPriority w:val="65"/>
    <w:rsid w:val="003F1CFC"/>
    <w:rPr>
      <w:rFonts w:ascii="Arial" w:eastAsia="Times New Roman" w:hAnsi="Arial"/>
      <w:color w:val="000000"/>
      <w:lang w:val="es-ES_trad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Math" w:eastAsia="Times New Roman" w:hAnsi="Cambria Math"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Textopredeterminado">
    <w:name w:val="Texto predeterminado"/>
    <w:basedOn w:val="Normal"/>
    <w:rsid w:val="003F1CFC"/>
    <w:pPr>
      <w:autoSpaceDE w:val="0"/>
      <w:autoSpaceDN w:val="0"/>
      <w:adjustRightInd w:val="0"/>
      <w:spacing w:after="0" w:line="240" w:lineRule="auto"/>
      <w:jc w:val="both"/>
    </w:pPr>
    <w:rPr>
      <w:rFonts w:eastAsia="Times New Roman"/>
      <w:sz w:val="24"/>
      <w:szCs w:val="21"/>
      <w:lang w:val="en-US" w:eastAsia="es-CO"/>
    </w:rPr>
  </w:style>
  <w:style w:type="paragraph" w:customStyle="1" w:styleId="CM10">
    <w:name w:val="CM10"/>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paragraph" w:customStyle="1" w:styleId="CM12">
    <w:name w:val="CM12"/>
    <w:basedOn w:val="Normal"/>
    <w:next w:val="Normal"/>
    <w:uiPriority w:val="99"/>
    <w:rsid w:val="003F1CFC"/>
    <w:pPr>
      <w:autoSpaceDE w:val="0"/>
      <w:autoSpaceDN w:val="0"/>
      <w:adjustRightInd w:val="0"/>
      <w:spacing w:after="0" w:line="240" w:lineRule="auto"/>
    </w:pPr>
    <w:rPr>
      <w:rFonts w:cs="Arial"/>
      <w:sz w:val="24"/>
      <w:szCs w:val="24"/>
      <w:lang w:val="es-CO" w:eastAsia="es-CO"/>
    </w:rPr>
  </w:style>
  <w:style w:type="table" w:customStyle="1" w:styleId="Tabladelista6concolores1">
    <w:name w:val="Tabla de lista 6 con colores1"/>
    <w:basedOn w:val="Tablanormal"/>
    <w:uiPriority w:val="51"/>
    <w:rsid w:val="003F1CFC"/>
    <w:rPr>
      <w:rFonts w:eastAsia="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ita">
    <w:name w:val="Quote"/>
    <w:basedOn w:val="Normal"/>
    <w:next w:val="Normal"/>
    <w:link w:val="CitaCar"/>
    <w:uiPriority w:val="29"/>
    <w:qFormat/>
    <w:rsid w:val="003F1CFC"/>
    <w:pPr>
      <w:spacing w:before="160" w:after="160"/>
      <w:ind w:left="720" w:right="720"/>
      <w:jc w:val="center"/>
    </w:pPr>
    <w:rPr>
      <w:rFonts w:ascii="Calibri Light" w:eastAsia="SimSun" w:hAnsi="Calibri Light"/>
      <w:color w:val="000000"/>
      <w:sz w:val="24"/>
      <w:szCs w:val="24"/>
      <w:lang w:val="es-CO" w:eastAsia="es-CO"/>
    </w:rPr>
  </w:style>
  <w:style w:type="character" w:customStyle="1" w:styleId="CitaCar">
    <w:name w:val="Cita Car"/>
    <w:basedOn w:val="Fuentedeprrafopredeter"/>
    <w:link w:val="Cita"/>
    <w:uiPriority w:val="29"/>
    <w:rsid w:val="003F1CFC"/>
    <w:rPr>
      <w:rFonts w:ascii="Calibri Light" w:eastAsia="SimSun" w:hAnsi="Calibri Light"/>
      <w:color w:val="000000"/>
      <w:sz w:val="24"/>
      <w:szCs w:val="24"/>
    </w:rPr>
  </w:style>
  <w:style w:type="paragraph" w:styleId="Citadestacada">
    <w:name w:val="Intense Quote"/>
    <w:basedOn w:val="Normal"/>
    <w:next w:val="Normal"/>
    <w:link w:val="CitadestacadaCar"/>
    <w:uiPriority w:val="30"/>
    <w:qFormat/>
    <w:rsid w:val="003F1CFC"/>
    <w:pPr>
      <w:pBdr>
        <w:top w:val="single" w:sz="24" w:space="4" w:color="ED7D31"/>
      </w:pBdr>
      <w:spacing w:before="240" w:after="240" w:line="240" w:lineRule="auto"/>
      <w:ind w:left="936" w:right="936"/>
      <w:jc w:val="center"/>
    </w:pPr>
    <w:rPr>
      <w:rFonts w:ascii="Calibri Light" w:eastAsia="SimSun" w:hAnsi="Calibri Light"/>
      <w:sz w:val="24"/>
      <w:szCs w:val="24"/>
      <w:lang w:val="es-CO" w:eastAsia="es-CO"/>
    </w:rPr>
  </w:style>
  <w:style w:type="character" w:customStyle="1" w:styleId="CitadestacadaCar">
    <w:name w:val="Cita destacada Car"/>
    <w:basedOn w:val="Fuentedeprrafopredeter"/>
    <w:link w:val="Citadestacada"/>
    <w:uiPriority w:val="30"/>
    <w:rsid w:val="003F1CFC"/>
    <w:rPr>
      <w:rFonts w:ascii="Calibri Light" w:eastAsia="SimSun" w:hAnsi="Calibri Light"/>
      <w:sz w:val="24"/>
      <w:szCs w:val="24"/>
    </w:rPr>
  </w:style>
  <w:style w:type="character" w:styleId="nfasissutil">
    <w:name w:val="Subtle Emphasis"/>
    <w:uiPriority w:val="19"/>
    <w:qFormat/>
    <w:rsid w:val="003F1CFC"/>
    <w:rPr>
      <w:i/>
      <w:iCs/>
      <w:color w:val="595959"/>
    </w:rPr>
  </w:style>
  <w:style w:type="character" w:styleId="Referenciasutil">
    <w:name w:val="Subtle Reference"/>
    <w:uiPriority w:val="31"/>
    <w:qFormat/>
    <w:rsid w:val="003F1CFC"/>
    <w:rPr>
      <w:caps w:val="0"/>
      <w:smallCaps/>
      <w:color w:val="404040"/>
      <w:spacing w:val="0"/>
      <w:u w:val="single" w:color="7F7F7F"/>
    </w:rPr>
  </w:style>
  <w:style w:type="character" w:styleId="Referenciaintensa">
    <w:name w:val="Intense Reference"/>
    <w:uiPriority w:val="32"/>
    <w:qFormat/>
    <w:rsid w:val="003F1CFC"/>
    <w:rPr>
      <w:b/>
      <w:bCs/>
      <w:caps w:val="0"/>
      <w:smallCaps/>
      <w:color w:val="auto"/>
      <w:spacing w:val="0"/>
      <w:u w:val="single"/>
    </w:rPr>
  </w:style>
  <w:style w:type="table" w:customStyle="1" w:styleId="Tablaconcuadrcula1">
    <w:name w:val="Tabla con cuadrícula1"/>
    <w:basedOn w:val="Tablanormal"/>
    <w:next w:val="Tablaconcuadrcula"/>
    <w:uiPriority w:val="59"/>
    <w:rsid w:val="003F1CF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lnea">
    <w:name w:val="line number"/>
    <w:basedOn w:val="Fuentedeprrafopredeter"/>
    <w:uiPriority w:val="99"/>
    <w:semiHidden/>
    <w:unhideWhenUsed/>
    <w:rsid w:val="003F1CFC"/>
  </w:style>
  <w:style w:type="paragraph" w:customStyle="1" w:styleId="pa6">
    <w:name w:val="pa6"/>
    <w:basedOn w:val="Normal"/>
    <w:rsid w:val="003F1CFC"/>
    <w:pPr>
      <w:spacing w:beforeAutospacing="1" w:after="100" w:afterAutospacing="1" w:line="240" w:lineRule="auto"/>
    </w:pPr>
    <w:rPr>
      <w:rFonts w:ascii="Times New Roman" w:hAnsi="Times New Roman"/>
      <w:sz w:val="24"/>
      <w:szCs w:val="24"/>
      <w:lang w:val="es-CO" w:eastAsia="es-CO"/>
    </w:rPr>
  </w:style>
  <w:style w:type="table" w:customStyle="1" w:styleId="Tabladelista7concolores-nfasis61">
    <w:name w:val="Tabla de lista 7 con colores - Énfasis 61"/>
    <w:basedOn w:val="Tablanormal"/>
    <w:uiPriority w:val="52"/>
    <w:rsid w:val="003F1CFC"/>
    <w:rPr>
      <w:rFonts w:eastAsia="Times New Roman"/>
      <w:color w:val="08A4EE"/>
    </w:rPr>
    <w:tblPr>
      <w:tblStyleRowBandSize w:val="1"/>
      <w:tblStyleColBandSize w:val="1"/>
      <w:tblInd w:w="0" w:type="dxa"/>
      <w:tblCellMar>
        <w:top w:w="0" w:type="dxa"/>
        <w:left w:w="108" w:type="dxa"/>
        <w:bottom w:w="0" w:type="dxa"/>
        <w:right w:w="108" w:type="dxa"/>
      </w:tblCellMar>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fasisintenso1">
    <w:name w:val="Énfasis intenso1"/>
    <w:uiPriority w:val="21"/>
    <w:qFormat/>
    <w:rsid w:val="003F1CFC"/>
    <w:rPr>
      <w:b/>
      <w:bCs/>
      <w:i/>
      <w:iCs/>
      <w:color w:val="4F81BD"/>
    </w:rPr>
  </w:style>
  <w:style w:type="paragraph" w:customStyle="1" w:styleId="Titulos">
    <w:name w:val="Titulos"/>
    <w:basedOn w:val="Normal"/>
    <w:link w:val="TitulosCar"/>
    <w:qFormat/>
    <w:rsid w:val="003F1CFC"/>
    <w:pPr>
      <w:spacing w:after="0" w:line="240" w:lineRule="auto"/>
      <w:jc w:val="center"/>
    </w:pPr>
    <w:rPr>
      <w:rFonts w:ascii="Arial Narrow" w:eastAsia="Times New Roman" w:hAnsi="Arial Narrow"/>
      <w:b/>
      <w:sz w:val="24"/>
      <w:szCs w:val="24"/>
      <w:lang w:val="es-CO" w:eastAsia="es-CO"/>
    </w:rPr>
  </w:style>
  <w:style w:type="character" w:customStyle="1" w:styleId="TitulosCar">
    <w:name w:val="Titulos Car"/>
    <w:link w:val="Titulos"/>
    <w:rsid w:val="003F1CFC"/>
    <w:rPr>
      <w:rFonts w:ascii="Arial Narrow" w:eastAsia="Times New Roman" w:hAnsi="Arial Narrow"/>
      <w:b/>
      <w:sz w:val="24"/>
      <w:szCs w:val="24"/>
    </w:rPr>
  </w:style>
  <w:style w:type="paragraph" w:customStyle="1" w:styleId="Listavistosa-nfasis11">
    <w:name w:val="Lista vistosa-Énfasis 11"/>
    <w:basedOn w:val="Normal"/>
    <w:link w:val="Listavistosa-nfasis1Car0"/>
    <w:uiPriority w:val="34"/>
    <w:qFormat/>
    <w:rsid w:val="003F1CFC"/>
    <w:pPr>
      <w:spacing w:after="0" w:line="240" w:lineRule="auto"/>
      <w:ind w:left="708"/>
    </w:pPr>
    <w:rPr>
      <w:rFonts w:ascii="Arial Narrow" w:eastAsia="Times New Roman" w:hAnsi="Arial Narrow"/>
      <w:sz w:val="24"/>
      <w:szCs w:val="24"/>
      <w:lang w:val="es-CO" w:eastAsia="es-CO"/>
    </w:rPr>
  </w:style>
  <w:style w:type="character" w:customStyle="1" w:styleId="Listavistosa-nfasis1Car0">
    <w:name w:val="Lista vistosa-Énfasis 1 Car"/>
    <w:link w:val="Listavistosa-nfasis11"/>
    <w:uiPriority w:val="34"/>
    <w:locked/>
    <w:rsid w:val="003F1CFC"/>
    <w:rPr>
      <w:rFonts w:ascii="Arial Narrow" w:eastAsia="Times New Roman" w:hAnsi="Arial Narrow"/>
      <w:sz w:val="24"/>
      <w:szCs w:val="24"/>
    </w:rPr>
  </w:style>
  <w:style w:type="table" w:customStyle="1" w:styleId="Tabladecuadrcula1Claro-nfasis21">
    <w:name w:val="Tabla de cuadrícula 1 Claro-Énfasis 21"/>
    <w:basedOn w:val="Tablanormal"/>
    <w:uiPriority w:val="46"/>
    <w:rsid w:val="003F1CFC"/>
    <w:rPr>
      <w:sz w:val="22"/>
      <w:szCs w:val="22"/>
      <w:lang w:eastAsia="en-US"/>
    </w:rPr>
    <w:tblPr>
      <w:tblStyleRowBandSize w:val="1"/>
      <w:tblStyleColBandSize w:val="1"/>
      <w:tblInd w:w="0" w:type="dxa"/>
      <w:tblBorders>
        <w:top w:val="single" w:sz="4" w:space="0" w:color="BFE2A8"/>
        <w:left w:val="single" w:sz="4" w:space="0" w:color="BFE2A8"/>
        <w:bottom w:val="single" w:sz="4" w:space="0" w:color="BFE2A8"/>
        <w:right w:val="single" w:sz="4" w:space="0" w:color="BFE2A8"/>
        <w:insideH w:val="single" w:sz="4" w:space="0" w:color="BFE2A8"/>
        <w:insideV w:val="single" w:sz="4" w:space="0" w:color="BFE2A8"/>
      </w:tblBorders>
      <w:tblCellMar>
        <w:top w:w="0" w:type="dxa"/>
        <w:left w:w="108" w:type="dxa"/>
        <w:bottom w:w="0" w:type="dxa"/>
        <w:right w:w="108" w:type="dxa"/>
      </w:tblCellMar>
    </w:tblPr>
    <w:tblStylePr w:type="firstRow">
      <w:rPr>
        <w:b/>
        <w:bCs/>
      </w:rPr>
      <w:tblPr/>
      <w:tcPr>
        <w:tcBorders>
          <w:bottom w:val="single" w:sz="12" w:space="0" w:color="9FD37C"/>
        </w:tcBorders>
      </w:tcPr>
    </w:tblStylePr>
    <w:tblStylePr w:type="lastRow">
      <w:rPr>
        <w:b/>
        <w:bCs/>
      </w:rPr>
      <w:tblPr/>
      <w:tcPr>
        <w:tcBorders>
          <w:top w:val="double" w:sz="2" w:space="0" w:color="9FD37C"/>
        </w:tcBorders>
      </w:tcPr>
    </w:tblStylePr>
    <w:tblStylePr w:type="firstCol">
      <w:rPr>
        <w:b/>
        <w:bCs/>
      </w:rPr>
    </w:tblStylePr>
    <w:tblStylePr w:type="lastCol">
      <w:rPr>
        <w:b/>
        <w:bCs/>
      </w:rPr>
    </w:tblStylePr>
  </w:style>
  <w:style w:type="table" w:customStyle="1" w:styleId="Tabladecuadrcula1clara-nfasis610">
    <w:name w:val="Tabla de cuadrícula 1 clara-Énfasis 61"/>
    <w:basedOn w:val="Tablanormal"/>
    <w:uiPriority w:val="46"/>
    <w:rsid w:val="003F1CFC"/>
    <w:rPr>
      <w:sz w:val="22"/>
      <w:szCs w:val="22"/>
      <w:lang w:eastAsia="en-US"/>
    </w:rPr>
    <w:tblPr>
      <w:tblStyleRowBandSize w:val="1"/>
      <w:tblStyleColBandSize w:val="1"/>
      <w:tblInd w:w="0" w:type="dxa"/>
      <w:tblBorders>
        <w:top w:val="single" w:sz="4" w:space="0" w:color="B9E7FC"/>
        <w:left w:val="single" w:sz="4" w:space="0" w:color="B9E7FC"/>
        <w:bottom w:val="single" w:sz="4" w:space="0" w:color="B9E7FC"/>
        <w:right w:val="single" w:sz="4" w:space="0" w:color="B9E7FC"/>
        <w:insideH w:val="single" w:sz="4" w:space="0" w:color="B9E7FC"/>
        <w:insideV w:val="single" w:sz="4" w:space="0" w:color="B9E7FC"/>
      </w:tblBorders>
      <w:tblCellMar>
        <w:top w:w="0" w:type="dxa"/>
        <w:left w:w="108" w:type="dxa"/>
        <w:bottom w:w="0" w:type="dxa"/>
        <w:right w:w="108" w:type="dxa"/>
      </w:tblCellMar>
    </w:tblPr>
    <w:tblStylePr w:type="firstRow">
      <w:rPr>
        <w:b/>
        <w:bCs/>
      </w:rPr>
      <w:tblPr/>
      <w:tcPr>
        <w:tcBorders>
          <w:bottom w:val="single" w:sz="12" w:space="0" w:color="96DBFB"/>
        </w:tcBorders>
      </w:tcPr>
    </w:tblStylePr>
    <w:tblStylePr w:type="lastRow">
      <w:rPr>
        <w:b/>
        <w:bCs/>
      </w:rPr>
      <w:tblPr/>
      <w:tcPr>
        <w:tcBorders>
          <w:top w:val="double" w:sz="2" w:space="0" w:color="96DBFB"/>
        </w:tcBorders>
      </w:tcPr>
    </w:tblStylePr>
    <w:tblStylePr w:type="firstCol">
      <w:rPr>
        <w:b/>
        <w:bCs/>
      </w:rPr>
    </w:tblStylePr>
    <w:tblStylePr w:type="lastCol">
      <w:rPr>
        <w:b/>
        <w:bCs/>
      </w:rPr>
    </w:tblStylePr>
  </w:style>
  <w:style w:type="table" w:customStyle="1" w:styleId="Tabladecuadrcula4-nfasis610">
    <w:name w:val="Tabla de cuadrícula 4-Énfasis 61"/>
    <w:basedOn w:val="Tablanormal"/>
    <w:uiPriority w:val="49"/>
    <w:rsid w:val="003F1CFC"/>
    <w:rPr>
      <w:sz w:val="22"/>
      <w:szCs w:val="22"/>
      <w:lang w:eastAsia="en-US"/>
    </w:rPr>
    <w:tblPr>
      <w:tblStyleRowBandSize w:val="1"/>
      <w:tblStyleColBandSize w:val="1"/>
      <w:tblInd w:w="0" w:type="dxa"/>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CellMar>
        <w:top w:w="0" w:type="dxa"/>
        <w:left w:w="108" w:type="dxa"/>
        <w:bottom w:w="0" w:type="dxa"/>
        <w:right w:w="108" w:type="dxa"/>
      </w:tblCellMar>
    </w:tblPr>
    <w:tblStylePr w:type="firstRow">
      <w:rPr>
        <w:b/>
        <w:bCs/>
        <w:color w:val="FFFFFF"/>
      </w:rPr>
      <w:tblPr/>
      <w:tcPr>
        <w:tcBorders>
          <w:top w:val="single" w:sz="4" w:space="0" w:color="51C3F9"/>
          <w:left w:val="single" w:sz="4" w:space="0" w:color="51C3F9"/>
          <w:bottom w:val="single" w:sz="4" w:space="0" w:color="51C3F9"/>
          <w:right w:val="single" w:sz="4" w:space="0" w:color="51C3F9"/>
          <w:insideH w:val="nil"/>
          <w:insideV w:val="nil"/>
        </w:tcBorders>
        <w:shd w:val="clear" w:color="auto" w:fill="51C3F9"/>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character" w:customStyle="1" w:styleId="DescripcinCar">
    <w:name w:val="Descripción Car"/>
    <w:aliases w:val="Car Car,Tablas Car,Figs y tabs Car,Título tabla/gráfica Car,Geomatica_Epígrafe Car,Epígrafe Car1 Car,Epígrafe Car2 Car,Epígrafe Car3 Car,Epígrafe Car4 Car,Epígrafe Car5 Car,Epígrafe Car6 Car,Epígrafe Car7 Car,Epígrafe Car8 Car"/>
    <w:link w:val="Descripcin"/>
    <w:uiPriority w:val="35"/>
    <w:locked/>
    <w:rsid w:val="003F1CFC"/>
    <w:rPr>
      <w:rFonts w:ascii="Arial" w:hAnsi="Arial"/>
      <w:b/>
      <w:bCs/>
      <w:color w:val="4F81BD" w:themeColor="accent1"/>
      <w:sz w:val="18"/>
      <w:szCs w:val="18"/>
      <w:lang w:val="es-ES" w:eastAsia="en-US"/>
    </w:rPr>
  </w:style>
  <w:style w:type="table" w:customStyle="1" w:styleId="Tabladecuadrcula3-nfasis61">
    <w:name w:val="Tabla de cuadrícula 3 - Énfasis 61"/>
    <w:basedOn w:val="Tablanormal"/>
    <w:uiPriority w:val="48"/>
    <w:rsid w:val="003F1CFC"/>
    <w:rPr>
      <w:sz w:val="22"/>
      <w:szCs w:val="22"/>
      <w:lang w:eastAsia="en-US"/>
    </w:rPr>
    <w:tblPr>
      <w:tblStyleRowBandSize w:val="1"/>
      <w:tblStyleColBandSize w:val="1"/>
      <w:tblInd w:w="0" w:type="dxa"/>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paragraph" w:customStyle="1" w:styleId="Cuerpo">
    <w:name w:val="Cuerpo"/>
    <w:rsid w:val="003F1CFC"/>
    <w:pPr>
      <w:pBdr>
        <w:top w:val="nil"/>
        <w:left w:val="nil"/>
        <w:bottom w:val="nil"/>
        <w:right w:val="nil"/>
        <w:between w:val="nil"/>
        <w:bar w:val="nil"/>
      </w:pBdr>
      <w:spacing w:after="200" w:line="276" w:lineRule="auto"/>
    </w:pPr>
    <w:rPr>
      <w:rFonts w:cs="Calibri"/>
      <w:color w:val="000000"/>
      <w:sz w:val="22"/>
      <w:szCs w:val="22"/>
      <w:u w:color="000000"/>
      <w:bdr w:val="nil"/>
      <w:lang w:val="es-ES_tradnl" w:eastAsia="es-MX"/>
    </w:rPr>
  </w:style>
  <w:style w:type="numbering" w:customStyle="1" w:styleId="Vietagrande">
    <w:name w:val="Viñeta grande"/>
    <w:rsid w:val="003F1CFC"/>
    <w:pPr>
      <w:numPr>
        <w:numId w:val="98"/>
      </w:numPr>
    </w:pPr>
  </w:style>
  <w:style w:type="table" w:styleId="Cuadrculaclara-nfasis4">
    <w:name w:val="Light Grid Accent 4"/>
    <w:basedOn w:val="Tablanormal"/>
    <w:uiPriority w:val="62"/>
    <w:rsid w:val="003F1CFC"/>
    <w:pPr>
      <w:pBdr>
        <w:top w:val="nil"/>
        <w:left w:val="nil"/>
        <w:bottom w:val="nil"/>
        <w:right w:val="nil"/>
        <w:between w:val="nil"/>
        <w:bar w:val="nil"/>
      </w:pBdr>
    </w:pPr>
    <w:rPr>
      <w:rFonts w:ascii="Times New Roman" w:eastAsia="Arial Unicode MS" w:hAnsi="Times New Roman"/>
      <w:bdr w:val="nil"/>
      <w:lang w:val="es-MX" w:eastAsia="es-MX"/>
    </w:rPr>
    <w:tblPr>
      <w:tblStyleRowBandSize w:val="1"/>
      <w:tblStyleColBandSize w:val="1"/>
      <w:tblInd w:w="0" w:type="dxa"/>
      <w:tblBorders>
        <w:top w:val="single" w:sz="8" w:space="0" w:color="44C1A3"/>
        <w:left w:val="single" w:sz="8" w:space="0" w:color="44C1A3"/>
        <w:bottom w:val="single" w:sz="8" w:space="0" w:color="44C1A3"/>
        <w:right w:val="single" w:sz="8" w:space="0" w:color="44C1A3"/>
        <w:insideH w:val="single" w:sz="8" w:space="0" w:color="44C1A3"/>
        <w:insideV w:val="single" w:sz="8" w:space="0" w:color="44C1A3"/>
      </w:tblBorders>
      <w:tblCellMar>
        <w:top w:w="0" w:type="dxa"/>
        <w:left w:w="108" w:type="dxa"/>
        <w:bottom w:w="0" w:type="dxa"/>
        <w:right w:w="108" w:type="dxa"/>
      </w:tblCellMar>
    </w:tblPr>
    <w:tblStylePr w:type="firstRow">
      <w:pPr>
        <w:spacing w:before="0" w:after="0" w:line="240" w:lineRule="auto"/>
      </w:pPr>
      <w:rPr>
        <w:rFonts w:ascii="DK Crayon Crumble" w:eastAsia="Times New Roman" w:hAnsi="DK Crayon Crumble" w:cs="Times New Roman"/>
        <w:b/>
        <w:bCs/>
      </w:rPr>
      <w:tblPr/>
      <w:tcPr>
        <w:tcBorders>
          <w:top w:val="single" w:sz="8" w:space="0" w:color="44C1A3"/>
          <w:left w:val="single" w:sz="8" w:space="0" w:color="44C1A3"/>
          <w:bottom w:val="single" w:sz="18" w:space="0" w:color="44C1A3"/>
          <w:right w:val="single" w:sz="8" w:space="0" w:color="44C1A3"/>
          <w:insideH w:val="nil"/>
          <w:insideV w:val="single" w:sz="8" w:space="0" w:color="44C1A3"/>
        </w:tcBorders>
      </w:tcPr>
    </w:tblStylePr>
    <w:tblStylePr w:type="lastRow">
      <w:pPr>
        <w:spacing w:before="0" w:after="0" w:line="240" w:lineRule="auto"/>
      </w:pPr>
      <w:rPr>
        <w:rFonts w:ascii="DK Crayon Crumble" w:eastAsia="Times New Roman" w:hAnsi="DK Crayon Crumble" w:cs="Times New Roman"/>
        <w:b/>
        <w:bCs/>
      </w:rPr>
      <w:tblPr/>
      <w:tcPr>
        <w:tcBorders>
          <w:top w:val="double" w:sz="6" w:space="0" w:color="44C1A3"/>
          <w:left w:val="single" w:sz="8" w:space="0" w:color="44C1A3"/>
          <w:bottom w:val="single" w:sz="8" w:space="0" w:color="44C1A3"/>
          <w:right w:val="single" w:sz="8" w:space="0" w:color="44C1A3"/>
          <w:insideH w:val="nil"/>
          <w:insideV w:val="single" w:sz="8" w:space="0" w:color="44C1A3"/>
        </w:tcBorders>
      </w:tcPr>
    </w:tblStylePr>
    <w:tblStylePr w:type="firstCol">
      <w:rPr>
        <w:rFonts w:ascii="DK Crayon Crumble" w:eastAsia="Times New Roman" w:hAnsi="DK Crayon Crumble" w:cs="Times New Roman"/>
        <w:b/>
        <w:bCs/>
      </w:rPr>
    </w:tblStylePr>
    <w:tblStylePr w:type="lastCol">
      <w:rPr>
        <w:rFonts w:ascii="DK Crayon Crumble" w:eastAsia="Times New Roman" w:hAnsi="DK Crayon Crumble" w:cs="Times New Roman"/>
        <w:b/>
        <w:bCs/>
      </w:rPr>
      <w:tblPr/>
      <w:tcPr>
        <w:tcBorders>
          <w:top w:val="single" w:sz="8" w:space="0" w:color="44C1A3"/>
          <w:left w:val="single" w:sz="8" w:space="0" w:color="44C1A3"/>
          <w:bottom w:val="single" w:sz="8" w:space="0" w:color="44C1A3"/>
          <w:right w:val="single" w:sz="8" w:space="0" w:color="44C1A3"/>
        </w:tcBorders>
      </w:tcPr>
    </w:tblStylePr>
    <w:tblStylePr w:type="band1Vert">
      <w:tblPr/>
      <w:tcPr>
        <w:tcBorders>
          <w:top w:val="single" w:sz="8" w:space="0" w:color="44C1A3"/>
          <w:left w:val="single" w:sz="8" w:space="0" w:color="44C1A3"/>
          <w:bottom w:val="single" w:sz="8" w:space="0" w:color="44C1A3"/>
          <w:right w:val="single" w:sz="8" w:space="0" w:color="44C1A3"/>
        </w:tcBorders>
        <w:shd w:val="clear" w:color="auto" w:fill="D0EFE8"/>
      </w:tcPr>
    </w:tblStylePr>
    <w:tblStylePr w:type="band1Horz">
      <w:tblPr/>
      <w:tcPr>
        <w:tcBorders>
          <w:top w:val="single" w:sz="8" w:space="0" w:color="44C1A3"/>
          <w:left w:val="single" w:sz="8" w:space="0" w:color="44C1A3"/>
          <w:bottom w:val="single" w:sz="8" w:space="0" w:color="44C1A3"/>
          <w:right w:val="single" w:sz="8" w:space="0" w:color="44C1A3"/>
          <w:insideV w:val="single" w:sz="8" w:space="0" w:color="44C1A3"/>
        </w:tcBorders>
        <w:shd w:val="clear" w:color="auto" w:fill="D0EFE8"/>
      </w:tcPr>
    </w:tblStylePr>
    <w:tblStylePr w:type="band2Horz">
      <w:tblPr/>
      <w:tcPr>
        <w:tcBorders>
          <w:top w:val="single" w:sz="8" w:space="0" w:color="44C1A3"/>
          <w:left w:val="single" w:sz="8" w:space="0" w:color="44C1A3"/>
          <w:bottom w:val="single" w:sz="8" w:space="0" w:color="44C1A3"/>
          <w:right w:val="single" w:sz="8" w:space="0" w:color="44C1A3"/>
          <w:insideV w:val="single" w:sz="8" w:space="0" w:color="44C1A3"/>
        </w:tcBorders>
      </w:tcPr>
    </w:tblStylePr>
  </w:style>
  <w:style w:type="table" w:customStyle="1" w:styleId="Tabladecuadrcula7concolores-nfasis61">
    <w:name w:val="Tabla de cuadrícula 7 con colores - Énfasis 61"/>
    <w:basedOn w:val="Tablanormal"/>
    <w:uiPriority w:val="52"/>
    <w:rsid w:val="003F1CFC"/>
    <w:rPr>
      <w:color w:val="08A4EE"/>
      <w:sz w:val="22"/>
      <w:szCs w:val="22"/>
      <w:lang w:eastAsia="en-US"/>
    </w:rPr>
    <w:tblPr>
      <w:tblStyleRowBandSize w:val="1"/>
      <w:tblStyleColBandSize w:val="1"/>
      <w:tblInd w:w="0" w:type="dxa"/>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bottom w:val="single" w:sz="4" w:space="0" w:color="96DBFB"/>
        </w:tcBorders>
      </w:tcPr>
    </w:tblStylePr>
    <w:tblStylePr w:type="nwCell">
      <w:tblPr/>
      <w:tcPr>
        <w:tcBorders>
          <w:bottom w:val="single" w:sz="4" w:space="0" w:color="96DBFB"/>
        </w:tcBorders>
      </w:tcPr>
    </w:tblStylePr>
    <w:tblStylePr w:type="seCell">
      <w:tblPr/>
      <w:tcPr>
        <w:tcBorders>
          <w:top w:val="single" w:sz="4" w:space="0" w:color="96DBFB"/>
        </w:tcBorders>
      </w:tcPr>
    </w:tblStylePr>
    <w:tblStylePr w:type="swCell">
      <w:tblPr/>
      <w:tcPr>
        <w:tcBorders>
          <w:top w:val="single" w:sz="4" w:space="0" w:color="96DBFB"/>
        </w:tcBorders>
      </w:tcPr>
    </w:tblStylePr>
  </w:style>
  <w:style w:type="table" w:customStyle="1" w:styleId="Tabladecuadrcula1clara-nfasis12">
    <w:name w:val="Tabla de cuadrícula 1 clara - Énfasis 12"/>
    <w:basedOn w:val="Tablanormal"/>
    <w:uiPriority w:val="46"/>
    <w:rsid w:val="003F1CFC"/>
    <w:rPr>
      <w:sz w:val="22"/>
      <w:szCs w:val="22"/>
      <w:lang w:eastAsia="en-US"/>
    </w:rPr>
    <w:tblPr>
      <w:tblStyleRowBandSize w:val="1"/>
      <w:tblStyleColBandSize w:val="1"/>
      <w:tblInd w:w="0" w:type="dxa"/>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CellMar>
        <w:top w:w="0" w:type="dxa"/>
        <w:left w:w="108" w:type="dxa"/>
        <w:bottom w:w="0" w:type="dxa"/>
        <w:right w:w="108" w:type="dxa"/>
      </w:tblCellMar>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
    <w:name w:val="Tabla de cuadrícula 5 oscura - Énfasis 12"/>
    <w:basedOn w:val="Tablanormal"/>
    <w:uiPriority w:val="50"/>
    <w:rsid w:val="003F1CF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paragraph" w:customStyle="1" w:styleId="PiedeFoto">
    <w:name w:val="Pie de Foto"/>
    <w:basedOn w:val="Prrafodelista"/>
    <w:link w:val="PiedeFotoCar"/>
    <w:qFormat/>
    <w:rsid w:val="003F1CFC"/>
    <w:pPr>
      <w:framePr w:hSpace="141" w:wrap="around" w:vAnchor="text" w:hAnchor="margin" w:y="-40"/>
      <w:spacing w:before="120" w:after="0" w:line="240" w:lineRule="auto"/>
      <w:ind w:left="0"/>
      <w:contextualSpacing/>
      <w:jc w:val="center"/>
    </w:pPr>
    <w:rPr>
      <w:rFonts w:eastAsia="Times New Roman" w:cs="Arial"/>
      <w:sz w:val="16"/>
      <w:szCs w:val="18"/>
      <w:lang w:val="es-CO" w:eastAsia="es-CO"/>
    </w:rPr>
  </w:style>
  <w:style w:type="character" w:customStyle="1" w:styleId="PiedeFotoCar">
    <w:name w:val="Pie de Foto Car"/>
    <w:link w:val="PiedeFoto"/>
    <w:rsid w:val="003F1CFC"/>
    <w:rPr>
      <w:rFonts w:ascii="Arial" w:eastAsia="Times New Roman" w:hAnsi="Arial" w:cs="Arial"/>
      <w:sz w:val="16"/>
      <w:szCs w:val="18"/>
    </w:rPr>
  </w:style>
  <w:style w:type="character" w:customStyle="1" w:styleId="apple-style-span">
    <w:name w:val="apple-style-span"/>
    <w:basedOn w:val="Fuentedeprrafopredeter"/>
    <w:rsid w:val="003F1CFC"/>
  </w:style>
  <w:style w:type="table" w:customStyle="1" w:styleId="Tabladecuadrcula5oscura-nfasis61">
    <w:name w:val="Tabla de cuadrícula 5 oscura - Énfasis 61"/>
    <w:basedOn w:val="Tablanormal"/>
    <w:uiPriority w:val="50"/>
    <w:rsid w:val="003F1CFC"/>
    <w:rPr>
      <w:rFonts w:eastAsia="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textoarticulocompletop">
    <w:name w:val="textoarticulocompletop"/>
    <w:basedOn w:val="Normal"/>
    <w:rsid w:val="003F1CFC"/>
    <w:pPr>
      <w:spacing w:beforeAutospacing="1" w:after="100" w:afterAutospacing="1" w:line="240" w:lineRule="auto"/>
    </w:pPr>
    <w:rPr>
      <w:rFonts w:ascii="Times New Roman" w:eastAsia="Times New Roman" w:hAnsi="Times New Roman"/>
      <w:sz w:val="24"/>
      <w:szCs w:val="24"/>
      <w:lang w:val="es-CO" w:eastAsia="es-CO"/>
    </w:rPr>
  </w:style>
  <w:style w:type="table" w:customStyle="1" w:styleId="Tabladecuadrcula4-nfasis63">
    <w:name w:val="Tabla de cuadrícula 4 - Énfasis 63"/>
    <w:basedOn w:val="Tablanormal"/>
    <w:uiPriority w:val="49"/>
    <w:rsid w:val="003F1CFC"/>
    <w:rPr>
      <w:rFonts w:eastAsia="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
    <w:name w:val="Tabla de lista 3 - Énfasis 61"/>
    <w:basedOn w:val="Tablanormal"/>
    <w:uiPriority w:val="48"/>
    <w:rsid w:val="003F1CFC"/>
    <w:rPr>
      <w:rFonts w:eastAsia="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xl84">
    <w:name w:val="xl84"/>
    <w:basedOn w:val="Normal"/>
    <w:rsid w:val="003F1CFC"/>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85">
    <w:name w:val="xl85"/>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6">
    <w:name w:val="xl86"/>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7">
    <w:name w:val="xl87"/>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88">
    <w:name w:val="xl88"/>
    <w:basedOn w:val="Normal"/>
    <w:rsid w:val="003F1C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89">
    <w:name w:val="xl89"/>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0">
    <w:name w:val="xl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1">
    <w:name w:val="xl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val="es-CO" w:eastAsia="es-CO"/>
    </w:rPr>
  </w:style>
  <w:style w:type="paragraph" w:customStyle="1" w:styleId="xl92">
    <w:name w:val="xl9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93">
    <w:name w:val="xl9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4">
    <w:name w:val="xl94"/>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5">
    <w:name w:val="xl95"/>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6">
    <w:name w:val="xl9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7">
    <w:name w:val="xl97"/>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98">
    <w:name w:val="xl9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99">
    <w:name w:val="xl9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00">
    <w:name w:val="xl10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1">
    <w:name w:val="xl10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2">
    <w:name w:val="xl102"/>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3">
    <w:name w:val="xl103"/>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04">
    <w:name w:val="xl10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05">
    <w:name w:val="xl10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6">
    <w:name w:val="xl106"/>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7">
    <w:name w:val="xl107"/>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08">
    <w:name w:val="xl108"/>
    <w:basedOn w:val="Normal"/>
    <w:rsid w:val="003F1CFC"/>
    <w:pPr>
      <w:spacing w:before="100" w:beforeAutospacing="1" w:after="100" w:afterAutospacing="1" w:line="240" w:lineRule="auto"/>
      <w:jc w:val="center"/>
    </w:pPr>
    <w:rPr>
      <w:rFonts w:ascii="Arial Narrow" w:eastAsia="Times New Roman" w:hAnsi="Arial Narrow"/>
      <w:sz w:val="24"/>
      <w:szCs w:val="24"/>
      <w:lang w:val="es-CO" w:eastAsia="es-CO"/>
    </w:rPr>
  </w:style>
  <w:style w:type="paragraph" w:customStyle="1" w:styleId="xl109">
    <w:name w:val="xl109"/>
    <w:basedOn w:val="Normal"/>
    <w:rsid w:val="003F1CFC"/>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0">
    <w:name w:val="xl110"/>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1">
    <w:name w:val="xl111"/>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2">
    <w:name w:val="xl112"/>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3">
    <w:name w:val="xl113"/>
    <w:basedOn w:val="Normal"/>
    <w:rsid w:val="003F1C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4">
    <w:name w:val="xl11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15">
    <w:name w:val="xl11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6">
    <w:name w:val="xl116"/>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7">
    <w:name w:val="xl11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18">
    <w:name w:val="xl118"/>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19">
    <w:name w:val="xl11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0">
    <w:name w:val="xl12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1">
    <w:name w:val="xl12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22">
    <w:name w:val="xl122"/>
    <w:basedOn w:val="Normal"/>
    <w:rsid w:val="003F1CFC"/>
    <w:pPr>
      <w:spacing w:before="100" w:beforeAutospacing="1" w:after="100" w:afterAutospacing="1" w:line="240" w:lineRule="auto"/>
      <w:jc w:val="center"/>
    </w:pPr>
    <w:rPr>
      <w:rFonts w:eastAsia="Times New Roman" w:cs="Arial"/>
      <w:sz w:val="20"/>
      <w:szCs w:val="20"/>
      <w:lang w:val="es-CO" w:eastAsia="es-CO"/>
    </w:rPr>
  </w:style>
  <w:style w:type="paragraph" w:customStyle="1" w:styleId="xl123">
    <w:name w:val="xl12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24">
    <w:name w:val="xl12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25">
    <w:name w:val="xl12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26">
    <w:name w:val="xl12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7">
    <w:name w:val="xl12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28">
    <w:name w:val="xl12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29">
    <w:name w:val="xl12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0">
    <w:name w:val="xl13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1">
    <w:name w:val="xl13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32">
    <w:name w:val="xl132"/>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3">
    <w:name w:val="xl13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134">
    <w:name w:val="xl13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5">
    <w:name w:val="xl135"/>
    <w:basedOn w:val="Normal"/>
    <w:rsid w:val="003F1CF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36">
    <w:name w:val="xl136"/>
    <w:basedOn w:val="Normal"/>
    <w:rsid w:val="003F1CFC"/>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7">
    <w:name w:val="xl137"/>
    <w:basedOn w:val="Normal"/>
    <w:rsid w:val="003F1CFC"/>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8">
    <w:name w:val="xl138"/>
    <w:basedOn w:val="Normal"/>
    <w:rsid w:val="003F1CFC"/>
    <w:pPr>
      <w:pBdr>
        <w:top w:val="single" w:sz="8"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39">
    <w:name w:val="xl13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0">
    <w:name w:val="xl140"/>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1">
    <w:name w:val="xl14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2">
    <w:name w:val="xl142"/>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3">
    <w:name w:val="xl143"/>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4">
    <w:name w:val="xl144"/>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45">
    <w:name w:val="xl145"/>
    <w:basedOn w:val="Normal"/>
    <w:rsid w:val="003F1CFC"/>
    <w:pP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46">
    <w:name w:val="xl146"/>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7">
    <w:name w:val="xl147"/>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8">
    <w:name w:val="xl148"/>
    <w:basedOn w:val="Normal"/>
    <w:rsid w:val="003F1CFC"/>
    <w:pP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49">
    <w:name w:val="xl149"/>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sz w:val="20"/>
      <w:szCs w:val="20"/>
      <w:lang w:val="es-CO" w:eastAsia="es-CO"/>
    </w:rPr>
  </w:style>
  <w:style w:type="paragraph" w:customStyle="1" w:styleId="xl150">
    <w:name w:val="xl150"/>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1">
    <w:name w:val="xl151"/>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52">
    <w:name w:val="xl152"/>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3">
    <w:name w:val="xl153"/>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5">
    <w:name w:val="xl155"/>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6">
    <w:name w:val="xl15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57">
    <w:name w:val="xl157"/>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58">
    <w:name w:val="xl158"/>
    <w:basedOn w:val="Normal"/>
    <w:rsid w:val="003F1CF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59">
    <w:name w:val="xl15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60">
    <w:name w:val="xl160"/>
    <w:basedOn w:val="Normal"/>
    <w:rsid w:val="003F1CF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xl161">
    <w:name w:val="xl161"/>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62">
    <w:name w:val="xl16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3">
    <w:name w:val="xl16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4">
    <w:name w:val="xl16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5">
    <w:name w:val="xl16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66">
    <w:name w:val="xl16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paragraph" w:customStyle="1" w:styleId="xl167">
    <w:name w:val="xl167"/>
    <w:basedOn w:val="Normal"/>
    <w:rsid w:val="003F1CF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8">
    <w:name w:val="xl16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val="es-CO" w:eastAsia="es-CO"/>
    </w:rPr>
  </w:style>
  <w:style w:type="paragraph" w:customStyle="1" w:styleId="xl169">
    <w:name w:val="xl16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val="es-CO" w:eastAsia="es-CO"/>
    </w:rPr>
  </w:style>
  <w:style w:type="paragraph" w:customStyle="1" w:styleId="xl170">
    <w:name w:val="xl170"/>
    <w:basedOn w:val="Normal"/>
    <w:rsid w:val="003F1CFC"/>
    <w:pPr>
      <w:pBdr>
        <w:top w:val="single" w:sz="8" w:space="0" w:color="auto"/>
        <w:left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1">
    <w:name w:val="xl171"/>
    <w:basedOn w:val="Normal"/>
    <w:rsid w:val="003F1CFC"/>
    <w:pPr>
      <w:pBdr>
        <w:top w:val="single" w:sz="8"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2">
    <w:name w:val="xl172"/>
    <w:basedOn w:val="Normal"/>
    <w:rsid w:val="003F1CFC"/>
    <w:pPr>
      <w:pBdr>
        <w:top w:val="single" w:sz="8" w:space="0" w:color="auto"/>
        <w:left w:val="single" w:sz="4"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73">
    <w:name w:val="xl17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74">
    <w:name w:val="xl174"/>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175">
    <w:name w:val="xl17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6">
    <w:name w:val="xl176"/>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77">
    <w:name w:val="xl177"/>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val="es-CO" w:eastAsia="es-CO"/>
    </w:rPr>
  </w:style>
  <w:style w:type="paragraph" w:customStyle="1" w:styleId="xl178">
    <w:name w:val="xl178"/>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79">
    <w:name w:val="xl179"/>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0">
    <w:name w:val="xl180"/>
    <w:basedOn w:val="Normal"/>
    <w:rsid w:val="003F1CFC"/>
    <w:pPr>
      <w:spacing w:before="100" w:beforeAutospacing="1" w:after="100" w:afterAutospacing="1" w:line="240" w:lineRule="auto"/>
      <w:jc w:val="center"/>
    </w:pPr>
    <w:rPr>
      <w:rFonts w:ascii="Times New Roman" w:eastAsia="Times New Roman" w:hAnsi="Times New Roman"/>
      <w:b/>
      <w:bCs/>
      <w:sz w:val="24"/>
      <w:szCs w:val="24"/>
      <w:lang w:val="es-CO" w:eastAsia="es-CO"/>
    </w:rPr>
  </w:style>
  <w:style w:type="paragraph" w:customStyle="1" w:styleId="xl181">
    <w:name w:val="xl181"/>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paragraph" w:customStyle="1" w:styleId="xl182">
    <w:name w:val="xl182"/>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3">
    <w:name w:val="xl183"/>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84">
    <w:name w:val="xl184"/>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b/>
      <w:bCs/>
      <w:sz w:val="20"/>
      <w:szCs w:val="20"/>
      <w:lang w:val="es-CO" w:eastAsia="es-CO"/>
    </w:rPr>
  </w:style>
  <w:style w:type="paragraph" w:customStyle="1" w:styleId="xl185">
    <w:name w:val="xl185"/>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6">
    <w:name w:val="xl186"/>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187">
    <w:name w:val="xl187"/>
    <w:basedOn w:val="Normal"/>
    <w:rsid w:val="003F1CFC"/>
    <w:pPr>
      <w:pBdr>
        <w:top w:val="single" w:sz="8" w:space="0" w:color="auto"/>
        <w:left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188">
    <w:name w:val="xl188"/>
    <w:basedOn w:val="Normal"/>
    <w:rsid w:val="003F1CF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189">
    <w:name w:val="xl189"/>
    <w:basedOn w:val="Normal"/>
    <w:rsid w:val="003F1CF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0">
    <w:name w:val="xl190"/>
    <w:basedOn w:val="Normal"/>
    <w:rsid w:val="003F1C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1">
    <w:name w:val="xl191"/>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2">
    <w:name w:val="xl192"/>
    <w:basedOn w:val="Normal"/>
    <w:rsid w:val="003F1CFC"/>
    <w:pPr>
      <w:pBdr>
        <w:bottom w:val="single" w:sz="8" w:space="0" w:color="auto"/>
      </w:pBd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3">
    <w:name w:val="xl193"/>
    <w:basedOn w:val="Normal"/>
    <w:rsid w:val="003F1CFC"/>
    <w:pPr>
      <w:spacing w:before="100" w:beforeAutospacing="1" w:after="100" w:afterAutospacing="1" w:line="240" w:lineRule="auto"/>
    </w:pPr>
    <w:rPr>
      <w:rFonts w:ascii="Times New Roman" w:eastAsia="Times New Roman" w:hAnsi="Times New Roman"/>
      <w:b/>
      <w:bCs/>
      <w:sz w:val="24"/>
      <w:szCs w:val="24"/>
      <w:lang w:val="es-CO" w:eastAsia="es-CO"/>
    </w:rPr>
  </w:style>
  <w:style w:type="paragraph" w:customStyle="1" w:styleId="xl194">
    <w:name w:val="xl194"/>
    <w:basedOn w:val="Normal"/>
    <w:rsid w:val="003F1CF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195">
    <w:name w:val="xl195"/>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6">
    <w:name w:val="xl196"/>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197">
    <w:name w:val="xl197"/>
    <w:basedOn w:val="Normal"/>
    <w:rsid w:val="003F1C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8">
    <w:name w:val="xl198"/>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199">
    <w:name w:val="xl199"/>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0">
    <w:name w:val="xl200"/>
    <w:basedOn w:val="Normal"/>
    <w:rsid w:val="003F1C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01">
    <w:name w:val="xl201"/>
    <w:basedOn w:val="Normal"/>
    <w:rsid w:val="003F1CFC"/>
    <w:pPr>
      <w:pBdr>
        <w:bottom w:val="single" w:sz="8" w:space="0" w:color="auto"/>
      </w:pBdr>
      <w:spacing w:before="100" w:beforeAutospacing="1" w:after="100" w:afterAutospacing="1" w:line="240" w:lineRule="auto"/>
      <w:jc w:val="center"/>
    </w:pPr>
    <w:rPr>
      <w:rFonts w:eastAsia="Times New Roman" w:cs="Arial"/>
      <w:sz w:val="20"/>
      <w:szCs w:val="20"/>
      <w:lang w:val="es-CO" w:eastAsia="es-CO"/>
    </w:rPr>
  </w:style>
  <w:style w:type="paragraph" w:customStyle="1" w:styleId="xl202">
    <w:name w:val="xl202"/>
    <w:basedOn w:val="Normal"/>
    <w:rsid w:val="003F1C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3">
    <w:name w:val="xl203"/>
    <w:basedOn w:val="Normal"/>
    <w:rsid w:val="003F1CF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04">
    <w:name w:val="xl204"/>
    <w:basedOn w:val="Normal"/>
    <w:rsid w:val="003F1C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s-CO" w:eastAsia="es-CO"/>
    </w:rPr>
  </w:style>
  <w:style w:type="paragraph" w:customStyle="1" w:styleId="xl227">
    <w:name w:val="xl227"/>
    <w:basedOn w:val="Normal"/>
    <w:rsid w:val="003F1CF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s-CO" w:eastAsia="es-CO"/>
    </w:rPr>
  </w:style>
  <w:style w:type="paragraph" w:customStyle="1" w:styleId="xl228">
    <w:name w:val="xl228"/>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val="es-CO" w:eastAsia="es-CO"/>
    </w:rPr>
  </w:style>
  <w:style w:type="paragraph" w:customStyle="1" w:styleId="xl229">
    <w:name w:val="xl229"/>
    <w:basedOn w:val="Normal"/>
    <w:rsid w:val="003F1CF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0">
    <w:name w:val="xl230"/>
    <w:basedOn w:val="Normal"/>
    <w:rsid w:val="003F1CF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1">
    <w:name w:val="xl231"/>
    <w:basedOn w:val="Normal"/>
    <w:rsid w:val="003F1CF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val="es-CO" w:eastAsia="es-CO"/>
    </w:rPr>
  </w:style>
  <w:style w:type="paragraph" w:customStyle="1" w:styleId="xl232">
    <w:name w:val="xl232"/>
    <w:basedOn w:val="Normal"/>
    <w:rsid w:val="003F1CF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0"/>
      <w:szCs w:val="20"/>
      <w:lang w:val="es-CO" w:eastAsia="es-CO"/>
    </w:rPr>
  </w:style>
  <w:style w:type="paragraph" w:customStyle="1" w:styleId="xl233">
    <w:name w:val="xl23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4">
    <w:name w:val="xl234"/>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35">
    <w:name w:val="xl235"/>
    <w:basedOn w:val="Normal"/>
    <w:rsid w:val="003F1CFC"/>
    <w:pPr>
      <w:pBdr>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val="es-CO" w:eastAsia="es-CO"/>
    </w:rPr>
  </w:style>
  <w:style w:type="paragraph" w:customStyle="1" w:styleId="xl239">
    <w:name w:val="xl239"/>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0">
    <w:name w:val="xl240"/>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s-CO" w:eastAsia="es-CO"/>
    </w:rPr>
  </w:style>
  <w:style w:type="paragraph" w:customStyle="1" w:styleId="xl241">
    <w:name w:val="xl241"/>
    <w:basedOn w:val="Normal"/>
    <w:rsid w:val="003F1CFC"/>
    <w:pPr>
      <w:spacing w:before="100" w:beforeAutospacing="1" w:after="100" w:afterAutospacing="1" w:line="240" w:lineRule="auto"/>
      <w:jc w:val="center"/>
      <w:textAlignment w:val="center"/>
    </w:pPr>
    <w:rPr>
      <w:rFonts w:ascii="Times New Roman" w:eastAsia="Times New Roman" w:hAnsi="Times New Roman"/>
      <w:sz w:val="24"/>
      <w:szCs w:val="24"/>
      <w:lang w:val="es-CO" w:eastAsia="es-CO"/>
    </w:rPr>
  </w:style>
  <w:style w:type="paragraph" w:customStyle="1" w:styleId="xl242">
    <w:name w:val="xl242"/>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val="es-CO" w:eastAsia="es-CO"/>
    </w:rPr>
  </w:style>
  <w:style w:type="paragraph" w:customStyle="1" w:styleId="xl243">
    <w:name w:val="xl243"/>
    <w:basedOn w:val="Normal"/>
    <w:rsid w:val="003F1C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s-CO" w:eastAsia="es-CO"/>
    </w:rPr>
  </w:style>
  <w:style w:type="table" w:customStyle="1" w:styleId="Tabladecuadrcula2-nfasis62">
    <w:name w:val="Tabla de cuadrícula 2 - Énfasis 62"/>
    <w:basedOn w:val="Tablanormal"/>
    <w:uiPriority w:val="47"/>
    <w:rsid w:val="003F1CFC"/>
    <w:rPr>
      <w:rFonts w:eastAsia="Times New Roman"/>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
    <w:name w:val="Tabla de lista 6 con colores - Énfasis 61"/>
    <w:basedOn w:val="Tablanormal"/>
    <w:uiPriority w:val="51"/>
    <w:rsid w:val="003F1CFC"/>
    <w:rPr>
      <w:rFonts w:eastAsia="Times New Roman"/>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font6">
    <w:name w:val="font6"/>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font7">
    <w:name w:val="font7"/>
    <w:basedOn w:val="Normal"/>
    <w:rsid w:val="003F1CFC"/>
    <w:pPr>
      <w:spacing w:before="100" w:beforeAutospacing="1" w:after="100" w:afterAutospacing="1" w:line="240" w:lineRule="auto"/>
    </w:pPr>
    <w:rPr>
      <w:rFonts w:eastAsia="Times New Roman" w:cs="Arial"/>
      <w:sz w:val="16"/>
      <w:szCs w:val="16"/>
      <w:lang w:val="es-CO" w:eastAsia="es-CO"/>
    </w:rPr>
  </w:style>
  <w:style w:type="paragraph" w:customStyle="1" w:styleId="font8">
    <w:name w:val="font8"/>
    <w:basedOn w:val="Normal"/>
    <w:rsid w:val="003F1CFC"/>
    <w:pPr>
      <w:spacing w:before="100" w:beforeAutospacing="1" w:after="100" w:afterAutospacing="1" w:line="240" w:lineRule="auto"/>
    </w:pPr>
    <w:rPr>
      <w:rFonts w:eastAsia="Times New Roman" w:cs="Arial"/>
      <w:b/>
      <w:bCs/>
      <w:color w:val="000000"/>
      <w:sz w:val="16"/>
      <w:szCs w:val="16"/>
      <w:lang w:val="es-CO" w:eastAsia="es-CO"/>
    </w:rPr>
  </w:style>
  <w:style w:type="paragraph" w:customStyle="1" w:styleId="font9">
    <w:name w:val="font9"/>
    <w:basedOn w:val="Normal"/>
    <w:rsid w:val="003F1CFC"/>
    <w:pPr>
      <w:spacing w:before="100" w:beforeAutospacing="1" w:after="100" w:afterAutospacing="1" w:line="240" w:lineRule="auto"/>
    </w:pPr>
    <w:rPr>
      <w:rFonts w:eastAsia="Times New Roman" w:cs="Arial"/>
      <w:color w:val="000000"/>
      <w:sz w:val="16"/>
      <w:szCs w:val="16"/>
      <w:lang w:val="es-CO" w:eastAsia="es-CO"/>
    </w:rPr>
  </w:style>
  <w:style w:type="paragraph" w:customStyle="1" w:styleId="xl154">
    <w:name w:val="xl154"/>
    <w:basedOn w:val="Normal"/>
    <w:rsid w:val="003F1C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CO" w:eastAsia="es-CO"/>
    </w:rPr>
  </w:style>
  <w:style w:type="paragraph" w:customStyle="1" w:styleId="Text">
    <w:name w:val="Text"/>
    <w:basedOn w:val="Normal"/>
    <w:rsid w:val="00EF73D7"/>
    <w:pPr>
      <w:spacing w:after="0" w:line="240" w:lineRule="auto"/>
    </w:pPr>
    <w:rPr>
      <w:rFonts w:ascii="Times New Roman" w:eastAsia="Times New Roman" w:hAnsi="Times New Roman"/>
      <w:sz w:val="24"/>
      <w:szCs w:val="20"/>
      <w:lang w:val="es-HN"/>
    </w:rPr>
  </w:style>
  <w:style w:type="paragraph" w:customStyle="1" w:styleId="Pa18">
    <w:name w:val="Pa18"/>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22">
    <w:name w:val="Pa22"/>
    <w:basedOn w:val="Default"/>
    <w:next w:val="Default"/>
    <w:uiPriority w:val="99"/>
    <w:rsid w:val="00EF73D7"/>
    <w:pPr>
      <w:spacing w:line="221" w:lineRule="atLeast"/>
    </w:pPr>
    <w:rPr>
      <w:rFonts w:ascii="Palatino Linotype" w:hAnsi="Palatino Linotype" w:cs="Times New Roman"/>
      <w:color w:val="auto"/>
      <w:lang w:eastAsia="en-US"/>
    </w:rPr>
  </w:style>
  <w:style w:type="paragraph" w:customStyle="1" w:styleId="Pa0">
    <w:name w:val="Pa0"/>
    <w:basedOn w:val="Default"/>
    <w:next w:val="Default"/>
    <w:uiPriority w:val="99"/>
    <w:rsid w:val="00EF73D7"/>
    <w:pPr>
      <w:spacing w:line="241" w:lineRule="atLeast"/>
    </w:pPr>
    <w:rPr>
      <w:rFonts w:ascii="Arial" w:hAnsi="Arial" w:cs="Arial"/>
      <w:color w:val="auto"/>
      <w:lang w:eastAsia="en-US"/>
    </w:rPr>
  </w:style>
  <w:style w:type="paragraph" w:customStyle="1" w:styleId="Pa57">
    <w:name w:val="Pa57"/>
    <w:basedOn w:val="Default"/>
    <w:next w:val="Default"/>
    <w:uiPriority w:val="99"/>
    <w:rsid w:val="00EF73D7"/>
    <w:pPr>
      <w:spacing w:line="141" w:lineRule="atLeast"/>
    </w:pPr>
    <w:rPr>
      <w:rFonts w:ascii="Futura Std" w:hAnsi="Futura Std" w:cs="Times New Roman"/>
      <w:color w:val="auto"/>
      <w:lang w:eastAsia="en-US"/>
    </w:rPr>
  </w:style>
  <w:style w:type="character" w:customStyle="1" w:styleId="descriptionid23624382siteid781">
    <w:name w:val="descriptionid23624382siteid781"/>
    <w:rsid w:val="00EF73D7"/>
    <w:rPr>
      <w:rFonts w:ascii="Arial" w:hAnsi="Arial" w:cs="Arial" w:hint="default"/>
      <w:color w:val="333333"/>
      <w:sz w:val="20"/>
      <w:szCs w:val="20"/>
    </w:rPr>
  </w:style>
  <w:style w:type="paragraph" w:customStyle="1" w:styleId="centrado">
    <w:name w:val="centrado"/>
    <w:basedOn w:val="Normal"/>
    <w:rsid w:val="00EF73D7"/>
    <w:pPr>
      <w:spacing w:before="100" w:beforeAutospacing="1" w:after="100" w:afterAutospacing="1" w:line="240" w:lineRule="auto"/>
      <w:jc w:val="center"/>
    </w:pPr>
    <w:rPr>
      <w:rFonts w:eastAsia="Times New Roman" w:cs="Arial"/>
      <w:sz w:val="24"/>
      <w:szCs w:val="24"/>
      <w:lang w:val="es-CO" w:eastAsia="es-CO"/>
    </w:rPr>
  </w:style>
  <w:style w:type="character" w:customStyle="1" w:styleId="baj1">
    <w:name w:val="b_aj1"/>
    <w:rsid w:val="00EF73D7"/>
    <w:rPr>
      <w:b/>
      <w:bCs/>
      <w:color w:val="244700"/>
    </w:rPr>
  </w:style>
  <w:style w:type="character" w:customStyle="1" w:styleId="TextoindependienteCar1">
    <w:name w:val="Texto independiente Car1"/>
    <w:uiPriority w:val="99"/>
    <w:semiHidden/>
    <w:rsid w:val="00EF73D7"/>
    <w:rPr>
      <w:sz w:val="22"/>
      <w:szCs w:val="22"/>
      <w:lang w:val="es-ES" w:eastAsia="en-US"/>
    </w:rPr>
  </w:style>
  <w:style w:type="paragraph" w:customStyle="1" w:styleId="CM13">
    <w:name w:val="CM13"/>
    <w:basedOn w:val="Default"/>
    <w:next w:val="Default"/>
    <w:uiPriority w:val="99"/>
    <w:rsid w:val="00EF73D7"/>
    <w:rPr>
      <w:rFonts w:ascii="Arial" w:hAnsi="Arial" w:cs="Arial"/>
      <w:color w:val="auto"/>
    </w:rPr>
  </w:style>
  <w:style w:type="paragraph" w:customStyle="1" w:styleId="xl63">
    <w:name w:val="xl63"/>
    <w:basedOn w:val="Normal"/>
    <w:rsid w:val="00EF73D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b/>
      <w:bCs/>
      <w:sz w:val="24"/>
      <w:szCs w:val="24"/>
      <w:lang w:val="es-CO" w:eastAsia="es-CO"/>
    </w:rPr>
  </w:style>
  <w:style w:type="table" w:customStyle="1" w:styleId="Tabladecuadrcula4-nfasis321">
    <w:name w:val="Tabla de cuadrícula 4 - Énfasis 321"/>
    <w:basedOn w:val="Tablanormal"/>
    <w:uiPriority w:val="49"/>
    <w:rsid w:val="00015C71"/>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lista6concolores11">
    <w:name w:val="Tabla de lista 6 con colores11"/>
    <w:basedOn w:val="Tablanormal"/>
    <w:uiPriority w:val="51"/>
    <w:rsid w:val="00015C71"/>
    <w:rPr>
      <w:rFonts w:eastAsia="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nfasis611">
    <w:name w:val="Tabla de lista 7 con colores - Énfasis 611"/>
    <w:basedOn w:val="Tablanormal"/>
    <w:uiPriority w:val="52"/>
    <w:rsid w:val="00015C71"/>
    <w:rPr>
      <w:rFonts w:eastAsia="Times New Roman"/>
      <w:color w:val="08A4EE"/>
    </w:rPr>
    <w:tblPr>
      <w:tblStyleRowBandSize w:val="1"/>
      <w:tblStyleColBandSize w:val="1"/>
      <w:tblInd w:w="0" w:type="dxa"/>
      <w:tblCellMar>
        <w:top w:w="0" w:type="dxa"/>
        <w:left w:w="108" w:type="dxa"/>
        <w:bottom w:w="0" w:type="dxa"/>
        <w:right w:w="108" w:type="dxa"/>
      </w:tblCellMar>
    </w:tblPr>
    <w:tblStylePr w:type="firstRow">
      <w:rPr>
        <w:rFonts w:ascii="DK Crayon Crumble" w:eastAsia="Times New Roman" w:hAnsi="DK Crayon Crumble" w:cs="Times New Roman"/>
        <w:i/>
        <w:iCs/>
        <w:sz w:val="26"/>
      </w:rPr>
      <w:tblPr/>
      <w:tcPr>
        <w:tcBorders>
          <w:bottom w:val="single" w:sz="4" w:space="0" w:color="51C3F9"/>
        </w:tcBorders>
        <w:shd w:val="clear" w:color="auto" w:fill="FFFFFF"/>
      </w:tcPr>
    </w:tblStylePr>
    <w:tblStylePr w:type="lastRow">
      <w:rPr>
        <w:rFonts w:ascii="DK Crayon Crumble" w:eastAsia="Times New Roman" w:hAnsi="DK Crayon Crumble" w:cs="Times New Roman"/>
        <w:i/>
        <w:iCs/>
        <w:sz w:val="26"/>
      </w:rPr>
      <w:tblPr/>
      <w:tcPr>
        <w:tcBorders>
          <w:top w:val="single" w:sz="4" w:space="0" w:color="51C3F9"/>
        </w:tcBorders>
        <w:shd w:val="clear" w:color="auto" w:fill="FFFFFF"/>
      </w:tcPr>
    </w:tblStylePr>
    <w:tblStylePr w:type="firstCol">
      <w:pPr>
        <w:jc w:val="right"/>
      </w:pPr>
      <w:rPr>
        <w:rFonts w:ascii="DK Crayon Crumble" w:eastAsia="Times New Roman" w:hAnsi="DK Crayon Crumble" w:cs="Times New Roman"/>
        <w:i/>
        <w:iCs/>
        <w:sz w:val="26"/>
      </w:rPr>
      <w:tblPr/>
      <w:tcPr>
        <w:tcBorders>
          <w:right w:val="single" w:sz="4" w:space="0" w:color="51C3F9"/>
        </w:tcBorders>
        <w:shd w:val="clear" w:color="auto" w:fill="FFFFFF"/>
      </w:tcPr>
    </w:tblStylePr>
    <w:tblStylePr w:type="lastCol">
      <w:rPr>
        <w:rFonts w:ascii="DK Crayon Crumble" w:eastAsia="Times New Roman" w:hAnsi="DK Crayon Crumble" w:cs="Times New Roman"/>
        <w:i/>
        <w:iCs/>
        <w:sz w:val="26"/>
      </w:rPr>
      <w:tblPr/>
      <w:tcPr>
        <w:tcBorders>
          <w:left w:val="single" w:sz="4" w:space="0" w:color="51C3F9"/>
        </w:tcBorders>
        <w:shd w:val="clear" w:color="auto" w:fill="FFFFFF"/>
      </w:tcPr>
    </w:tblStylePr>
    <w:tblStylePr w:type="band1Vert">
      <w:tblPr/>
      <w:tcPr>
        <w:shd w:val="clear" w:color="auto" w:fill="DCF3FD"/>
      </w:tcPr>
    </w:tblStylePr>
    <w:tblStylePr w:type="band1Horz">
      <w:tblPr/>
      <w:tcPr>
        <w:shd w:val="clear" w:color="auto" w:fill="DCF3F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nfasis121">
    <w:name w:val="Tabla de cuadrícula 1 clara - Énfasis 121"/>
    <w:basedOn w:val="Tablanormal"/>
    <w:uiPriority w:val="46"/>
    <w:rsid w:val="00015C71"/>
    <w:rPr>
      <w:sz w:val="22"/>
      <w:szCs w:val="22"/>
      <w:lang w:eastAsia="en-US"/>
    </w:rPr>
    <w:tblPr>
      <w:tblStyleRowBandSize w:val="1"/>
      <w:tblStyleColBandSize w:val="1"/>
      <w:tblInd w:w="0" w:type="dxa"/>
      <w:tblBorders>
        <w:top w:val="single" w:sz="4" w:space="0" w:color="D6EAAF"/>
        <w:left w:val="single" w:sz="4" w:space="0" w:color="D6EAAF"/>
        <w:bottom w:val="single" w:sz="4" w:space="0" w:color="D6EAAF"/>
        <w:right w:val="single" w:sz="4" w:space="0" w:color="D6EAAF"/>
        <w:insideH w:val="single" w:sz="4" w:space="0" w:color="D6EAAF"/>
        <w:insideV w:val="single" w:sz="4" w:space="0" w:color="D6EAAF"/>
      </w:tblBorders>
      <w:tblCellMar>
        <w:top w:w="0" w:type="dxa"/>
        <w:left w:w="108" w:type="dxa"/>
        <w:bottom w:w="0" w:type="dxa"/>
        <w:right w:w="108" w:type="dxa"/>
      </w:tblCellMar>
    </w:tblPr>
    <w:tblStylePr w:type="firstRow">
      <w:rPr>
        <w:b/>
        <w:bCs/>
      </w:rPr>
      <w:tblPr/>
      <w:tcPr>
        <w:tcBorders>
          <w:bottom w:val="single" w:sz="12" w:space="0" w:color="C1DF87"/>
        </w:tcBorders>
      </w:tcPr>
    </w:tblStylePr>
    <w:tblStylePr w:type="lastRow">
      <w:rPr>
        <w:b/>
        <w:bCs/>
      </w:rPr>
      <w:tblPr/>
      <w:tcPr>
        <w:tcBorders>
          <w:top w:val="double" w:sz="2" w:space="0" w:color="C1DF87"/>
        </w:tcBorders>
      </w:tcPr>
    </w:tblStylePr>
    <w:tblStylePr w:type="firstCol">
      <w:rPr>
        <w:b/>
        <w:bCs/>
      </w:rPr>
    </w:tblStylePr>
    <w:tblStylePr w:type="lastCol">
      <w:rPr>
        <w:b/>
        <w:bCs/>
      </w:rPr>
    </w:tblStylePr>
  </w:style>
  <w:style w:type="table" w:customStyle="1" w:styleId="Tabladecuadrcula5oscura-nfasis121">
    <w:name w:val="Tabla de cuadrícula 5 oscura - Énfasis 121"/>
    <w:basedOn w:val="Tablanormal"/>
    <w:uiPriority w:val="50"/>
    <w:rsid w:val="00015C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4D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9CB3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9CB3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9CB3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9CB38"/>
      </w:tcPr>
    </w:tblStylePr>
    <w:tblStylePr w:type="band1Vert">
      <w:tblPr/>
      <w:tcPr>
        <w:shd w:val="clear" w:color="auto" w:fill="D6EAAF"/>
      </w:tcPr>
    </w:tblStylePr>
    <w:tblStylePr w:type="band1Horz">
      <w:tblPr/>
      <w:tcPr>
        <w:shd w:val="clear" w:color="auto" w:fill="D6EAAF"/>
      </w:tcPr>
    </w:tblStylePr>
  </w:style>
  <w:style w:type="table" w:customStyle="1" w:styleId="Tabladecuadrcula5oscura-nfasis611">
    <w:name w:val="Tabla de cuadrícula 5 oscura - Énfasis 611"/>
    <w:basedOn w:val="Tablanormal"/>
    <w:uiPriority w:val="50"/>
    <w:rsid w:val="00015C71"/>
    <w:rPr>
      <w:rFonts w:eastAsia="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31">
    <w:name w:val="Tabla de cuadrícula 4 - Énfasis 631"/>
    <w:basedOn w:val="Tablanormal"/>
    <w:uiPriority w:val="49"/>
    <w:rsid w:val="00015C71"/>
    <w:rPr>
      <w:rFonts w:eastAsia="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3-nfasis612">
    <w:name w:val="Tabla de lista 3 - Énfasis 612"/>
    <w:basedOn w:val="Tablanormal"/>
    <w:uiPriority w:val="48"/>
    <w:rsid w:val="00015C71"/>
    <w:rPr>
      <w:rFonts w:eastAsia="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Tabladecuadrcula2-nfasis621">
    <w:name w:val="Tabla de cuadrícula 2 - Énfasis 621"/>
    <w:basedOn w:val="Tablanormal"/>
    <w:uiPriority w:val="47"/>
    <w:rsid w:val="00015C71"/>
    <w:rPr>
      <w:rFonts w:eastAsia="Times New Roman"/>
    </w:rPr>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lista6concolores-nfasis611">
    <w:name w:val="Tabla de lista 6 con colores - Énfasis 611"/>
    <w:basedOn w:val="Tablanormal"/>
    <w:uiPriority w:val="51"/>
    <w:rsid w:val="00015C71"/>
    <w:rPr>
      <w:rFonts w:eastAsia="Times New Roman"/>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gmail-msonormal">
    <w:name w:val="gmail-msonormal"/>
    <w:basedOn w:val="Normal"/>
    <w:rsid w:val="00622F24"/>
    <w:pPr>
      <w:spacing w:before="100" w:beforeAutospacing="1" w:after="100" w:afterAutospacing="1" w:line="240" w:lineRule="auto"/>
    </w:pPr>
    <w:rPr>
      <w:rFonts w:ascii="Times New Roman" w:eastAsiaTheme="minorHAnsi" w:hAnsi="Times New Roman"/>
      <w:sz w:val="24"/>
      <w:szCs w:val="24"/>
      <w:lang w:eastAsia="es-ES"/>
    </w:rPr>
  </w:style>
  <w:style w:type="table" w:customStyle="1" w:styleId="Tabladelista4-nfasis61">
    <w:name w:val="Tabla de lista 4 - Énfasis 61"/>
    <w:basedOn w:val="Tablanormal"/>
    <w:uiPriority w:val="49"/>
    <w:rsid w:val="00BB069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
    <w:name w:val="Tabla con cuadrícula2"/>
    <w:basedOn w:val="Tablanormal"/>
    <w:next w:val="Tablaconcuadrcula"/>
    <w:uiPriority w:val="59"/>
    <w:rsid w:val="00D359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delista3-nfasis611">
    <w:name w:val="Tabla de lista 3 - Énfasis 611"/>
    <w:basedOn w:val="Tablanormal"/>
    <w:uiPriority w:val="48"/>
    <w:rsid w:val="00D35939"/>
    <w:rPr>
      <w:rFonts w:eastAsia="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1337">
      <w:bodyDiv w:val="1"/>
      <w:marLeft w:val="0"/>
      <w:marRight w:val="0"/>
      <w:marTop w:val="0"/>
      <w:marBottom w:val="0"/>
      <w:divBdr>
        <w:top w:val="none" w:sz="0" w:space="0" w:color="auto"/>
        <w:left w:val="none" w:sz="0" w:space="0" w:color="auto"/>
        <w:bottom w:val="none" w:sz="0" w:space="0" w:color="auto"/>
        <w:right w:val="none" w:sz="0" w:space="0" w:color="auto"/>
      </w:divBdr>
    </w:div>
    <w:div w:id="72819414">
      <w:bodyDiv w:val="1"/>
      <w:marLeft w:val="0"/>
      <w:marRight w:val="0"/>
      <w:marTop w:val="0"/>
      <w:marBottom w:val="0"/>
      <w:divBdr>
        <w:top w:val="none" w:sz="0" w:space="0" w:color="auto"/>
        <w:left w:val="none" w:sz="0" w:space="0" w:color="auto"/>
        <w:bottom w:val="none" w:sz="0" w:space="0" w:color="auto"/>
        <w:right w:val="none" w:sz="0" w:space="0" w:color="auto"/>
      </w:divBdr>
    </w:div>
    <w:div w:id="115954253">
      <w:bodyDiv w:val="1"/>
      <w:marLeft w:val="0"/>
      <w:marRight w:val="0"/>
      <w:marTop w:val="0"/>
      <w:marBottom w:val="0"/>
      <w:divBdr>
        <w:top w:val="none" w:sz="0" w:space="0" w:color="auto"/>
        <w:left w:val="none" w:sz="0" w:space="0" w:color="auto"/>
        <w:bottom w:val="none" w:sz="0" w:space="0" w:color="auto"/>
        <w:right w:val="none" w:sz="0" w:space="0" w:color="auto"/>
      </w:divBdr>
      <w:divsChild>
        <w:div w:id="1330911017">
          <w:marLeft w:val="547"/>
          <w:marRight w:val="0"/>
          <w:marTop w:val="0"/>
          <w:marBottom w:val="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60043888">
      <w:bodyDiv w:val="1"/>
      <w:marLeft w:val="0"/>
      <w:marRight w:val="0"/>
      <w:marTop w:val="0"/>
      <w:marBottom w:val="0"/>
      <w:divBdr>
        <w:top w:val="none" w:sz="0" w:space="0" w:color="auto"/>
        <w:left w:val="none" w:sz="0" w:space="0" w:color="auto"/>
        <w:bottom w:val="none" w:sz="0" w:space="0" w:color="auto"/>
        <w:right w:val="none" w:sz="0" w:space="0" w:color="auto"/>
      </w:divBdr>
    </w:div>
    <w:div w:id="179004485">
      <w:bodyDiv w:val="1"/>
      <w:marLeft w:val="0"/>
      <w:marRight w:val="0"/>
      <w:marTop w:val="0"/>
      <w:marBottom w:val="0"/>
      <w:divBdr>
        <w:top w:val="none" w:sz="0" w:space="0" w:color="auto"/>
        <w:left w:val="none" w:sz="0" w:space="0" w:color="auto"/>
        <w:bottom w:val="none" w:sz="0" w:space="0" w:color="auto"/>
        <w:right w:val="none" w:sz="0" w:space="0" w:color="auto"/>
      </w:divBdr>
    </w:div>
    <w:div w:id="206769137">
      <w:bodyDiv w:val="1"/>
      <w:marLeft w:val="0"/>
      <w:marRight w:val="0"/>
      <w:marTop w:val="0"/>
      <w:marBottom w:val="0"/>
      <w:divBdr>
        <w:top w:val="none" w:sz="0" w:space="0" w:color="auto"/>
        <w:left w:val="none" w:sz="0" w:space="0" w:color="auto"/>
        <w:bottom w:val="none" w:sz="0" w:space="0" w:color="auto"/>
        <w:right w:val="none" w:sz="0" w:space="0" w:color="auto"/>
      </w:divBdr>
    </w:div>
    <w:div w:id="236134519">
      <w:bodyDiv w:val="1"/>
      <w:marLeft w:val="0"/>
      <w:marRight w:val="0"/>
      <w:marTop w:val="0"/>
      <w:marBottom w:val="0"/>
      <w:divBdr>
        <w:top w:val="none" w:sz="0" w:space="0" w:color="auto"/>
        <w:left w:val="none" w:sz="0" w:space="0" w:color="auto"/>
        <w:bottom w:val="none" w:sz="0" w:space="0" w:color="auto"/>
        <w:right w:val="none" w:sz="0" w:space="0" w:color="auto"/>
      </w:divBdr>
    </w:div>
    <w:div w:id="356347715">
      <w:bodyDiv w:val="1"/>
      <w:marLeft w:val="0"/>
      <w:marRight w:val="0"/>
      <w:marTop w:val="0"/>
      <w:marBottom w:val="0"/>
      <w:divBdr>
        <w:top w:val="none" w:sz="0" w:space="0" w:color="auto"/>
        <w:left w:val="none" w:sz="0" w:space="0" w:color="auto"/>
        <w:bottom w:val="none" w:sz="0" w:space="0" w:color="auto"/>
        <w:right w:val="none" w:sz="0" w:space="0" w:color="auto"/>
      </w:divBdr>
    </w:div>
    <w:div w:id="377359757">
      <w:bodyDiv w:val="1"/>
      <w:marLeft w:val="0"/>
      <w:marRight w:val="0"/>
      <w:marTop w:val="0"/>
      <w:marBottom w:val="0"/>
      <w:divBdr>
        <w:top w:val="none" w:sz="0" w:space="0" w:color="auto"/>
        <w:left w:val="none" w:sz="0" w:space="0" w:color="auto"/>
        <w:bottom w:val="none" w:sz="0" w:space="0" w:color="auto"/>
        <w:right w:val="none" w:sz="0" w:space="0" w:color="auto"/>
      </w:divBdr>
    </w:div>
    <w:div w:id="378483683">
      <w:bodyDiv w:val="1"/>
      <w:marLeft w:val="0"/>
      <w:marRight w:val="0"/>
      <w:marTop w:val="0"/>
      <w:marBottom w:val="0"/>
      <w:divBdr>
        <w:top w:val="none" w:sz="0" w:space="0" w:color="auto"/>
        <w:left w:val="none" w:sz="0" w:space="0" w:color="auto"/>
        <w:bottom w:val="none" w:sz="0" w:space="0" w:color="auto"/>
        <w:right w:val="none" w:sz="0" w:space="0" w:color="auto"/>
      </w:divBdr>
    </w:div>
    <w:div w:id="400443456">
      <w:bodyDiv w:val="1"/>
      <w:marLeft w:val="0"/>
      <w:marRight w:val="0"/>
      <w:marTop w:val="0"/>
      <w:marBottom w:val="0"/>
      <w:divBdr>
        <w:top w:val="none" w:sz="0" w:space="0" w:color="auto"/>
        <w:left w:val="none" w:sz="0" w:space="0" w:color="auto"/>
        <w:bottom w:val="none" w:sz="0" w:space="0" w:color="auto"/>
        <w:right w:val="none" w:sz="0" w:space="0" w:color="auto"/>
      </w:divBdr>
    </w:div>
    <w:div w:id="441075241">
      <w:bodyDiv w:val="1"/>
      <w:marLeft w:val="0"/>
      <w:marRight w:val="0"/>
      <w:marTop w:val="0"/>
      <w:marBottom w:val="0"/>
      <w:divBdr>
        <w:top w:val="none" w:sz="0" w:space="0" w:color="auto"/>
        <w:left w:val="none" w:sz="0" w:space="0" w:color="auto"/>
        <w:bottom w:val="none" w:sz="0" w:space="0" w:color="auto"/>
        <w:right w:val="none" w:sz="0" w:space="0" w:color="auto"/>
      </w:divBdr>
      <w:divsChild>
        <w:div w:id="243299424">
          <w:marLeft w:val="562"/>
          <w:marRight w:val="0"/>
          <w:marTop w:val="0"/>
          <w:marBottom w:val="0"/>
          <w:divBdr>
            <w:top w:val="none" w:sz="0" w:space="0" w:color="auto"/>
            <w:left w:val="none" w:sz="0" w:space="0" w:color="auto"/>
            <w:bottom w:val="none" w:sz="0" w:space="0" w:color="auto"/>
            <w:right w:val="none" w:sz="0" w:space="0" w:color="auto"/>
          </w:divBdr>
        </w:div>
        <w:div w:id="283729610">
          <w:marLeft w:val="562"/>
          <w:marRight w:val="0"/>
          <w:marTop w:val="0"/>
          <w:marBottom w:val="0"/>
          <w:divBdr>
            <w:top w:val="none" w:sz="0" w:space="0" w:color="auto"/>
            <w:left w:val="none" w:sz="0" w:space="0" w:color="auto"/>
            <w:bottom w:val="none" w:sz="0" w:space="0" w:color="auto"/>
            <w:right w:val="none" w:sz="0" w:space="0" w:color="auto"/>
          </w:divBdr>
        </w:div>
        <w:div w:id="639649058">
          <w:marLeft w:val="562"/>
          <w:marRight w:val="0"/>
          <w:marTop w:val="0"/>
          <w:marBottom w:val="0"/>
          <w:divBdr>
            <w:top w:val="none" w:sz="0" w:space="0" w:color="auto"/>
            <w:left w:val="none" w:sz="0" w:space="0" w:color="auto"/>
            <w:bottom w:val="none" w:sz="0" w:space="0" w:color="auto"/>
            <w:right w:val="none" w:sz="0" w:space="0" w:color="auto"/>
          </w:divBdr>
        </w:div>
        <w:div w:id="863788924">
          <w:marLeft w:val="562"/>
          <w:marRight w:val="0"/>
          <w:marTop w:val="0"/>
          <w:marBottom w:val="0"/>
          <w:divBdr>
            <w:top w:val="none" w:sz="0" w:space="0" w:color="auto"/>
            <w:left w:val="none" w:sz="0" w:space="0" w:color="auto"/>
            <w:bottom w:val="none" w:sz="0" w:space="0" w:color="auto"/>
            <w:right w:val="none" w:sz="0" w:space="0" w:color="auto"/>
          </w:divBdr>
        </w:div>
        <w:div w:id="1107458764">
          <w:marLeft w:val="562"/>
          <w:marRight w:val="0"/>
          <w:marTop w:val="0"/>
          <w:marBottom w:val="0"/>
          <w:divBdr>
            <w:top w:val="none" w:sz="0" w:space="0" w:color="auto"/>
            <w:left w:val="none" w:sz="0" w:space="0" w:color="auto"/>
            <w:bottom w:val="none" w:sz="0" w:space="0" w:color="auto"/>
            <w:right w:val="none" w:sz="0" w:space="0" w:color="auto"/>
          </w:divBdr>
        </w:div>
        <w:div w:id="1573544909">
          <w:marLeft w:val="562"/>
          <w:marRight w:val="0"/>
          <w:marTop w:val="0"/>
          <w:marBottom w:val="0"/>
          <w:divBdr>
            <w:top w:val="none" w:sz="0" w:space="0" w:color="auto"/>
            <w:left w:val="none" w:sz="0" w:space="0" w:color="auto"/>
            <w:bottom w:val="none" w:sz="0" w:space="0" w:color="auto"/>
            <w:right w:val="none" w:sz="0" w:space="0" w:color="auto"/>
          </w:divBdr>
        </w:div>
        <w:div w:id="1637100612">
          <w:marLeft w:val="562"/>
          <w:marRight w:val="0"/>
          <w:marTop w:val="0"/>
          <w:marBottom w:val="0"/>
          <w:divBdr>
            <w:top w:val="none" w:sz="0" w:space="0" w:color="auto"/>
            <w:left w:val="none" w:sz="0" w:space="0" w:color="auto"/>
            <w:bottom w:val="none" w:sz="0" w:space="0" w:color="auto"/>
            <w:right w:val="none" w:sz="0" w:space="0" w:color="auto"/>
          </w:divBdr>
        </w:div>
        <w:div w:id="1923710326">
          <w:marLeft w:val="562"/>
          <w:marRight w:val="0"/>
          <w:marTop w:val="0"/>
          <w:marBottom w:val="0"/>
          <w:divBdr>
            <w:top w:val="none" w:sz="0" w:space="0" w:color="auto"/>
            <w:left w:val="none" w:sz="0" w:space="0" w:color="auto"/>
            <w:bottom w:val="none" w:sz="0" w:space="0" w:color="auto"/>
            <w:right w:val="none" w:sz="0" w:space="0" w:color="auto"/>
          </w:divBdr>
        </w:div>
      </w:divsChild>
    </w:div>
    <w:div w:id="444273923">
      <w:bodyDiv w:val="1"/>
      <w:marLeft w:val="0"/>
      <w:marRight w:val="0"/>
      <w:marTop w:val="0"/>
      <w:marBottom w:val="0"/>
      <w:divBdr>
        <w:top w:val="none" w:sz="0" w:space="0" w:color="auto"/>
        <w:left w:val="none" w:sz="0" w:space="0" w:color="auto"/>
        <w:bottom w:val="none" w:sz="0" w:space="0" w:color="auto"/>
        <w:right w:val="none" w:sz="0" w:space="0" w:color="auto"/>
      </w:divBdr>
      <w:divsChild>
        <w:div w:id="1049912714">
          <w:marLeft w:val="720"/>
          <w:marRight w:val="0"/>
          <w:marTop w:val="120"/>
          <w:marBottom w:val="120"/>
          <w:divBdr>
            <w:top w:val="none" w:sz="0" w:space="0" w:color="auto"/>
            <w:left w:val="none" w:sz="0" w:space="0" w:color="auto"/>
            <w:bottom w:val="none" w:sz="0" w:space="0" w:color="auto"/>
            <w:right w:val="none" w:sz="0" w:space="0" w:color="auto"/>
          </w:divBdr>
        </w:div>
        <w:div w:id="1131436999">
          <w:marLeft w:val="720"/>
          <w:marRight w:val="0"/>
          <w:marTop w:val="120"/>
          <w:marBottom w:val="120"/>
          <w:divBdr>
            <w:top w:val="none" w:sz="0" w:space="0" w:color="auto"/>
            <w:left w:val="none" w:sz="0" w:space="0" w:color="auto"/>
            <w:bottom w:val="none" w:sz="0" w:space="0" w:color="auto"/>
            <w:right w:val="none" w:sz="0" w:space="0" w:color="auto"/>
          </w:divBdr>
        </w:div>
        <w:div w:id="1973977034">
          <w:marLeft w:val="720"/>
          <w:marRight w:val="0"/>
          <w:marTop w:val="120"/>
          <w:marBottom w:val="120"/>
          <w:divBdr>
            <w:top w:val="none" w:sz="0" w:space="0" w:color="auto"/>
            <w:left w:val="none" w:sz="0" w:space="0" w:color="auto"/>
            <w:bottom w:val="none" w:sz="0" w:space="0" w:color="auto"/>
            <w:right w:val="none" w:sz="0" w:space="0" w:color="auto"/>
          </w:divBdr>
        </w:div>
        <w:div w:id="2048797896">
          <w:marLeft w:val="720"/>
          <w:marRight w:val="0"/>
          <w:marTop w:val="120"/>
          <w:marBottom w:val="120"/>
          <w:divBdr>
            <w:top w:val="none" w:sz="0" w:space="0" w:color="auto"/>
            <w:left w:val="none" w:sz="0" w:space="0" w:color="auto"/>
            <w:bottom w:val="none" w:sz="0" w:space="0" w:color="auto"/>
            <w:right w:val="none" w:sz="0" w:space="0" w:color="auto"/>
          </w:divBdr>
        </w:div>
      </w:divsChild>
    </w:div>
    <w:div w:id="475297944">
      <w:bodyDiv w:val="1"/>
      <w:marLeft w:val="0"/>
      <w:marRight w:val="0"/>
      <w:marTop w:val="0"/>
      <w:marBottom w:val="0"/>
      <w:divBdr>
        <w:top w:val="none" w:sz="0" w:space="0" w:color="auto"/>
        <w:left w:val="none" w:sz="0" w:space="0" w:color="auto"/>
        <w:bottom w:val="none" w:sz="0" w:space="0" w:color="auto"/>
        <w:right w:val="none" w:sz="0" w:space="0" w:color="auto"/>
      </w:divBdr>
    </w:div>
    <w:div w:id="485365361">
      <w:bodyDiv w:val="1"/>
      <w:marLeft w:val="0"/>
      <w:marRight w:val="0"/>
      <w:marTop w:val="0"/>
      <w:marBottom w:val="0"/>
      <w:divBdr>
        <w:top w:val="none" w:sz="0" w:space="0" w:color="auto"/>
        <w:left w:val="none" w:sz="0" w:space="0" w:color="auto"/>
        <w:bottom w:val="none" w:sz="0" w:space="0" w:color="auto"/>
        <w:right w:val="none" w:sz="0" w:space="0" w:color="auto"/>
      </w:divBdr>
    </w:div>
    <w:div w:id="511381350">
      <w:bodyDiv w:val="1"/>
      <w:marLeft w:val="0"/>
      <w:marRight w:val="0"/>
      <w:marTop w:val="0"/>
      <w:marBottom w:val="0"/>
      <w:divBdr>
        <w:top w:val="none" w:sz="0" w:space="0" w:color="auto"/>
        <w:left w:val="none" w:sz="0" w:space="0" w:color="auto"/>
        <w:bottom w:val="none" w:sz="0" w:space="0" w:color="auto"/>
        <w:right w:val="none" w:sz="0" w:space="0" w:color="auto"/>
      </w:divBdr>
    </w:div>
    <w:div w:id="533732129">
      <w:bodyDiv w:val="1"/>
      <w:marLeft w:val="0"/>
      <w:marRight w:val="0"/>
      <w:marTop w:val="0"/>
      <w:marBottom w:val="0"/>
      <w:divBdr>
        <w:top w:val="none" w:sz="0" w:space="0" w:color="auto"/>
        <w:left w:val="none" w:sz="0" w:space="0" w:color="auto"/>
        <w:bottom w:val="none" w:sz="0" w:space="0" w:color="auto"/>
        <w:right w:val="none" w:sz="0" w:space="0" w:color="auto"/>
      </w:divBdr>
    </w:div>
    <w:div w:id="568540514">
      <w:bodyDiv w:val="1"/>
      <w:marLeft w:val="0"/>
      <w:marRight w:val="0"/>
      <w:marTop w:val="0"/>
      <w:marBottom w:val="0"/>
      <w:divBdr>
        <w:top w:val="none" w:sz="0" w:space="0" w:color="auto"/>
        <w:left w:val="none" w:sz="0" w:space="0" w:color="auto"/>
        <w:bottom w:val="none" w:sz="0" w:space="0" w:color="auto"/>
        <w:right w:val="none" w:sz="0" w:space="0" w:color="auto"/>
      </w:divBdr>
    </w:div>
    <w:div w:id="605579598">
      <w:bodyDiv w:val="1"/>
      <w:marLeft w:val="0"/>
      <w:marRight w:val="0"/>
      <w:marTop w:val="0"/>
      <w:marBottom w:val="0"/>
      <w:divBdr>
        <w:top w:val="none" w:sz="0" w:space="0" w:color="auto"/>
        <w:left w:val="none" w:sz="0" w:space="0" w:color="auto"/>
        <w:bottom w:val="none" w:sz="0" w:space="0" w:color="auto"/>
        <w:right w:val="none" w:sz="0" w:space="0" w:color="auto"/>
      </w:divBdr>
      <w:divsChild>
        <w:div w:id="1355889442">
          <w:marLeft w:val="547"/>
          <w:marRight w:val="0"/>
          <w:marTop w:val="0"/>
          <w:marBottom w:val="0"/>
          <w:divBdr>
            <w:top w:val="none" w:sz="0" w:space="0" w:color="auto"/>
            <w:left w:val="none" w:sz="0" w:space="0" w:color="auto"/>
            <w:bottom w:val="none" w:sz="0" w:space="0" w:color="auto"/>
            <w:right w:val="none" w:sz="0" w:space="0" w:color="auto"/>
          </w:divBdr>
        </w:div>
        <w:div w:id="1678383856">
          <w:marLeft w:val="547"/>
          <w:marRight w:val="0"/>
          <w:marTop w:val="0"/>
          <w:marBottom w:val="0"/>
          <w:divBdr>
            <w:top w:val="none" w:sz="0" w:space="0" w:color="auto"/>
            <w:left w:val="none" w:sz="0" w:space="0" w:color="auto"/>
            <w:bottom w:val="none" w:sz="0" w:space="0" w:color="auto"/>
            <w:right w:val="none" w:sz="0" w:space="0" w:color="auto"/>
          </w:divBdr>
        </w:div>
      </w:divsChild>
    </w:div>
    <w:div w:id="606278615">
      <w:bodyDiv w:val="1"/>
      <w:marLeft w:val="0"/>
      <w:marRight w:val="0"/>
      <w:marTop w:val="0"/>
      <w:marBottom w:val="0"/>
      <w:divBdr>
        <w:top w:val="none" w:sz="0" w:space="0" w:color="auto"/>
        <w:left w:val="none" w:sz="0" w:space="0" w:color="auto"/>
        <w:bottom w:val="none" w:sz="0" w:space="0" w:color="auto"/>
        <w:right w:val="none" w:sz="0" w:space="0" w:color="auto"/>
      </w:divBdr>
    </w:div>
    <w:div w:id="635257162">
      <w:bodyDiv w:val="1"/>
      <w:marLeft w:val="0"/>
      <w:marRight w:val="0"/>
      <w:marTop w:val="0"/>
      <w:marBottom w:val="0"/>
      <w:divBdr>
        <w:top w:val="none" w:sz="0" w:space="0" w:color="auto"/>
        <w:left w:val="none" w:sz="0" w:space="0" w:color="auto"/>
        <w:bottom w:val="none" w:sz="0" w:space="0" w:color="auto"/>
        <w:right w:val="none" w:sz="0" w:space="0" w:color="auto"/>
      </w:divBdr>
    </w:div>
    <w:div w:id="703292138">
      <w:bodyDiv w:val="1"/>
      <w:marLeft w:val="0"/>
      <w:marRight w:val="0"/>
      <w:marTop w:val="0"/>
      <w:marBottom w:val="0"/>
      <w:divBdr>
        <w:top w:val="none" w:sz="0" w:space="0" w:color="auto"/>
        <w:left w:val="none" w:sz="0" w:space="0" w:color="auto"/>
        <w:bottom w:val="none" w:sz="0" w:space="0" w:color="auto"/>
        <w:right w:val="none" w:sz="0" w:space="0" w:color="auto"/>
      </w:divBdr>
      <w:divsChild>
        <w:div w:id="1389111285">
          <w:marLeft w:val="0"/>
          <w:marRight w:val="0"/>
          <w:marTop w:val="0"/>
          <w:marBottom w:val="0"/>
          <w:divBdr>
            <w:top w:val="none" w:sz="0" w:space="0" w:color="auto"/>
            <w:left w:val="none" w:sz="0" w:space="0" w:color="auto"/>
            <w:bottom w:val="none" w:sz="0" w:space="0" w:color="auto"/>
            <w:right w:val="none" w:sz="0" w:space="0" w:color="auto"/>
          </w:divBdr>
        </w:div>
      </w:divsChild>
    </w:div>
    <w:div w:id="749234607">
      <w:bodyDiv w:val="1"/>
      <w:marLeft w:val="0"/>
      <w:marRight w:val="0"/>
      <w:marTop w:val="0"/>
      <w:marBottom w:val="0"/>
      <w:divBdr>
        <w:top w:val="none" w:sz="0" w:space="0" w:color="auto"/>
        <w:left w:val="none" w:sz="0" w:space="0" w:color="auto"/>
        <w:bottom w:val="none" w:sz="0" w:space="0" w:color="auto"/>
        <w:right w:val="none" w:sz="0" w:space="0" w:color="auto"/>
      </w:divBdr>
      <w:divsChild>
        <w:div w:id="747463117">
          <w:marLeft w:val="994"/>
          <w:marRight w:val="0"/>
          <w:marTop w:val="0"/>
          <w:marBottom w:val="0"/>
          <w:divBdr>
            <w:top w:val="none" w:sz="0" w:space="0" w:color="auto"/>
            <w:left w:val="none" w:sz="0" w:space="0" w:color="auto"/>
            <w:bottom w:val="none" w:sz="0" w:space="0" w:color="auto"/>
            <w:right w:val="none" w:sz="0" w:space="0" w:color="auto"/>
          </w:divBdr>
        </w:div>
        <w:div w:id="1625311982">
          <w:marLeft w:val="994"/>
          <w:marRight w:val="0"/>
          <w:marTop w:val="0"/>
          <w:marBottom w:val="0"/>
          <w:divBdr>
            <w:top w:val="none" w:sz="0" w:space="0" w:color="auto"/>
            <w:left w:val="none" w:sz="0" w:space="0" w:color="auto"/>
            <w:bottom w:val="none" w:sz="0" w:space="0" w:color="auto"/>
            <w:right w:val="none" w:sz="0" w:space="0" w:color="auto"/>
          </w:divBdr>
        </w:div>
        <w:div w:id="1849439107">
          <w:marLeft w:val="994"/>
          <w:marRight w:val="0"/>
          <w:marTop w:val="0"/>
          <w:marBottom w:val="0"/>
          <w:divBdr>
            <w:top w:val="none" w:sz="0" w:space="0" w:color="auto"/>
            <w:left w:val="none" w:sz="0" w:space="0" w:color="auto"/>
            <w:bottom w:val="none" w:sz="0" w:space="0" w:color="auto"/>
            <w:right w:val="none" w:sz="0" w:space="0" w:color="auto"/>
          </w:divBdr>
        </w:div>
      </w:divsChild>
    </w:div>
    <w:div w:id="786122420">
      <w:bodyDiv w:val="1"/>
      <w:marLeft w:val="0"/>
      <w:marRight w:val="0"/>
      <w:marTop w:val="0"/>
      <w:marBottom w:val="0"/>
      <w:divBdr>
        <w:top w:val="none" w:sz="0" w:space="0" w:color="auto"/>
        <w:left w:val="none" w:sz="0" w:space="0" w:color="auto"/>
        <w:bottom w:val="none" w:sz="0" w:space="0" w:color="auto"/>
        <w:right w:val="none" w:sz="0" w:space="0" w:color="auto"/>
      </w:divBdr>
    </w:div>
    <w:div w:id="816804186">
      <w:bodyDiv w:val="1"/>
      <w:marLeft w:val="0"/>
      <w:marRight w:val="0"/>
      <w:marTop w:val="0"/>
      <w:marBottom w:val="0"/>
      <w:divBdr>
        <w:top w:val="none" w:sz="0" w:space="0" w:color="auto"/>
        <w:left w:val="none" w:sz="0" w:space="0" w:color="auto"/>
        <w:bottom w:val="none" w:sz="0" w:space="0" w:color="auto"/>
        <w:right w:val="none" w:sz="0" w:space="0" w:color="auto"/>
      </w:divBdr>
      <w:divsChild>
        <w:div w:id="31537915">
          <w:marLeft w:val="720"/>
          <w:marRight w:val="0"/>
          <w:marTop w:val="120"/>
          <w:marBottom w:val="120"/>
          <w:divBdr>
            <w:top w:val="none" w:sz="0" w:space="0" w:color="auto"/>
            <w:left w:val="none" w:sz="0" w:space="0" w:color="auto"/>
            <w:bottom w:val="none" w:sz="0" w:space="0" w:color="auto"/>
            <w:right w:val="none" w:sz="0" w:space="0" w:color="auto"/>
          </w:divBdr>
        </w:div>
        <w:div w:id="410086832">
          <w:marLeft w:val="720"/>
          <w:marRight w:val="0"/>
          <w:marTop w:val="120"/>
          <w:marBottom w:val="120"/>
          <w:divBdr>
            <w:top w:val="none" w:sz="0" w:space="0" w:color="auto"/>
            <w:left w:val="none" w:sz="0" w:space="0" w:color="auto"/>
            <w:bottom w:val="none" w:sz="0" w:space="0" w:color="auto"/>
            <w:right w:val="none" w:sz="0" w:space="0" w:color="auto"/>
          </w:divBdr>
        </w:div>
        <w:div w:id="849024396">
          <w:marLeft w:val="720"/>
          <w:marRight w:val="0"/>
          <w:marTop w:val="120"/>
          <w:marBottom w:val="120"/>
          <w:divBdr>
            <w:top w:val="none" w:sz="0" w:space="0" w:color="auto"/>
            <w:left w:val="none" w:sz="0" w:space="0" w:color="auto"/>
            <w:bottom w:val="none" w:sz="0" w:space="0" w:color="auto"/>
            <w:right w:val="none" w:sz="0" w:space="0" w:color="auto"/>
          </w:divBdr>
        </w:div>
        <w:div w:id="1875724822">
          <w:marLeft w:val="720"/>
          <w:marRight w:val="0"/>
          <w:marTop w:val="120"/>
          <w:marBottom w:val="120"/>
          <w:divBdr>
            <w:top w:val="none" w:sz="0" w:space="0" w:color="auto"/>
            <w:left w:val="none" w:sz="0" w:space="0" w:color="auto"/>
            <w:bottom w:val="none" w:sz="0" w:space="0" w:color="auto"/>
            <w:right w:val="none" w:sz="0" w:space="0" w:color="auto"/>
          </w:divBdr>
        </w:div>
      </w:divsChild>
    </w:div>
    <w:div w:id="852258522">
      <w:bodyDiv w:val="1"/>
      <w:marLeft w:val="0"/>
      <w:marRight w:val="0"/>
      <w:marTop w:val="0"/>
      <w:marBottom w:val="0"/>
      <w:divBdr>
        <w:top w:val="none" w:sz="0" w:space="0" w:color="auto"/>
        <w:left w:val="none" w:sz="0" w:space="0" w:color="auto"/>
        <w:bottom w:val="none" w:sz="0" w:space="0" w:color="auto"/>
        <w:right w:val="none" w:sz="0" w:space="0" w:color="auto"/>
      </w:divBdr>
    </w:div>
    <w:div w:id="885288761">
      <w:bodyDiv w:val="1"/>
      <w:marLeft w:val="0"/>
      <w:marRight w:val="0"/>
      <w:marTop w:val="0"/>
      <w:marBottom w:val="0"/>
      <w:divBdr>
        <w:top w:val="none" w:sz="0" w:space="0" w:color="auto"/>
        <w:left w:val="none" w:sz="0" w:space="0" w:color="auto"/>
        <w:bottom w:val="none" w:sz="0" w:space="0" w:color="auto"/>
        <w:right w:val="none" w:sz="0" w:space="0" w:color="auto"/>
      </w:divBdr>
    </w:div>
    <w:div w:id="909852691">
      <w:bodyDiv w:val="1"/>
      <w:marLeft w:val="0"/>
      <w:marRight w:val="0"/>
      <w:marTop w:val="0"/>
      <w:marBottom w:val="0"/>
      <w:divBdr>
        <w:top w:val="none" w:sz="0" w:space="0" w:color="auto"/>
        <w:left w:val="none" w:sz="0" w:space="0" w:color="auto"/>
        <w:bottom w:val="none" w:sz="0" w:space="0" w:color="auto"/>
        <w:right w:val="none" w:sz="0" w:space="0" w:color="auto"/>
      </w:divBdr>
      <w:divsChild>
        <w:div w:id="614563680">
          <w:marLeft w:val="0"/>
          <w:marRight w:val="0"/>
          <w:marTop w:val="0"/>
          <w:marBottom w:val="0"/>
          <w:divBdr>
            <w:top w:val="none" w:sz="0" w:space="0" w:color="auto"/>
            <w:left w:val="none" w:sz="0" w:space="0" w:color="auto"/>
            <w:bottom w:val="none" w:sz="0" w:space="0" w:color="auto"/>
            <w:right w:val="none" w:sz="0" w:space="0" w:color="auto"/>
          </w:divBdr>
        </w:div>
        <w:div w:id="1185482236">
          <w:marLeft w:val="0"/>
          <w:marRight w:val="0"/>
          <w:marTop w:val="0"/>
          <w:marBottom w:val="0"/>
          <w:divBdr>
            <w:top w:val="none" w:sz="0" w:space="0" w:color="auto"/>
            <w:left w:val="none" w:sz="0" w:space="0" w:color="auto"/>
            <w:bottom w:val="none" w:sz="0" w:space="0" w:color="auto"/>
            <w:right w:val="none" w:sz="0" w:space="0" w:color="auto"/>
          </w:divBdr>
        </w:div>
      </w:divsChild>
    </w:div>
    <w:div w:id="924073167">
      <w:bodyDiv w:val="1"/>
      <w:marLeft w:val="0"/>
      <w:marRight w:val="0"/>
      <w:marTop w:val="0"/>
      <w:marBottom w:val="0"/>
      <w:divBdr>
        <w:top w:val="none" w:sz="0" w:space="0" w:color="auto"/>
        <w:left w:val="none" w:sz="0" w:space="0" w:color="auto"/>
        <w:bottom w:val="none" w:sz="0" w:space="0" w:color="auto"/>
        <w:right w:val="none" w:sz="0" w:space="0" w:color="auto"/>
      </w:divBdr>
      <w:divsChild>
        <w:div w:id="187909782">
          <w:marLeft w:val="547"/>
          <w:marRight w:val="0"/>
          <w:marTop w:val="120"/>
          <w:marBottom w:val="0"/>
          <w:divBdr>
            <w:top w:val="none" w:sz="0" w:space="0" w:color="auto"/>
            <w:left w:val="none" w:sz="0" w:space="0" w:color="auto"/>
            <w:bottom w:val="none" w:sz="0" w:space="0" w:color="auto"/>
            <w:right w:val="none" w:sz="0" w:space="0" w:color="auto"/>
          </w:divBdr>
        </w:div>
        <w:div w:id="484585399">
          <w:marLeft w:val="547"/>
          <w:marRight w:val="0"/>
          <w:marTop w:val="120"/>
          <w:marBottom w:val="0"/>
          <w:divBdr>
            <w:top w:val="none" w:sz="0" w:space="0" w:color="auto"/>
            <w:left w:val="none" w:sz="0" w:space="0" w:color="auto"/>
            <w:bottom w:val="none" w:sz="0" w:space="0" w:color="auto"/>
            <w:right w:val="none" w:sz="0" w:space="0" w:color="auto"/>
          </w:divBdr>
        </w:div>
        <w:div w:id="1363095527">
          <w:marLeft w:val="547"/>
          <w:marRight w:val="0"/>
          <w:marTop w:val="120"/>
          <w:marBottom w:val="0"/>
          <w:divBdr>
            <w:top w:val="none" w:sz="0" w:space="0" w:color="auto"/>
            <w:left w:val="none" w:sz="0" w:space="0" w:color="auto"/>
            <w:bottom w:val="none" w:sz="0" w:space="0" w:color="auto"/>
            <w:right w:val="none" w:sz="0" w:space="0" w:color="auto"/>
          </w:divBdr>
        </w:div>
        <w:div w:id="1567955447">
          <w:marLeft w:val="547"/>
          <w:marRight w:val="0"/>
          <w:marTop w:val="120"/>
          <w:marBottom w:val="0"/>
          <w:divBdr>
            <w:top w:val="none" w:sz="0" w:space="0" w:color="auto"/>
            <w:left w:val="none" w:sz="0" w:space="0" w:color="auto"/>
            <w:bottom w:val="none" w:sz="0" w:space="0" w:color="auto"/>
            <w:right w:val="none" w:sz="0" w:space="0" w:color="auto"/>
          </w:divBdr>
        </w:div>
        <w:div w:id="1883515054">
          <w:marLeft w:val="547"/>
          <w:marRight w:val="0"/>
          <w:marTop w:val="120"/>
          <w:marBottom w:val="0"/>
          <w:divBdr>
            <w:top w:val="none" w:sz="0" w:space="0" w:color="auto"/>
            <w:left w:val="none" w:sz="0" w:space="0" w:color="auto"/>
            <w:bottom w:val="none" w:sz="0" w:space="0" w:color="auto"/>
            <w:right w:val="none" w:sz="0" w:space="0" w:color="auto"/>
          </w:divBdr>
        </w:div>
        <w:div w:id="2009475503">
          <w:marLeft w:val="547"/>
          <w:marRight w:val="0"/>
          <w:marTop w:val="120"/>
          <w:marBottom w:val="0"/>
          <w:divBdr>
            <w:top w:val="none" w:sz="0" w:space="0" w:color="auto"/>
            <w:left w:val="none" w:sz="0" w:space="0" w:color="auto"/>
            <w:bottom w:val="none" w:sz="0" w:space="0" w:color="auto"/>
            <w:right w:val="none" w:sz="0" w:space="0" w:color="auto"/>
          </w:divBdr>
        </w:div>
      </w:divsChild>
    </w:div>
    <w:div w:id="943732402">
      <w:bodyDiv w:val="1"/>
      <w:marLeft w:val="0"/>
      <w:marRight w:val="0"/>
      <w:marTop w:val="0"/>
      <w:marBottom w:val="0"/>
      <w:divBdr>
        <w:top w:val="none" w:sz="0" w:space="0" w:color="auto"/>
        <w:left w:val="none" w:sz="0" w:space="0" w:color="auto"/>
        <w:bottom w:val="none" w:sz="0" w:space="0" w:color="auto"/>
        <w:right w:val="none" w:sz="0" w:space="0" w:color="auto"/>
      </w:divBdr>
    </w:div>
    <w:div w:id="972295663">
      <w:bodyDiv w:val="1"/>
      <w:marLeft w:val="0"/>
      <w:marRight w:val="0"/>
      <w:marTop w:val="0"/>
      <w:marBottom w:val="0"/>
      <w:divBdr>
        <w:top w:val="none" w:sz="0" w:space="0" w:color="auto"/>
        <w:left w:val="none" w:sz="0" w:space="0" w:color="auto"/>
        <w:bottom w:val="none" w:sz="0" w:space="0" w:color="auto"/>
        <w:right w:val="none" w:sz="0" w:space="0" w:color="auto"/>
      </w:divBdr>
    </w:div>
    <w:div w:id="1101989658">
      <w:bodyDiv w:val="1"/>
      <w:marLeft w:val="0"/>
      <w:marRight w:val="0"/>
      <w:marTop w:val="0"/>
      <w:marBottom w:val="0"/>
      <w:divBdr>
        <w:top w:val="none" w:sz="0" w:space="0" w:color="auto"/>
        <w:left w:val="none" w:sz="0" w:space="0" w:color="auto"/>
        <w:bottom w:val="none" w:sz="0" w:space="0" w:color="auto"/>
        <w:right w:val="none" w:sz="0" w:space="0" w:color="auto"/>
      </w:divBdr>
    </w:div>
    <w:div w:id="1102602223">
      <w:bodyDiv w:val="1"/>
      <w:marLeft w:val="0"/>
      <w:marRight w:val="0"/>
      <w:marTop w:val="0"/>
      <w:marBottom w:val="0"/>
      <w:divBdr>
        <w:top w:val="none" w:sz="0" w:space="0" w:color="auto"/>
        <w:left w:val="none" w:sz="0" w:space="0" w:color="auto"/>
        <w:bottom w:val="none" w:sz="0" w:space="0" w:color="auto"/>
        <w:right w:val="none" w:sz="0" w:space="0" w:color="auto"/>
      </w:divBdr>
      <w:divsChild>
        <w:div w:id="34815189">
          <w:marLeft w:val="0"/>
          <w:marRight w:val="0"/>
          <w:marTop w:val="0"/>
          <w:marBottom w:val="0"/>
          <w:divBdr>
            <w:top w:val="none" w:sz="0" w:space="0" w:color="auto"/>
            <w:left w:val="none" w:sz="0" w:space="0" w:color="auto"/>
            <w:bottom w:val="none" w:sz="0" w:space="0" w:color="auto"/>
            <w:right w:val="none" w:sz="0" w:space="0" w:color="auto"/>
          </w:divBdr>
          <w:divsChild>
            <w:div w:id="1673489189">
              <w:marLeft w:val="0"/>
              <w:marRight w:val="0"/>
              <w:marTop w:val="0"/>
              <w:marBottom w:val="0"/>
              <w:divBdr>
                <w:top w:val="none" w:sz="0" w:space="0" w:color="auto"/>
                <w:left w:val="none" w:sz="0" w:space="0" w:color="auto"/>
                <w:bottom w:val="none" w:sz="0" w:space="0" w:color="auto"/>
                <w:right w:val="none" w:sz="0" w:space="0" w:color="auto"/>
              </w:divBdr>
              <w:divsChild>
                <w:div w:id="275453315">
                  <w:marLeft w:val="0"/>
                  <w:marRight w:val="0"/>
                  <w:marTop w:val="0"/>
                  <w:marBottom w:val="0"/>
                  <w:divBdr>
                    <w:top w:val="none" w:sz="0" w:space="0" w:color="auto"/>
                    <w:left w:val="none" w:sz="0" w:space="0" w:color="auto"/>
                    <w:bottom w:val="none" w:sz="0" w:space="0" w:color="auto"/>
                    <w:right w:val="none" w:sz="0" w:space="0" w:color="auto"/>
                  </w:divBdr>
                  <w:divsChild>
                    <w:div w:id="318772062">
                      <w:marLeft w:val="0"/>
                      <w:marRight w:val="0"/>
                      <w:marTop w:val="0"/>
                      <w:marBottom w:val="0"/>
                      <w:divBdr>
                        <w:top w:val="none" w:sz="0" w:space="0" w:color="auto"/>
                        <w:left w:val="none" w:sz="0" w:space="0" w:color="auto"/>
                        <w:bottom w:val="none" w:sz="0" w:space="0" w:color="auto"/>
                        <w:right w:val="none" w:sz="0" w:space="0" w:color="auto"/>
                      </w:divBdr>
                      <w:divsChild>
                        <w:div w:id="1398477722">
                          <w:marLeft w:val="0"/>
                          <w:marRight w:val="0"/>
                          <w:marTop w:val="0"/>
                          <w:marBottom w:val="0"/>
                          <w:divBdr>
                            <w:top w:val="none" w:sz="0" w:space="0" w:color="auto"/>
                            <w:left w:val="none" w:sz="0" w:space="0" w:color="auto"/>
                            <w:bottom w:val="none" w:sz="0" w:space="0" w:color="auto"/>
                            <w:right w:val="none" w:sz="0" w:space="0" w:color="auto"/>
                          </w:divBdr>
                          <w:divsChild>
                            <w:div w:id="1732926002">
                              <w:marLeft w:val="0"/>
                              <w:marRight w:val="0"/>
                              <w:marTop w:val="0"/>
                              <w:marBottom w:val="0"/>
                              <w:divBdr>
                                <w:top w:val="none" w:sz="0" w:space="0" w:color="auto"/>
                                <w:left w:val="none" w:sz="0" w:space="0" w:color="auto"/>
                                <w:bottom w:val="none" w:sz="0" w:space="0" w:color="auto"/>
                                <w:right w:val="none" w:sz="0" w:space="0" w:color="auto"/>
                              </w:divBdr>
                              <w:divsChild>
                                <w:div w:id="375277112">
                                  <w:marLeft w:val="0"/>
                                  <w:marRight w:val="0"/>
                                  <w:marTop w:val="0"/>
                                  <w:marBottom w:val="0"/>
                                  <w:divBdr>
                                    <w:top w:val="none" w:sz="0" w:space="0" w:color="auto"/>
                                    <w:left w:val="none" w:sz="0" w:space="0" w:color="auto"/>
                                    <w:bottom w:val="none" w:sz="0" w:space="0" w:color="auto"/>
                                    <w:right w:val="none" w:sz="0" w:space="0" w:color="auto"/>
                                  </w:divBdr>
                                  <w:divsChild>
                                    <w:div w:id="805666432">
                                      <w:marLeft w:val="0"/>
                                      <w:marRight w:val="0"/>
                                      <w:marTop w:val="0"/>
                                      <w:marBottom w:val="0"/>
                                      <w:divBdr>
                                        <w:top w:val="none" w:sz="0" w:space="0" w:color="auto"/>
                                        <w:left w:val="none" w:sz="0" w:space="0" w:color="auto"/>
                                        <w:bottom w:val="none" w:sz="0" w:space="0" w:color="auto"/>
                                        <w:right w:val="none" w:sz="0" w:space="0" w:color="auto"/>
                                      </w:divBdr>
                                      <w:divsChild>
                                        <w:div w:id="1199010245">
                                          <w:marLeft w:val="0"/>
                                          <w:marRight w:val="0"/>
                                          <w:marTop w:val="0"/>
                                          <w:marBottom w:val="0"/>
                                          <w:divBdr>
                                            <w:top w:val="none" w:sz="0" w:space="0" w:color="auto"/>
                                            <w:left w:val="none" w:sz="0" w:space="0" w:color="auto"/>
                                            <w:bottom w:val="none" w:sz="0" w:space="0" w:color="auto"/>
                                            <w:right w:val="none" w:sz="0" w:space="0" w:color="auto"/>
                                          </w:divBdr>
                                          <w:divsChild>
                                            <w:div w:id="1311246118">
                                              <w:marLeft w:val="0"/>
                                              <w:marRight w:val="0"/>
                                              <w:marTop w:val="0"/>
                                              <w:marBottom w:val="0"/>
                                              <w:divBdr>
                                                <w:top w:val="single" w:sz="12" w:space="2" w:color="FFFFCC"/>
                                                <w:left w:val="single" w:sz="12" w:space="2" w:color="FFFFCC"/>
                                                <w:bottom w:val="single" w:sz="12" w:space="2" w:color="FFFFCC"/>
                                                <w:right w:val="single" w:sz="12" w:space="0" w:color="FFFFCC"/>
                                              </w:divBdr>
                                              <w:divsChild>
                                                <w:div w:id="744960549">
                                                  <w:marLeft w:val="0"/>
                                                  <w:marRight w:val="0"/>
                                                  <w:marTop w:val="0"/>
                                                  <w:marBottom w:val="0"/>
                                                  <w:divBdr>
                                                    <w:top w:val="none" w:sz="0" w:space="0" w:color="auto"/>
                                                    <w:left w:val="none" w:sz="0" w:space="0" w:color="auto"/>
                                                    <w:bottom w:val="none" w:sz="0" w:space="0" w:color="auto"/>
                                                    <w:right w:val="none" w:sz="0" w:space="0" w:color="auto"/>
                                                  </w:divBdr>
                                                  <w:divsChild>
                                                    <w:div w:id="1487360560">
                                                      <w:marLeft w:val="0"/>
                                                      <w:marRight w:val="0"/>
                                                      <w:marTop w:val="0"/>
                                                      <w:marBottom w:val="0"/>
                                                      <w:divBdr>
                                                        <w:top w:val="none" w:sz="0" w:space="0" w:color="auto"/>
                                                        <w:left w:val="none" w:sz="0" w:space="0" w:color="auto"/>
                                                        <w:bottom w:val="none" w:sz="0" w:space="0" w:color="auto"/>
                                                        <w:right w:val="none" w:sz="0" w:space="0" w:color="auto"/>
                                                      </w:divBdr>
                                                      <w:divsChild>
                                                        <w:div w:id="1850833694">
                                                          <w:marLeft w:val="0"/>
                                                          <w:marRight w:val="0"/>
                                                          <w:marTop w:val="0"/>
                                                          <w:marBottom w:val="0"/>
                                                          <w:divBdr>
                                                            <w:top w:val="none" w:sz="0" w:space="0" w:color="auto"/>
                                                            <w:left w:val="none" w:sz="0" w:space="0" w:color="auto"/>
                                                            <w:bottom w:val="none" w:sz="0" w:space="0" w:color="auto"/>
                                                            <w:right w:val="none" w:sz="0" w:space="0" w:color="auto"/>
                                                          </w:divBdr>
                                                          <w:divsChild>
                                                            <w:div w:id="1945109323">
                                                              <w:marLeft w:val="0"/>
                                                              <w:marRight w:val="0"/>
                                                              <w:marTop w:val="0"/>
                                                              <w:marBottom w:val="0"/>
                                                              <w:divBdr>
                                                                <w:top w:val="none" w:sz="0" w:space="0" w:color="auto"/>
                                                                <w:left w:val="none" w:sz="0" w:space="0" w:color="auto"/>
                                                                <w:bottom w:val="none" w:sz="0" w:space="0" w:color="auto"/>
                                                                <w:right w:val="none" w:sz="0" w:space="0" w:color="auto"/>
                                                              </w:divBdr>
                                                              <w:divsChild>
                                                                <w:div w:id="178471086">
                                                                  <w:marLeft w:val="0"/>
                                                                  <w:marRight w:val="0"/>
                                                                  <w:marTop w:val="0"/>
                                                                  <w:marBottom w:val="0"/>
                                                                  <w:divBdr>
                                                                    <w:top w:val="none" w:sz="0" w:space="0" w:color="auto"/>
                                                                    <w:left w:val="none" w:sz="0" w:space="0" w:color="auto"/>
                                                                    <w:bottom w:val="none" w:sz="0" w:space="0" w:color="auto"/>
                                                                    <w:right w:val="none" w:sz="0" w:space="0" w:color="auto"/>
                                                                  </w:divBdr>
                                                                  <w:divsChild>
                                                                    <w:div w:id="1988052393">
                                                                      <w:marLeft w:val="0"/>
                                                                      <w:marRight w:val="0"/>
                                                                      <w:marTop w:val="0"/>
                                                                      <w:marBottom w:val="0"/>
                                                                      <w:divBdr>
                                                                        <w:top w:val="none" w:sz="0" w:space="0" w:color="auto"/>
                                                                        <w:left w:val="none" w:sz="0" w:space="0" w:color="auto"/>
                                                                        <w:bottom w:val="none" w:sz="0" w:space="0" w:color="auto"/>
                                                                        <w:right w:val="none" w:sz="0" w:space="0" w:color="auto"/>
                                                                      </w:divBdr>
                                                                      <w:divsChild>
                                                                        <w:div w:id="682973603">
                                                                          <w:marLeft w:val="0"/>
                                                                          <w:marRight w:val="0"/>
                                                                          <w:marTop w:val="0"/>
                                                                          <w:marBottom w:val="0"/>
                                                                          <w:divBdr>
                                                                            <w:top w:val="none" w:sz="0" w:space="0" w:color="auto"/>
                                                                            <w:left w:val="none" w:sz="0" w:space="0" w:color="auto"/>
                                                                            <w:bottom w:val="none" w:sz="0" w:space="0" w:color="auto"/>
                                                                            <w:right w:val="none" w:sz="0" w:space="0" w:color="auto"/>
                                                                          </w:divBdr>
                                                                          <w:divsChild>
                                                                            <w:div w:id="1318150218">
                                                                              <w:marLeft w:val="0"/>
                                                                              <w:marRight w:val="0"/>
                                                                              <w:marTop w:val="0"/>
                                                                              <w:marBottom w:val="0"/>
                                                                              <w:divBdr>
                                                                                <w:top w:val="none" w:sz="0" w:space="0" w:color="auto"/>
                                                                                <w:left w:val="none" w:sz="0" w:space="0" w:color="auto"/>
                                                                                <w:bottom w:val="none" w:sz="0" w:space="0" w:color="auto"/>
                                                                                <w:right w:val="none" w:sz="0" w:space="0" w:color="auto"/>
                                                                              </w:divBdr>
                                                                              <w:divsChild>
                                                                                <w:div w:id="1211112245">
                                                                                  <w:marLeft w:val="0"/>
                                                                                  <w:marRight w:val="0"/>
                                                                                  <w:marTop w:val="0"/>
                                                                                  <w:marBottom w:val="0"/>
                                                                                  <w:divBdr>
                                                                                    <w:top w:val="none" w:sz="0" w:space="0" w:color="auto"/>
                                                                                    <w:left w:val="none" w:sz="0" w:space="0" w:color="auto"/>
                                                                                    <w:bottom w:val="none" w:sz="0" w:space="0" w:color="auto"/>
                                                                                    <w:right w:val="none" w:sz="0" w:space="0" w:color="auto"/>
                                                                                  </w:divBdr>
                                                                                  <w:divsChild>
                                                                                    <w:div w:id="1149711205">
                                                                                      <w:marLeft w:val="0"/>
                                                                                      <w:marRight w:val="0"/>
                                                                                      <w:marTop w:val="0"/>
                                                                                      <w:marBottom w:val="0"/>
                                                                                      <w:divBdr>
                                                                                        <w:top w:val="none" w:sz="0" w:space="0" w:color="auto"/>
                                                                                        <w:left w:val="none" w:sz="0" w:space="0" w:color="auto"/>
                                                                                        <w:bottom w:val="none" w:sz="0" w:space="0" w:color="auto"/>
                                                                                        <w:right w:val="none" w:sz="0" w:space="0" w:color="auto"/>
                                                                                      </w:divBdr>
                                                                                      <w:divsChild>
                                                                                        <w:div w:id="335378142">
                                                                                          <w:marLeft w:val="0"/>
                                                                                          <w:marRight w:val="120"/>
                                                                                          <w:marTop w:val="0"/>
                                                                                          <w:marBottom w:val="150"/>
                                                                                          <w:divBdr>
                                                                                            <w:top w:val="single" w:sz="2" w:space="0" w:color="EFEFEF"/>
                                                                                            <w:left w:val="single" w:sz="6" w:space="0" w:color="EFEFEF"/>
                                                                                            <w:bottom w:val="single" w:sz="6" w:space="0" w:color="E2E2E2"/>
                                                                                            <w:right w:val="single" w:sz="6" w:space="0" w:color="EFEFEF"/>
                                                                                          </w:divBdr>
                                                                                          <w:divsChild>
                                                                                            <w:div w:id="428349769">
                                                                                              <w:marLeft w:val="0"/>
                                                                                              <w:marRight w:val="0"/>
                                                                                              <w:marTop w:val="0"/>
                                                                                              <w:marBottom w:val="0"/>
                                                                                              <w:divBdr>
                                                                                                <w:top w:val="none" w:sz="0" w:space="0" w:color="auto"/>
                                                                                                <w:left w:val="none" w:sz="0" w:space="0" w:color="auto"/>
                                                                                                <w:bottom w:val="none" w:sz="0" w:space="0" w:color="auto"/>
                                                                                                <w:right w:val="none" w:sz="0" w:space="0" w:color="auto"/>
                                                                                              </w:divBdr>
                                                                                              <w:divsChild>
                                                                                                <w:div w:id="2089451129">
                                                                                                  <w:marLeft w:val="0"/>
                                                                                                  <w:marRight w:val="0"/>
                                                                                                  <w:marTop w:val="0"/>
                                                                                                  <w:marBottom w:val="0"/>
                                                                                                  <w:divBdr>
                                                                                                    <w:top w:val="none" w:sz="0" w:space="0" w:color="auto"/>
                                                                                                    <w:left w:val="none" w:sz="0" w:space="0" w:color="auto"/>
                                                                                                    <w:bottom w:val="none" w:sz="0" w:space="0" w:color="auto"/>
                                                                                                    <w:right w:val="none" w:sz="0" w:space="0" w:color="auto"/>
                                                                                                  </w:divBdr>
                                                                                                  <w:divsChild>
                                                                                                    <w:div w:id="740104911">
                                                                                                      <w:marLeft w:val="0"/>
                                                                                                      <w:marRight w:val="0"/>
                                                                                                      <w:marTop w:val="0"/>
                                                                                                      <w:marBottom w:val="0"/>
                                                                                                      <w:divBdr>
                                                                                                        <w:top w:val="none" w:sz="0" w:space="0" w:color="auto"/>
                                                                                                        <w:left w:val="none" w:sz="0" w:space="0" w:color="auto"/>
                                                                                                        <w:bottom w:val="none" w:sz="0" w:space="0" w:color="auto"/>
                                                                                                        <w:right w:val="none" w:sz="0" w:space="0" w:color="auto"/>
                                                                                                      </w:divBdr>
                                                                                                      <w:divsChild>
                                                                                                        <w:div w:id="212886179">
                                                                                                          <w:marLeft w:val="0"/>
                                                                                                          <w:marRight w:val="0"/>
                                                                                                          <w:marTop w:val="0"/>
                                                                                                          <w:marBottom w:val="0"/>
                                                                                                          <w:divBdr>
                                                                                                            <w:top w:val="none" w:sz="0" w:space="0" w:color="auto"/>
                                                                                                            <w:left w:val="none" w:sz="0" w:space="0" w:color="auto"/>
                                                                                                            <w:bottom w:val="none" w:sz="0" w:space="0" w:color="auto"/>
                                                                                                            <w:right w:val="none" w:sz="0" w:space="0" w:color="auto"/>
                                                                                                          </w:divBdr>
                                                                                                          <w:divsChild>
                                                                                                            <w:div w:id="335351105">
                                                                                                              <w:marLeft w:val="0"/>
                                                                                                              <w:marRight w:val="0"/>
                                                                                                              <w:marTop w:val="0"/>
                                                                                                              <w:marBottom w:val="0"/>
                                                                                                              <w:divBdr>
                                                                                                                <w:top w:val="single" w:sz="2" w:space="4" w:color="D8D8D8"/>
                                                                                                                <w:left w:val="single" w:sz="2" w:space="0" w:color="D8D8D8"/>
                                                                                                                <w:bottom w:val="single" w:sz="2" w:space="4" w:color="D8D8D8"/>
                                                                                                                <w:right w:val="single" w:sz="2" w:space="0" w:color="D8D8D8"/>
                                                                                                              </w:divBdr>
                                                                                                              <w:divsChild>
                                                                                                                <w:div w:id="310910538">
                                                                                                                  <w:marLeft w:val="225"/>
                                                                                                                  <w:marRight w:val="225"/>
                                                                                                                  <w:marTop w:val="75"/>
                                                                                                                  <w:marBottom w:val="75"/>
                                                                                                                  <w:divBdr>
                                                                                                                    <w:top w:val="none" w:sz="0" w:space="0" w:color="auto"/>
                                                                                                                    <w:left w:val="none" w:sz="0" w:space="0" w:color="auto"/>
                                                                                                                    <w:bottom w:val="none" w:sz="0" w:space="0" w:color="auto"/>
                                                                                                                    <w:right w:val="none" w:sz="0" w:space="0" w:color="auto"/>
                                                                                                                  </w:divBdr>
                                                                                                                  <w:divsChild>
                                                                                                                    <w:div w:id="1344282013">
                                                                                                                      <w:marLeft w:val="0"/>
                                                                                                                      <w:marRight w:val="0"/>
                                                                                                                      <w:marTop w:val="0"/>
                                                                                                                      <w:marBottom w:val="0"/>
                                                                                                                      <w:divBdr>
                                                                                                                        <w:top w:val="single" w:sz="6" w:space="0" w:color="auto"/>
                                                                                                                        <w:left w:val="single" w:sz="6" w:space="0" w:color="auto"/>
                                                                                                                        <w:bottom w:val="single" w:sz="6" w:space="0" w:color="auto"/>
                                                                                                                        <w:right w:val="single" w:sz="6" w:space="0" w:color="auto"/>
                                                                                                                      </w:divBdr>
                                                                                                                      <w:divsChild>
                                                                                                                        <w:div w:id="1197355177">
                                                                                                                          <w:marLeft w:val="0"/>
                                                                                                                          <w:marRight w:val="0"/>
                                                                                                                          <w:marTop w:val="0"/>
                                                                                                                          <w:marBottom w:val="0"/>
                                                                                                                          <w:divBdr>
                                                                                                                            <w:top w:val="none" w:sz="0" w:space="0" w:color="auto"/>
                                                                                                                            <w:left w:val="none" w:sz="0" w:space="0" w:color="auto"/>
                                                                                                                            <w:bottom w:val="none" w:sz="0" w:space="0" w:color="auto"/>
                                                                                                                            <w:right w:val="none" w:sz="0" w:space="0" w:color="auto"/>
                                                                                                                          </w:divBdr>
                                                                                                                          <w:divsChild>
                                                                                                                            <w:div w:id="1071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191678">
      <w:bodyDiv w:val="1"/>
      <w:marLeft w:val="0"/>
      <w:marRight w:val="0"/>
      <w:marTop w:val="0"/>
      <w:marBottom w:val="0"/>
      <w:divBdr>
        <w:top w:val="none" w:sz="0" w:space="0" w:color="auto"/>
        <w:left w:val="none" w:sz="0" w:space="0" w:color="auto"/>
        <w:bottom w:val="none" w:sz="0" w:space="0" w:color="auto"/>
        <w:right w:val="none" w:sz="0" w:space="0" w:color="auto"/>
      </w:divBdr>
    </w:div>
    <w:div w:id="1289892978">
      <w:bodyDiv w:val="1"/>
      <w:marLeft w:val="0"/>
      <w:marRight w:val="0"/>
      <w:marTop w:val="0"/>
      <w:marBottom w:val="0"/>
      <w:divBdr>
        <w:top w:val="none" w:sz="0" w:space="0" w:color="auto"/>
        <w:left w:val="none" w:sz="0" w:space="0" w:color="auto"/>
        <w:bottom w:val="none" w:sz="0" w:space="0" w:color="auto"/>
        <w:right w:val="none" w:sz="0" w:space="0" w:color="auto"/>
      </w:divBdr>
    </w:div>
    <w:div w:id="1333219517">
      <w:bodyDiv w:val="1"/>
      <w:marLeft w:val="0"/>
      <w:marRight w:val="0"/>
      <w:marTop w:val="0"/>
      <w:marBottom w:val="0"/>
      <w:divBdr>
        <w:top w:val="none" w:sz="0" w:space="0" w:color="auto"/>
        <w:left w:val="none" w:sz="0" w:space="0" w:color="auto"/>
        <w:bottom w:val="none" w:sz="0" w:space="0" w:color="auto"/>
        <w:right w:val="none" w:sz="0" w:space="0" w:color="auto"/>
      </w:divBdr>
      <w:divsChild>
        <w:div w:id="158204140">
          <w:marLeft w:val="547"/>
          <w:marRight w:val="0"/>
          <w:marTop w:val="0"/>
          <w:marBottom w:val="0"/>
          <w:divBdr>
            <w:top w:val="none" w:sz="0" w:space="0" w:color="auto"/>
            <w:left w:val="none" w:sz="0" w:space="0" w:color="auto"/>
            <w:bottom w:val="none" w:sz="0" w:space="0" w:color="auto"/>
            <w:right w:val="none" w:sz="0" w:space="0" w:color="auto"/>
          </w:divBdr>
        </w:div>
        <w:div w:id="950085176">
          <w:marLeft w:val="547"/>
          <w:marRight w:val="0"/>
          <w:marTop w:val="0"/>
          <w:marBottom w:val="0"/>
          <w:divBdr>
            <w:top w:val="none" w:sz="0" w:space="0" w:color="auto"/>
            <w:left w:val="none" w:sz="0" w:space="0" w:color="auto"/>
            <w:bottom w:val="none" w:sz="0" w:space="0" w:color="auto"/>
            <w:right w:val="none" w:sz="0" w:space="0" w:color="auto"/>
          </w:divBdr>
        </w:div>
      </w:divsChild>
    </w:div>
    <w:div w:id="1381436884">
      <w:bodyDiv w:val="1"/>
      <w:marLeft w:val="0"/>
      <w:marRight w:val="0"/>
      <w:marTop w:val="0"/>
      <w:marBottom w:val="0"/>
      <w:divBdr>
        <w:top w:val="none" w:sz="0" w:space="0" w:color="auto"/>
        <w:left w:val="none" w:sz="0" w:space="0" w:color="auto"/>
        <w:bottom w:val="none" w:sz="0" w:space="0" w:color="auto"/>
        <w:right w:val="none" w:sz="0" w:space="0" w:color="auto"/>
      </w:divBdr>
    </w:div>
    <w:div w:id="1452088685">
      <w:bodyDiv w:val="1"/>
      <w:marLeft w:val="0"/>
      <w:marRight w:val="0"/>
      <w:marTop w:val="0"/>
      <w:marBottom w:val="0"/>
      <w:divBdr>
        <w:top w:val="none" w:sz="0" w:space="0" w:color="auto"/>
        <w:left w:val="none" w:sz="0" w:space="0" w:color="auto"/>
        <w:bottom w:val="none" w:sz="0" w:space="0" w:color="auto"/>
        <w:right w:val="none" w:sz="0" w:space="0" w:color="auto"/>
      </w:divBdr>
    </w:div>
    <w:div w:id="1559052243">
      <w:bodyDiv w:val="1"/>
      <w:marLeft w:val="0"/>
      <w:marRight w:val="0"/>
      <w:marTop w:val="0"/>
      <w:marBottom w:val="0"/>
      <w:divBdr>
        <w:top w:val="none" w:sz="0" w:space="0" w:color="auto"/>
        <w:left w:val="none" w:sz="0" w:space="0" w:color="auto"/>
        <w:bottom w:val="none" w:sz="0" w:space="0" w:color="auto"/>
        <w:right w:val="none" w:sz="0" w:space="0" w:color="auto"/>
      </w:divBdr>
      <w:divsChild>
        <w:div w:id="690108926">
          <w:marLeft w:val="720"/>
          <w:marRight w:val="0"/>
          <w:marTop w:val="120"/>
          <w:marBottom w:val="120"/>
          <w:divBdr>
            <w:top w:val="none" w:sz="0" w:space="0" w:color="auto"/>
            <w:left w:val="none" w:sz="0" w:space="0" w:color="auto"/>
            <w:bottom w:val="none" w:sz="0" w:space="0" w:color="auto"/>
            <w:right w:val="none" w:sz="0" w:space="0" w:color="auto"/>
          </w:divBdr>
        </w:div>
        <w:div w:id="710687097">
          <w:marLeft w:val="720"/>
          <w:marRight w:val="0"/>
          <w:marTop w:val="120"/>
          <w:marBottom w:val="120"/>
          <w:divBdr>
            <w:top w:val="none" w:sz="0" w:space="0" w:color="auto"/>
            <w:left w:val="none" w:sz="0" w:space="0" w:color="auto"/>
            <w:bottom w:val="none" w:sz="0" w:space="0" w:color="auto"/>
            <w:right w:val="none" w:sz="0" w:space="0" w:color="auto"/>
          </w:divBdr>
        </w:div>
        <w:div w:id="804929770">
          <w:marLeft w:val="720"/>
          <w:marRight w:val="0"/>
          <w:marTop w:val="120"/>
          <w:marBottom w:val="120"/>
          <w:divBdr>
            <w:top w:val="none" w:sz="0" w:space="0" w:color="auto"/>
            <w:left w:val="none" w:sz="0" w:space="0" w:color="auto"/>
            <w:bottom w:val="none" w:sz="0" w:space="0" w:color="auto"/>
            <w:right w:val="none" w:sz="0" w:space="0" w:color="auto"/>
          </w:divBdr>
        </w:div>
        <w:div w:id="1478917840">
          <w:marLeft w:val="720"/>
          <w:marRight w:val="0"/>
          <w:marTop w:val="120"/>
          <w:marBottom w:val="120"/>
          <w:divBdr>
            <w:top w:val="none" w:sz="0" w:space="0" w:color="auto"/>
            <w:left w:val="none" w:sz="0" w:space="0" w:color="auto"/>
            <w:bottom w:val="none" w:sz="0" w:space="0" w:color="auto"/>
            <w:right w:val="none" w:sz="0" w:space="0" w:color="auto"/>
          </w:divBdr>
        </w:div>
      </w:divsChild>
    </w:div>
    <w:div w:id="1638486700">
      <w:bodyDiv w:val="1"/>
      <w:marLeft w:val="0"/>
      <w:marRight w:val="0"/>
      <w:marTop w:val="0"/>
      <w:marBottom w:val="0"/>
      <w:divBdr>
        <w:top w:val="none" w:sz="0" w:space="0" w:color="auto"/>
        <w:left w:val="none" w:sz="0" w:space="0" w:color="auto"/>
        <w:bottom w:val="none" w:sz="0" w:space="0" w:color="auto"/>
        <w:right w:val="none" w:sz="0" w:space="0" w:color="auto"/>
      </w:divBdr>
    </w:div>
    <w:div w:id="1657610381">
      <w:bodyDiv w:val="1"/>
      <w:marLeft w:val="0"/>
      <w:marRight w:val="0"/>
      <w:marTop w:val="0"/>
      <w:marBottom w:val="0"/>
      <w:divBdr>
        <w:top w:val="none" w:sz="0" w:space="0" w:color="auto"/>
        <w:left w:val="none" w:sz="0" w:space="0" w:color="auto"/>
        <w:bottom w:val="none" w:sz="0" w:space="0" w:color="auto"/>
        <w:right w:val="none" w:sz="0" w:space="0" w:color="auto"/>
      </w:divBdr>
    </w:div>
    <w:div w:id="1691640913">
      <w:bodyDiv w:val="1"/>
      <w:marLeft w:val="0"/>
      <w:marRight w:val="0"/>
      <w:marTop w:val="0"/>
      <w:marBottom w:val="0"/>
      <w:divBdr>
        <w:top w:val="none" w:sz="0" w:space="0" w:color="auto"/>
        <w:left w:val="none" w:sz="0" w:space="0" w:color="auto"/>
        <w:bottom w:val="none" w:sz="0" w:space="0" w:color="auto"/>
        <w:right w:val="none" w:sz="0" w:space="0" w:color="auto"/>
      </w:divBdr>
    </w:div>
    <w:div w:id="1804543727">
      <w:bodyDiv w:val="1"/>
      <w:marLeft w:val="0"/>
      <w:marRight w:val="0"/>
      <w:marTop w:val="0"/>
      <w:marBottom w:val="0"/>
      <w:divBdr>
        <w:top w:val="none" w:sz="0" w:space="0" w:color="auto"/>
        <w:left w:val="none" w:sz="0" w:space="0" w:color="auto"/>
        <w:bottom w:val="none" w:sz="0" w:space="0" w:color="auto"/>
        <w:right w:val="none" w:sz="0" w:space="0" w:color="auto"/>
      </w:divBdr>
      <w:divsChild>
        <w:div w:id="551697666">
          <w:marLeft w:val="144"/>
          <w:marRight w:val="0"/>
          <w:marTop w:val="0"/>
          <w:marBottom w:val="0"/>
          <w:divBdr>
            <w:top w:val="none" w:sz="0" w:space="0" w:color="auto"/>
            <w:left w:val="none" w:sz="0" w:space="0" w:color="auto"/>
            <w:bottom w:val="none" w:sz="0" w:space="0" w:color="auto"/>
            <w:right w:val="none" w:sz="0" w:space="0" w:color="auto"/>
          </w:divBdr>
        </w:div>
        <w:div w:id="1829395252">
          <w:marLeft w:val="144"/>
          <w:marRight w:val="0"/>
          <w:marTop w:val="0"/>
          <w:marBottom w:val="0"/>
          <w:divBdr>
            <w:top w:val="none" w:sz="0" w:space="0" w:color="auto"/>
            <w:left w:val="none" w:sz="0" w:space="0" w:color="auto"/>
            <w:bottom w:val="none" w:sz="0" w:space="0" w:color="auto"/>
            <w:right w:val="none" w:sz="0" w:space="0" w:color="auto"/>
          </w:divBdr>
        </w:div>
        <w:div w:id="2015718897">
          <w:marLeft w:val="144"/>
          <w:marRight w:val="0"/>
          <w:marTop w:val="0"/>
          <w:marBottom w:val="0"/>
          <w:divBdr>
            <w:top w:val="none" w:sz="0" w:space="0" w:color="auto"/>
            <w:left w:val="none" w:sz="0" w:space="0" w:color="auto"/>
            <w:bottom w:val="none" w:sz="0" w:space="0" w:color="auto"/>
            <w:right w:val="none" w:sz="0" w:space="0" w:color="auto"/>
          </w:divBdr>
        </w:div>
      </w:divsChild>
    </w:div>
    <w:div w:id="1848863143">
      <w:bodyDiv w:val="1"/>
      <w:marLeft w:val="0"/>
      <w:marRight w:val="0"/>
      <w:marTop w:val="0"/>
      <w:marBottom w:val="0"/>
      <w:divBdr>
        <w:top w:val="none" w:sz="0" w:space="0" w:color="auto"/>
        <w:left w:val="none" w:sz="0" w:space="0" w:color="auto"/>
        <w:bottom w:val="none" w:sz="0" w:space="0" w:color="auto"/>
        <w:right w:val="none" w:sz="0" w:space="0" w:color="auto"/>
      </w:divBdr>
      <w:divsChild>
        <w:div w:id="629937583">
          <w:marLeft w:val="1267"/>
          <w:marRight w:val="0"/>
          <w:marTop w:val="0"/>
          <w:marBottom w:val="0"/>
          <w:divBdr>
            <w:top w:val="none" w:sz="0" w:space="0" w:color="auto"/>
            <w:left w:val="none" w:sz="0" w:space="0" w:color="auto"/>
            <w:bottom w:val="none" w:sz="0" w:space="0" w:color="auto"/>
            <w:right w:val="none" w:sz="0" w:space="0" w:color="auto"/>
          </w:divBdr>
        </w:div>
        <w:div w:id="1504584758">
          <w:marLeft w:val="1267"/>
          <w:marRight w:val="0"/>
          <w:marTop w:val="0"/>
          <w:marBottom w:val="0"/>
          <w:divBdr>
            <w:top w:val="none" w:sz="0" w:space="0" w:color="auto"/>
            <w:left w:val="none" w:sz="0" w:space="0" w:color="auto"/>
            <w:bottom w:val="none" w:sz="0" w:space="0" w:color="auto"/>
            <w:right w:val="none" w:sz="0" w:space="0" w:color="auto"/>
          </w:divBdr>
        </w:div>
        <w:div w:id="1618874875">
          <w:marLeft w:val="1267"/>
          <w:marRight w:val="0"/>
          <w:marTop w:val="0"/>
          <w:marBottom w:val="0"/>
          <w:divBdr>
            <w:top w:val="none" w:sz="0" w:space="0" w:color="auto"/>
            <w:left w:val="none" w:sz="0" w:space="0" w:color="auto"/>
            <w:bottom w:val="none" w:sz="0" w:space="0" w:color="auto"/>
            <w:right w:val="none" w:sz="0" w:space="0" w:color="auto"/>
          </w:divBdr>
        </w:div>
        <w:div w:id="1682201230">
          <w:marLeft w:val="1267"/>
          <w:marRight w:val="0"/>
          <w:marTop w:val="0"/>
          <w:marBottom w:val="0"/>
          <w:divBdr>
            <w:top w:val="none" w:sz="0" w:space="0" w:color="auto"/>
            <w:left w:val="none" w:sz="0" w:space="0" w:color="auto"/>
            <w:bottom w:val="none" w:sz="0" w:space="0" w:color="auto"/>
            <w:right w:val="none" w:sz="0" w:space="0" w:color="auto"/>
          </w:divBdr>
        </w:div>
      </w:divsChild>
    </w:div>
    <w:div w:id="1933661693">
      <w:bodyDiv w:val="1"/>
      <w:marLeft w:val="0"/>
      <w:marRight w:val="0"/>
      <w:marTop w:val="0"/>
      <w:marBottom w:val="0"/>
      <w:divBdr>
        <w:top w:val="none" w:sz="0" w:space="0" w:color="auto"/>
        <w:left w:val="none" w:sz="0" w:space="0" w:color="auto"/>
        <w:bottom w:val="none" w:sz="0" w:space="0" w:color="auto"/>
        <w:right w:val="none" w:sz="0" w:space="0" w:color="auto"/>
      </w:divBdr>
      <w:divsChild>
        <w:div w:id="2067021338">
          <w:marLeft w:val="0"/>
          <w:marRight w:val="0"/>
          <w:marTop w:val="0"/>
          <w:marBottom w:val="0"/>
          <w:divBdr>
            <w:top w:val="none" w:sz="0" w:space="0" w:color="auto"/>
            <w:left w:val="none" w:sz="0" w:space="0" w:color="auto"/>
            <w:bottom w:val="none" w:sz="0" w:space="0" w:color="auto"/>
            <w:right w:val="none" w:sz="0" w:space="0" w:color="auto"/>
          </w:divBdr>
          <w:divsChild>
            <w:div w:id="253317993">
              <w:marLeft w:val="0"/>
              <w:marRight w:val="0"/>
              <w:marTop w:val="0"/>
              <w:marBottom w:val="0"/>
              <w:divBdr>
                <w:top w:val="none" w:sz="0" w:space="0" w:color="auto"/>
                <w:left w:val="none" w:sz="0" w:space="0" w:color="auto"/>
                <w:bottom w:val="none" w:sz="0" w:space="0" w:color="auto"/>
                <w:right w:val="none" w:sz="0" w:space="0" w:color="auto"/>
              </w:divBdr>
              <w:divsChild>
                <w:div w:id="418020928">
                  <w:marLeft w:val="0"/>
                  <w:marRight w:val="0"/>
                  <w:marTop w:val="0"/>
                  <w:marBottom w:val="0"/>
                  <w:divBdr>
                    <w:top w:val="none" w:sz="0" w:space="0" w:color="auto"/>
                    <w:left w:val="none" w:sz="0" w:space="0" w:color="auto"/>
                    <w:bottom w:val="none" w:sz="0" w:space="0" w:color="auto"/>
                    <w:right w:val="none" w:sz="0" w:space="0" w:color="auto"/>
                  </w:divBdr>
                  <w:divsChild>
                    <w:div w:id="1275595487">
                      <w:marLeft w:val="0"/>
                      <w:marRight w:val="0"/>
                      <w:marTop w:val="0"/>
                      <w:marBottom w:val="0"/>
                      <w:divBdr>
                        <w:top w:val="none" w:sz="0" w:space="0" w:color="auto"/>
                        <w:left w:val="none" w:sz="0" w:space="0" w:color="auto"/>
                        <w:bottom w:val="none" w:sz="0" w:space="0" w:color="auto"/>
                        <w:right w:val="none" w:sz="0" w:space="0" w:color="auto"/>
                      </w:divBdr>
                      <w:divsChild>
                        <w:div w:id="1167474591">
                          <w:marLeft w:val="0"/>
                          <w:marRight w:val="0"/>
                          <w:marTop w:val="0"/>
                          <w:marBottom w:val="0"/>
                          <w:divBdr>
                            <w:top w:val="none" w:sz="0" w:space="0" w:color="auto"/>
                            <w:left w:val="none" w:sz="0" w:space="0" w:color="auto"/>
                            <w:bottom w:val="none" w:sz="0" w:space="0" w:color="auto"/>
                            <w:right w:val="none" w:sz="0" w:space="0" w:color="auto"/>
                          </w:divBdr>
                          <w:divsChild>
                            <w:div w:id="365183396">
                              <w:marLeft w:val="0"/>
                              <w:marRight w:val="0"/>
                              <w:marTop w:val="0"/>
                              <w:marBottom w:val="0"/>
                              <w:divBdr>
                                <w:top w:val="none" w:sz="0" w:space="0" w:color="auto"/>
                                <w:left w:val="none" w:sz="0" w:space="0" w:color="auto"/>
                                <w:bottom w:val="none" w:sz="0" w:space="0" w:color="auto"/>
                                <w:right w:val="none" w:sz="0" w:space="0" w:color="auto"/>
                              </w:divBdr>
                              <w:divsChild>
                                <w:div w:id="2030180324">
                                  <w:marLeft w:val="0"/>
                                  <w:marRight w:val="0"/>
                                  <w:marTop w:val="0"/>
                                  <w:marBottom w:val="0"/>
                                  <w:divBdr>
                                    <w:top w:val="none" w:sz="0" w:space="0" w:color="auto"/>
                                    <w:left w:val="none" w:sz="0" w:space="0" w:color="auto"/>
                                    <w:bottom w:val="none" w:sz="0" w:space="0" w:color="auto"/>
                                    <w:right w:val="none" w:sz="0" w:space="0" w:color="auto"/>
                                  </w:divBdr>
                                  <w:divsChild>
                                    <w:div w:id="1148132500">
                                      <w:marLeft w:val="0"/>
                                      <w:marRight w:val="0"/>
                                      <w:marTop w:val="0"/>
                                      <w:marBottom w:val="0"/>
                                      <w:divBdr>
                                        <w:top w:val="none" w:sz="0" w:space="0" w:color="auto"/>
                                        <w:left w:val="none" w:sz="0" w:space="0" w:color="auto"/>
                                        <w:bottom w:val="none" w:sz="0" w:space="0" w:color="auto"/>
                                        <w:right w:val="none" w:sz="0" w:space="0" w:color="auto"/>
                                      </w:divBdr>
                                      <w:divsChild>
                                        <w:div w:id="1902401107">
                                          <w:marLeft w:val="0"/>
                                          <w:marRight w:val="0"/>
                                          <w:marTop w:val="0"/>
                                          <w:marBottom w:val="0"/>
                                          <w:divBdr>
                                            <w:top w:val="none" w:sz="0" w:space="0" w:color="auto"/>
                                            <w:left w:val="none" w:sz="0" w:space="0" w:color="auto"/>
                                            <w:bottom w:val="none" w:sz="0" w:space="0" w:color="auto"/>
                                            <w:right w:val="none" w:sz="0" w:space="0" w:color="auto"/>
                                          </w:divBdr>
                                          <w:divsChild>
                                            <w:div w:id="16007776">
                                              <w:marLeft w:val="0"/>
                                              <w:marRight w:val="0"/>
                                              <w:marTop w:val="0"/>
                                              <w:marBottom w:val="0"/>
                                              <w:divBdr>
                                                <w:top w:val="single" w:sz="12" w:space="2" w:color="FFFFCC"/>
                                                <w:left w:val="single" w:sz="12" w:space="2" w:color="FFFFCC"/>
                                                <w:bottom w:val="single" w:sz="12" w:space="2" w:color="FFFFCC"/>
                                                <w:right w:val="single" w:sz="12" w:space="0" w:color="FFFFCC"/>
                                              </w:divBdr>
                                              <w:divsChild>
                                                <w:div w:id="870462861">
                                                  <w:marLeft w:val="0"/>
                                                  <w:marRight w:val="0"/>
                                                  <w:marTop w:val="0"/>
                                                  <w:marBottom w:val="0"/>
                                                  <w:divBdr>
                                                    <w:top w:val="none" w:sz="0" w:space="0" w:color="auto"/>
                                                    <w:left w:val="none" w:sz="0" w:space="0" w:color="auto"/>
                                                    <w:bottom w:val="none" w:sz="0" w:space="0" w:color="auto"/>
                                                    <w:right w:val="none" w:sz="0" w:space="0" w:color="auto"/>
                                                  </w:divBdr>
                                                  <w:divsChild>
                                                    <w:div w:id="181016255">
                                                      <w:marLeft w:val="0"/>
                                                      <w:marRight w:val="0"/>
                                                      <w:marTop w:val="0"/>
                                                      <w:marBottom w:val="0"/>
                                                      <w:divBdr>
                                                        <w:top w:val="none" w:sz="0" w:space="0" w:color="auto"/>
                                                        <w:left w:val="none" w:sz="0" w:space="0" w:color="auto"/>
                                                        <w:bottom w:val="none" w:sz="0" w:space="0" w:color="auto"/>
                                                        <w:right w:val="none" w:sz="0" w:space="0" w:color="auto"/>
                                                      </w:divBdr>
                                                      <w:divsChild>
                                                        <w:div w:id="449933957">
                                                          <w:marLeft w:val="0"/>
                                                          <w:marRight w:val="0"/>
                                                          <w:marTop w:val="0"/>
                                                          <w:marBottom w:val="0"/>
                                                          <w:divBdr>
                                                            <w:top w:val="none" w:sz="0" w:space="0" w:color="auto"/>
                                                            <w:left w:val="none" w:sz="0" w:space="0" w:color="auto"/>
                                                            <w:bottom w:val="none" w:sz="0" w:space="0" w:color="auto"/>
                                                            <w:right w:val="none" w:sz="0" w:space="0" w:color="auto"/>
                                                          </w:divBdr>
                                                          <w:divsChild>
                                                            <w:div w:id="1301419951">
                                                              <w:marLeft w:val="0"/>
                                                              <w:marRight w:val="0"/>
                                                              <w:marTop w:val="0"/>
                                                              <w:marBottom w:val="0"/>
                                                              <w:divBdr>
                                                                <w:top w:val="none" w:sz="0" w:space="0" w:color="auto"/>
                                                                <w:left w:val="none" w:sz="0" w:space="0" w:color="auto"/>
                                                                <w:bottom w:val="none" w:sz="0" w:space="0" w:color="auto"/>
                                                                <w:right w:val="none" w:sz="0" w:space="0" w:color="auto"/>
                                                              </w:divBdr>
                                                              <w:divsChild>
                                                                <w:div w:id="1930234579">
                                                                  <w:marLeft w:val="0"/>
                                                                  <w:marRight w:val="0"/>
                                                                  <w:marTop w:val="0"/>
                                                                  <w:marBottom w:val="0"/>
                                                                  <w:divBdr>
                                                                    <w:top w:val="none" w:sz="0" w:space="0" w:color="auto"/>
                                                                    <w:left w:val="none" w:sz="0" w:space="0" w:color="auto"/>
                                                                    <w:bottom w:val="none" w:sz="0" w:space="0" w:color="auto"/>
                                                                    <w:right w:val="none" w:sz="0" w:space="0" w:color="auto"/>
                                                                  </w:divBdr>
                                                                  <w:divsChild>
                                                                    <w:div w:id="1937132505">
                                                                      <w:marLeft w:val="0"/>
                                                                      <w:marRight w:val="0"/>
                                                                      <w:marTop w:val="0"/>
                                                                      <w:marBottom w:val="0"/>
                                                                      <w:divBdr>
                                                                        <w:top w:val="none" w:sz="0" w:space="0" w:color="auto"/>
                                                                        <w:left w:val="none" w:sz="0" w:space="0" w:color="auto"/>
                                                                        <w:bottom w:val="none" w:sz="0" w:space="0" w:color="auto"/>
                                                                        <w:right w:val="none" w:sz="0" w:space="0" w:color="auto"/>
                                                                      </w:divBdr>
                                                                      <w:divsChild>
                                                                        <w:div w:id="2014338908">
                                                                          <w:marLeft w:val="0"/>
                                                                          <w:marRight w:val="0"/>
                                                                          <w:marTop w:val="0"/>
                                                                          <w:marBottom w:val="0"/>
                                                                          <w:divBdr>
                                                                            <w:top w:val="none" w:sz="0" w:space="0" w:color="auto"/>
                                                                            <w:left w:val="none" w:sz="0" w:space="0" w:color="auto"/>
                                                                            <w:bottom w:val="none" w:sz="0" w:space="0" w:color="auto"/>
                                                                            <w:right w:val="none" w:sz="0" w:space="0" w:color="auto"/>
                                                                          </w:divBdr>
                                                                          <w:divsChild>
                                                                            <w:div w:id="895118283">
                                                                              <w:marLeft w:val="0"/>
                                                                              <w:marRight w:val="0"/>
                                                                              <w:marTop w:val="0"/>
                                                                              <w:marBottom w:val="0"/>
                                                                              <w:divBdr>
                                                                                <w:top w:val="none" w:sz="0" w:space="0" w:color="auto"/>
                                                                                <w:left w:val="none" w:sz="0" w:space="0" w:color="auto"/>
                                                                                <w:bottom w:val="none" w:sz="0" w:space="0" w:color="auto"/>
                                                                                <w:right w:val="none" w:sz="0" w:space="0" w:color="auto"/>
                                                                              </w:divBdr>
                                                                              <w:divsChild>
                                                                                <w:div w:id="1759324498">
                                                                                  <w:marLeft w:val="0"/>
                                                                                  <w:marRight w:val="0"/>
                                                                                  <w:marTop w:val="0"/>
                                                                                  <w:marBottom w:val="0"/>
                                                                                  <w:divBdr>
                                                                                    <w:top w:val="none" w:sz="0" w:space="0" w:color="auto"/>
                                                                                    <w:left w:val="none" w:sz="0" w:space="0" w:color="auto"/>
                                                                                    <w:bottom w:val="none" w:sz="0" w:space="0" w:color="auto"/>
                                                                                    <w:right w:val="none" w:sz="0" w:space="0" w:color="auto"/>
                                                                                  </w:divBdr>
                                                                                  <w:divsChild>
                                                                                    <w:div w:id="472874199">
                                                                                      <w:marLeft w:val="0"/>
                                                                                      <w:marRight w:val="0"/>
                                                                                      <w:marTop w:val="0"/>
                                                                                      <w:marBottom w:val="0"/>
                                                                                      <w:divBdr>
                                                                                        <w:top w:val="none" w:sz="0" w:space="0" w:color="auto"/>
                                                                                        <w:left w:val="none" w:sz="0" w:space="0" w:color="auto"/>
                                                                                        <w:bottom w:val="none" w:sz="0" w:space="0" w:color="auto"/>
                                                                                        <w:right w:val="none" w:sz="0" w:space="0" w:color="auto"/>
                                                                                      </w:divBdr>
                                                                                      <w:divsChild>
                                                                                        <w:div w:id="709888181">
                                                                                          <w:marLeft w:val="0"/>
                                                                                          <w:marRight w:val="120"/>
                                                                                          <w:marTop w:val="0"/>
                                                                                          <w:marBottom w:val="150"/>
                                                                                          <w:divBdr>
                                                                                            <w:top w:val="single" w:sz="2" w:space="0" w:color="EFEFEF"/>
                                                                                            <w:left w:val="single" w:sz="6" w:space="0" w:color="EFEFEF"/>
                                                                                            <w:bottom w:val="single" w:sz="6" w:space="0" w:color="E2E2E2"/>
                                                                                            <w:right w:val="single" w:sz="6" w:space="0" w:color="EFEFEF"/>
                                                                                          </w:divBdr>
                                                                                          <w:divsChild>
                                                                                            <w:div w:id="138153813">
                                                                                              <w:marLeft w:val="0"/>
                                                                                              <w:marRight w:val="0"/>
                                                                                              <w:marTop w:val="0"/>
                                                                                              <w:marBottom w:val="0"/>
                                                                                              <w:divBdr>
                                                                                                <w:top w:val="none" w:sz="0" w:space="0" w:color="auto"/>
                                                                                                <w:left w:val="none" w:sz="0" w:space="0" w:color="auto"/>
                                                                                                <w:bottom w:val="none" w:sz="0" w:space="0" w:color="auto"/>
                                                                                                <w:right w:val="none" w:sz="0" w:space="0" w:color="auto"/>
                                                                                              </w:divBdr>
                                                                                              <w:divsChild>
                                                                                                <w:div w:id="165633928">
                                                                                                  <w:marLeft w:val="0"/>
                                                                                                  <w:marRight w:val="0"/>
                                                                                                  <w:marTop w:val="0"/>
                                                                                                  <w:marBottom w:val="0"/>
                                                                                                  <w:divBdr>
                                                                                                    <w:top w:val="none" w:sz="0" w:space="0" w:color="auto"/>
                                                                                                    <w:left w:val="none" w:sz="0" w:space="0" w:color="auto"/>
                                                                                                    <w:bottom w:val="none" w:sz="0" w:space="0" w:color="auto"/>
                                                                                                    <w:right w:val="none" w:sz="0" w:space="0" w:color="auto"/>
                                                                                                  </w:divBdr>
                                                                                                  <w:divsChild>
                                                                                                    <w:div w:id="761875888">
                                                                                                      <w:marLeft w:val="0"/>
                                                                                                      <w:marRight w:val="0"/>
                                                                                                      <w:marTop w:val="0"/>
                                                                                                      <w:marBottom w:val="0"/>
                                                                                                      <w:divBdr>
                                                                                                        <w:top w:val="none" w:sz="0" w:space="0" w:color="auto"/>
                                                                                                        <w:left w:val="none" w:sz="0" w:space="0" w:color="auto"/>
                                                                                                        <w:bottom w:val="none" w:sz="0" w:space="0" w:color="auto"/>
                                                                                                        <w:right w:val="none" w:sz="0" w:space="0" w:color="auto"/>
                                                                                                      </w:divBdr>
                                                                                                      <w:divsChild>
                                                                                                        <w:div w:id="734593355">
                                                                                                          <w:marLeft w:val="0"/>
                                                                                                          <w:marRight w:val="0"/>
                                                                                                          <w:marTop w:val="0"/>
                                                                                                          <w:marBottom w:val="0"/>
                                                                                                          <w:divBdr>
                                                                                                            <w:top w:val="none" w:sz="0" w:space="0" w:color="auto"/>
                                                                                                            <w:left w:val="none" w:sz="0" w:space="0" w:color="auto"/>
                                                                                                            <w:bottom w:val="none" w:sz="0" w:space="0" w:color="auto"/>
                                                                                                            <w:right w:val="none" w:sz="0" w:space="0" w:color="auto"/>
                                                                                                          </w:divBdr>
                                                                                                          <w:divsChild>
                                                                                                            <w:div w:id="1985699207">
                                                                                                              <w:marLeft w:val="0"/>
                                                                                                              <w:marRight w:val="0"/>
                                                                                                              <w:marTop w:val="0"/>
                                                                                                              <w:marBottom w:val="0"/>
                                                                                                              <w:divBdr>
                                                                                                                <w:top w:val="single" w:sz="2" w:space="4" w:color="D8D8D8"/>
                                                                                                                <w:left w:val="single" w:sz="2" w:space="0" w:color="D8D8D8"/>
                                                                                                                <w:bottom w:val="single" w:sz="2" w:space="4" w:color="D8D8D8"/>
                                                                                                                <w:right w:val="single" w:sz="2" w:space="0" w:color="D8D8D8"/>
                                                                                                              </w:divBdr>
                                                                                                              <w:divsChild>
                                                                                                                <w:div w:id="102503281">
                                                                                                                  <w:marLeft w:val="225"/>
                                                                                                                  <w:marRight w:val="225"/>
                                                                                                                  <w:marTop w:val="75"/>
                                                                                                                  <w:marBottom w:val="75"/>
                                                                                                                  <w:divBdr>
                                                                                                                    <w:top w:val="none" w:sz="0" w:space="0" w:color="auto"/>
                                                                                                                    <w:left w:val="none" w:sz="0" w:space="0" w:color="auto"/>
                                                                                                                    <w:bottom w:val="none" w:sz="0" w:space="0" w:color="auto"/>
                                                                                                                    <w:right w:val="none" w:sz="0" w:space="0" w:color="auto"/>
                                                                                                                  </w:divBdr>
                                                                                                                  <w:divsChild>
                                                                                                                    <w:div w:id="385564883">
                                                                                                                      <w:marLeft w:val="0"/>
                                                                                                                      <w:marRight w:val="0"/>
                                                                                                                      <w:marTop w:val="0"/>
                                                                                                                      <w:marBottom w:val="0"/>
                                                                                                                      <w:divBdr>
                                                                                                                        <w:top w:val="single" w:sz="6" w:space="0" w:color="auto"/>
                                                                                                                        <w:left w:val="single" w:sz="6" w:space="0" w:color="auto"/>
                                                                                                                        <w:bottom w:val="single" w:sz="6" w:space="0" w:color="auto"/>
                                                                                                                        <w:right w:val="single" w:sz="6" w:space="0" w:color="auto"/>
                                                                                                                      </w:divBdr>
                                                                                                                      <w:divsChild>
                                                                                                                        <w:div w:id="1224944113">
                                                                                                                          <w:marLeft w:val="0"/>
                                                                                                                          <w:marRight w:val="0"/>
                                                                                                                          <w:marTop w:val="0"/>
                                                                                                                          <w:marBottom w:val="0"/>
                                                                                                                          <w:divBdr>
                                                                                                                            <w:top w:val="none" w:sz="0" w:space="0" w:color="auto"/>
                                                                                                                            <w:left w:val="none" w:sz="0" w:space="0" w:color="auto"/>
                                                                                                                            <w:bottom w:val="none" w:sz="0" w:space="0" w:color="auto"/>
                                                                                                                            <w:right w:val="none" w:sz="0" w:space="0" w:color="auto"/>
                                                                                                                          </w:divBdr>
                                                                                                                          <w:divsChild>
                                                                                                                            <w:div w:id="9228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926446">
      <w:bodyDiv w:val="1"/>
      <w:marLeft w:val="0"/>
      <w:marRight w:val="0"/>
      <w:marTop w:val="0"/>
      <w:marBottom w:val="0"/>
      <w:divBdr>
        <w:top w:val="none" w:sz="0" w:space="0" w:color="auto"/>
        <w:left w:val="none" w:sz="0" w:space="0" w:color="auto"/>
        <w:bottom w:val="none" w:sz="0" w:space="0" w:color="auto"/>
        <w:right w:val="none" w:sz="0" w:space="0" w:color="auto"/>
      </w:divBdr>
    </w:div>
    <w:div w:id="1958944362">
      <w:bodyDiv w:val="1"/>
      <w:marLeft w:val="0"/>
      <w:marRight w:val="0"/>
      <w:marTop w:val="0"/>
      <w:marBottom w:val="0"/>
      <w:divBdr>
        <w:top w:val="none" w:sz="0" w:space="0" w:color="auto"/>
        <w:left w:val="none" w:sz="0" w:space="0" w:color="auto"/>
        <w:bottom w:val="none" w:sz="0" w:space="0" w:color="auto"/>
        <w:right w:val="none" w:sz="0" w:space="0" w:color="auto"/>
      </w:divBdr>
    </w:div>
    <w:div w:id="2007322321">
      <w:bodyDiv w:val="1"/>
      <w:marLeft w:val="0"/>
      <w:marRight w:val="0"/>
      <w:marTop w:val="0"/>
      <w:marBottom w:val="0"/>
      <w:divBdr>
        <w:top w:val="none" w:sz="0" w:space="0" w:color="auto"/>
        <w:left w:val="none" w:sz="0" w:space="0" w:color="auto"/>
        <w:bottom w:val="none" w:sz="0" w:space="0" w:color="auto"/>
        <w:right w:val="none" w:sz="0" w:space="0" w:color="auto"/>
      </w:divBdr>
    </w:div>
    <w:div w:id="2022245410">
      <w:bodyDiv w:val="1"/>
      <w:marLeft w:val="0"/>
      <w:marRight w:val="0"/>
      <w:marTop w:val="0"/>
      <w:marBottom w:val="0"/>
      <w:divBdr>
        <w:top w:val="none" w:sz="0" w:space="0" w:color="auto"/>
        <w:left w:val="none" w:sz="0" w:space="0" w:color="auto"/>
        <w:bottom w:val="none" w:sz="0" w:space="0" w:color="auto"/>
        <w:right w:val="none" w:sz="0" w:space="0" w:color="auto"/>
      </w:divBdr>
      <w:divsChild>
        <w:div w:id="557588699">
          <w:marLeft w:val="0"/>
          <w:marRight w:val="0"/>
          <w:marTop w:val="0"/>
          <w:marBottom w:val="0"/>
          <w:divBdr>
            <w:top w:val="none" w:sz="0" w:space="0" w:color="auto"/>
            <w:left w:val="none" w:sz="0" w:space="0" w:color="auto"/>
            <w:bottom w:val="none" w:sz="0" w:space="0" w:color="auto"/>
            <w:right w:val="none" w:sz="0" w:space="0" w:color="auto"/>
          </w:divBdr>
        </w:div>
      </w:divsChild>
    </w:div>
    <w:div w:id="2033913414">
      <w:bodyDiv w:val="1"/>
      <w:marLeft w:val="0"/>
      <w:marRight w:val="0"/>
      <w:marTop w:val="0"/>
      <w:marBottom w:val="0"/>
      <w:divBdr>
        <w:top w:val="none" w:sz="0" w:space="0" w:color="auto"/>
        <w:left w:val="none" w:sz="0" w:space="0" w:color="auto"/>
        <w:bottom w:val="none" w:sz="0" w:space="0" w:color="auto"/>
        <w:right w:val="none" w:sz="0" w:space="0" w:color="auto"/>
      </w:divBdr>
    </w:div>
    <w:div w:id="2078893773">
      <w:bodyDiv w:val="1"/>
      <w:marLeft w:val="0"/>
      <w:marRight w:val="0"/>
      <w:marTop w:val="0"/>
      <w:marBottom w:val="0"/>
      <w:divBdr>
        <w:top w:val="none" w:sz="0" w:space="0" w:color="auto"/>
        <w:left w:val="none" w:sz="0" w:space="0" w:color="auto"/>
        <w:bottom w:val="none" w:sz="0" w:space="0" w:color="auto"/>
        <w:right w:val="none" w:sz="0" w:space="0" w:color="auto"/>
      </w:divBdr>
    </w:div>
    <w:div w:id="2109543751">
      <w:bodyDiv w:val="1"/>
      <w:marLeft w:val="0"/>
      <w:marRight w:val="0"/>
      <w:marTop w:val="0"/>
      <w:marBottom w:val="0"/>
      <w:divBdr>
        <w:top w:val="none" w:sz="0" w:space="0" w:color="auto"/>
        <w:left w:val="none" w:sz="0" w:space="0" w:color="auto"/>
        <w:bottom w:val="none" w:sz="0" w:space="0" w:color="auto"/>
        <w:right w:val="none" w:sz="0" w:space="0" w:color="auto"/>
      </w:divBdr>
    </w:div>
    <w:div w:id="21389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diagramData" Target="diagrams/data2.xml"/><Relationship Id="rId42" Type="http://schemas.openxmlformats.org/officeDocument/2006/relationships/image" Target="media/image18.jpeg"/><Relationship Id="rId47" Type="http://schemas.openxmlformats.org/officeDocument/2006/relationships/image" Target="media/image22.png"/><Relationship Id="rId63" Type="http://schemas.openxmlformats.org/officeDocument/2006/relationships/hyperlink" Target="http://www.icbf.gov.co/portal/page/portal/PortalICBF/LeyTransparencia/RendicionCuentasICBF" TargetMode="External"/><Relationship Id="rId68" Type="http://schemas.openxmlformats.org/officeDocument/2006/relationships/diagramColors" Target="diagrams/colors3.xml"/><Relationship Id="rId84" Type="http://schemas.openxmlformats.org/officeDocument/2006/relationships/hyperlink" Target="http://www.icbf.gov.co/portal/page/portal/IntranetICBF/medios/ProgramaLNBSH" TargetMode="External"/><Relationship Id="rId89" Type="http://schemas.openxmlformats.org/officeDocument/2006/relationships/header" Target="header3.xml"/><Relationship Id="rId16" Type="http://schemas.openxmlformats.org/officeDocument/2006/relationships/diagramQuickStyle" Target="diagrams/quickStyle1.xml"/><Relationship Id="rId11" Type="http://schemas.openxmlformats.org/officeDocument/2006/relationships/image" Target="media/image3.png"/><Relationship Id="rId32" Type="http://schemas.openxmlformats.org/officeDocument/2006/relationships/hyperlink" Target="https://www.youtube.com/watch?v=UL8E9gnPH9w" TargetMode="External"/><Relationship Id="rId37" Type="http://schemas.openxmlformats.org/officeDocument/2006/relationships/image" Target="media/image16.emf"/><Relationship Id="rId53" Type="http://schemas.openxmlformats.org/officeDocument/2006/relationships/image" Target="media/image26.jpeg"/><Relationship Id="rId58" Type="http://schemas.openxmlformats.org/officeDocument/2006/relationships/hyperlink" Target="http://www.icbf.gov.co/portal/page/portal/IntranetICBF/organigrama/SecretariaGeneral/GestionHumana/Bienestar%20Social" TargetMode="External"/><Relationship Id="rId74" Type="http://schemas.microsoft.com/office/2007/relationships/diagramDrawing" Target="diagrams/drawing4.xml"/><Relationship Id="rId79" Type="http://schemas.openxmlformats.org/officeDocument/2006/relationships/diagramLayout" Target="diagrams/layout5.xml"/><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diagramData" Target="diagrams/data1.xml"/><Relationship Id="rId22" Type="http://schemas.openxmlformats.org/officeDocument/2006/relationships/diagramLayout" Target="diagrams/layout2.xm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yperlink" Target="http://www.icbf.gov.co/cargues/avance/docs/ley_1098_2006_pr004.htm" TargetMode="External"/><Relationship Id="rId43" Type="http://schemas.openxmlformats.org/officeDocument/2006/relationships/image" Target="media/image19.jpeg"/><Relationship Id="rId48" Type="http://schemas.openxmlformats.org/officeDocument/2006/relationships/image" Target="media/image23.png"/><Relationship Id="rId56" Type="http://schemas.openxmlformats.org/officeDocument/2006/relationships/hyperlink" Target="http://www.icbf.gov.co/portal/page/portal/PortalICBF/Servicios/vus" TargetMode="External"/><Relationship Id="rId64" Type="http://schemas.openxmlformats.org/officeDocument/2006/relationships/hyperlink" Target="http://svlnxportalapp.icbf.gov.co:8090/portal/page/portal/IntranetICBF/macro_procesos/MP_estrategicos/mejoramiento_continuo/PR3%20MPE2%20Acciones%20Preventiva%20v9.pdf" TargetMode="External"/><Relationship Id="rId69" Type="http://schemas.microsoft.com/office/2007/relationships/diagramDrawing" Target="diagrams/drawing3.xml"/><Relationship Id="rId77"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diagramQuickStyle" Target="diagrams/quickStyle4.xml"/><Relationship Id="rId80" Type="http://schemas.openxmlformats.org/officeDocument/2006/relationships/diagramQuickStyle" Target="diagrams/quickStyle5.xml"/><Relationship Id="rId85" Type="http://schemas.openxmlformats.org/officeDocument/2006/relationships/hyperlink" Target="http://www.icbf.gov.co/portal/page/portal/IntranetICBF/medios/ProgramaLNBSH" TargetMode="External"/><Relationship Id="rId3" Type="http://schemas.openxmlformats.org/officeDocument/2006/relationships/numbering" Target="numbering.xml"/><Relationship Id="rId12" Type="http://schemas.openxmlformats.org/officeDocument/2006/relationships/hyperlink" Target="http://svlnxportalapp:8090/portal/page/portal/IntranetICBF/organigrama/SecretariaGeneral/O_controlinterno_disciplinario" TargetMode="External"/><Relationship Id="rId17" Type="http://schemas.openxmlformats.org/officeDocument/2006/relationships/diagramColors" Target="diagrams/colors1.xml"/><Relationship Id="rId25" Type="http://schemas.microsoft.com/office/2007/relationships/diagramDrawing" Target="diagrams/drawing2.xml"/><Relationship Id="rId33" Type="http://schemas.openxmlformats.org/officeDocument/2006/relationships/image" Target="media/image14.png"/><Relationship Id="rId38" Type="http://schemas.openxmlformats.org/officeDocument/2006/relationships/hyperlink" Target="http://www.icbf.gob.co" TargetMode="External"/><Relationship Id="rId46" Type="http://schemas.openxmlformats.org/officeDocument/2006/relationships/hyperlink" Target="http://geco.icbf.gov.co/geco/" TargetMode="External"/><Relationship Id="rId59" Type="http://schemas.openxmlformats.org/officeDocument/2006/relationships/image" Target="media/image29.png"/><Relationship Id="rId67" Type="http://schemas.openxmlformats.org/officeDocument/2006/relationships/diagramQuickStyle" Target="diagrams/quickStyle3.xml"/><Relationship Id="rId20" Type="http://schemas.openxmlformats.org/officeDocument/2006/relationships/hyperlink" Target="file:///C:\Users\PERSONAL\AppData\Local\Microsoft\Windows\INetCache\Content.Outlook\62PMGTKA\ACUERDO_11\Videoconferencia%20contrataci&#243;n-%20mayo.pptx" TargetMode="External"/><Relationship Id="rId41" Type="http://schemas.openxmlformats.org/officeDocument/2006/relationships/image" Target="media/image17.jpeg"/><Relationship Id="rId54" Type="http://schemas.openxmlformats.org/officeDocument/2006/relationships/image" Target="media/image27.jpeg"/><Relationship Id="rId62" Type="http://schemas.openxmlformats.org/officeDocument/2006/relationships/image" Target="media/image31.png"/><Relationship Id="rId70" Type="http://schemas.openxmlformats.org/officeDocument/2006/relationships/diagramData" Target="diagrams/data4.xml"/><Relationship Id="rId75" Type="http://schemas.openxmlformats.org/officeDocument/2006/relationships/image" Target="media/image32.png"/><Relationship Id="rId83" Type="http://schemas.openxmlformats.org/officeDocument/2006/relationships/chart" Target="charts/chart4.xm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QuickStyle" Target="diagrams/quickStyle2.xml"/><Relationship Id="rId28" Type="http://schemas.openxmlformats.org/officeDocument/2006/relationships/image" Target="media/image11.jpeg"/><Relationship Id="rId36" Type="http://schemas.openxmlformats.org/officeDocument/2006/relationships/hyperlink" Target="http://www.suin-snbf.gov.co/suin" TargetMode="External"/><Relationship Id="rId49" Type="http://schemas.openxmlformats.org/officeDocument/2006/relationships/hyperlink" Target="http://www.icbf.gov.co/portal/page/portal/PortalICBF/Servicios/DSyA" TargetMode="External"/><Relationship Id="rId57" Type="http://schemas.openxmlformats.org/officeDocument/2006/relationships/image" Target="media/image28.jpeg"/><Relationship Id="rId10" Type="http://schemas.openxmlformats.org/officeDocument/2006/relationships/image" Target="media/image2.png"/><Relationship Id="rId31" Type="http://schemas.openxmlformats.org/officeDocument/2006/relationships/hyperlink" Target="http://www.teprotejo.org" TargetMode="External"/><Relationship Id="rId44" Type="http://schemas.openxmlformats.org/officeDocument/2006/relationships/image" Target="media/image20.jpeg"/><Relationship Id="rId52" Type="http://schemas.microsoft.com/office/2007/relationships/hdphoto" Target="media/hdphoto1.wdp"/><Relationship Id="rId60" Type="http://schemas.openxmlformats.org/officeDocument/2006/relationships/image" Target="media/image30.png"/><Relationship Id="rId65" Type="http://schemas.openxmlformats.org/officeDocument/2006/relationships/diagramData" Target="diagrams/data3.xml"/><Relationship Id="rId73" Type="http://schemas.openxmlformats.org/officeDocument/2006/relationships/diagramColors" Target="diagrams/colors4.xml"/><Relationship Id="rId78" Type="http://schemas.openxmlformats.org/officeDocument/2006/relationships/diagramData" Target="diagrams/data5.xml"/><Relationship Id="rId81" Type="http://schemas.openxmlformats.org/officeDocument/2006/relationships/diagramColors" Target="diagrams/colors5.xml"/><Relationship Id="rId86"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4.png"/><Relationship Id="rId18" Type="http://schemas.microsoft.com/office/2007/relationships/diagramDrawing" Target="diagrams/drawing1.xml"/><Relationship Id="rId39" Type="http://schemas.openxmlformats.org/officeDocument/2006/relationships/hyperlink" Target="http://www.datos.gov.co" TargetMode="External"/><Relationship Id="rId34" Type="http://schemas.openxmlformats.org/officeDocument/2006/relationships/image" Target="media/image15.png"/><Relationship Id="rId50" Type="http://schemas.openxmlformats.org/officeDocument/2006/relationships/image" Target="media/image24.jpeg"/><Relationship Id="rId55" Type="http://schemas.openxmlformats.org/officeDocument/2006/relationships/chart" Target="charts/chart1.xml"/><Relationship Id="rId76" Type="http://schemas.openxmlformats.org/officeDocument/2006/relationships/chart" Target="charts/chart2.xml"/><Relationship Id="rId7" Type="http://schemas.openxmlformats.org/officeDocument/2006/relationships/footnotes" Target="footnotes.xml"/><Relationship Id="rId71" Type="http://schemas.openxmlformats.org/officeDocument/2006/relationships/diagramLayout" Target="diagrams/layout4.xml"/><Relationship Id="rId2" Type="http://schemas.openxmlformats.org/officeDocument/2006/relationships/customXml" Target="../customXml/item2.xml"/><Relationship Id="rId29" Type="http://schemas.openxmlformats.org/officeDocument/2006/relationships/image" Target="media/image12.jpeg"/><Relationship Id="rId24" Type="http://schemas.openxmlformats.org/officeDocument/2006/relationships/diagramColors" Target="diagrams/colors2.xml"/><Relationship Id="rId40" Type="http://schemas.openxmlformats.org/officeDocument/2006/relationships/hyperlink" Target="http://www.icbf.gov.co/portal/page/portal/IntranetICBF/ProcesosICBF/estrategico/tecnologia-informacion/informacion" TargetMode="External"/><Relationship Id="rId45" Type="http://schemas.openxmlformats.org/officeDocument/2006/relationships/image" Target="media/image21.jpeg"/><Relationship Id="rId66" Type="http://schemas.openxmlformats.org/officeDocument/2006/relationships/diagramLayout" Target="diagrams/layout3.xml"/><Relationship Id="rId87" Type="http://schemas.openxmlformats.org/officeDocument/2006/relationships/header" Target="header2.xml"/><Relationship Id="rId61" Type="http://schemas.openxmlformats.org/officeDocument/2006/relationships/image" Target="cid:image003.png@01D22ECD.E517A0B0" TargetMode="External"/><Relationship Id="rId82" Type="http://schemas.microsoft.com/office/2007/relationships/diagramDrawing" Target="diagrams/drawing5.xml"/><Relationship Id="rId19" Type="http://schemas.openxmlformats.org/officeDocument/2006/relationships/hyperlink" Target="file:///C:\Users\PERSONAL\AppData\Local\Microsoft\Windows\INetCache\Content.Outlook\62PMGTKA\ACUERDO_11\S-2016-211795-0101%20Mayo%2005%20201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footnotes.xml.rels><?xml version="1.0" encoding="UTF-8" standalone="yes"?>
<Relationships xmlns="http://schemas.openxmlformats.org/package/2006/relationships"><Relationship Id="rId2" Type="http://schemas.openxmlformats.org/officeDocument/2006/relationships/hyperlink" Target="http://www.icbf.gov.co/portal/page/portal/PortalICBF/LeyTransparencia/Gu%C3%ADa_para_la_gestion_de_contenidos_en_portafolio%20web_ICBF.pdf" TargetMode="External"/><Relationship Id="rId1" Type="http://schemas.openxmlformats.org/officeDocument/2006/relationships/hyperlink" Target="http://www.icbf.gov.co/portal/page/portal/PortalICBF/procesos/estrategico/comunicacion-estrategica/P6.CE%20Procedimiento%20Actualizaci%C3%B3n%20Portafolio%20Web%20ICBF%20v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jpeg"/><Relationship Id="rId1" Type="http://schemas.openxmlformats.org/officeDocument/2006/relationships/image" Target="media/image33.jpeg"/></Relationships>
</file>

<file path=word/_rels/header3.xml.rels><?xml version="1.0" encoding="UTF-8" standalone="yes"?>
<Relationships xmlns="http://schemas.openxmlformats.org/package/2006/relationships"><Relationship Id="rId1" Type="http://schemas.openxmlformats.org/officeDocument/2006/relationships/image" Target="media/image33.jpeg"/></Relationships>
</file>

<file path=word/charts/_rels/chart1.xml.rels><?xml version="1.0" encoding="UTF-8" standalone="yes"?>
<Relationships xmlns="http://schemas.openxmlformats.org/package/2006/relationships"><Relationship Id="rId2" Type="http://schemas.openxmlformats.org/officeDocument/2006/relationships/oleObject" Target="file:///\\172.16.9.31\ArchivosICBF\Direccion%20de%20Planeacion\Monitoreo%20Plan%20Anticorrupci&#243;n%202016\Comp.%205-Mecanismos%20para%20la%20Transparencia%20y%20Acceso%20a%20la%20Inf\comp5_transparenciayaccesoinformaci&#243;n070916%20(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izzett.Grimaldo\AppData\Local\Microsoft\Windows\INetCache\Content.Outlook\R3FLN35S\Reporte%20indicarodes%20201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izzett.Grimaldo\AppData\Local\Microsoft\Windows\INetCache\Content.Outlook\R3FLN35S\Reporte%20indicarodes%202016.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juanc.arias\Desktop\Comites\Graficos%20de%20indicado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000" b="1">
                <a:latin typeface="Arial" panose="020B0604020202020204" pitchFamily="34" charset="0"/>
                <a:cs typeface="Arial" panose="020B0604020202020204" pitchFamily="34" charset="0"/>
              </a:rPr>
              <a:t>Gestión</a:t>
            </a:r>
            <a:r>
              <a:rPr lang="es-CO" sz="1000" b="1" baseline="0">
                <a:latin typeface="Arial" panose="020B0604020202020204" pitchFamily="34" charset="0"/>
                <a:cs typeface="Arial" panose="020B0604020202020204" pitchFamily="34" charset="0"/>
              </a:rPr>
              <a:t> Línea Anticorrupción</a:t>
            </a:r>
            <a:endParaRPr lang="es-CO" sz="1000" b="1">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rgbClr val="00B0F0"/>
              </a:solidFill>
              <a:ln>
                <a:noFill/>
              </a:ln>
              <a:effectLst/>
            </c:spPr>
            <c:extLst xmlns:c16r2="http://schemas.microsoft.com/office/drawing/2015/06/chart">
              <c:ext xmlns:c16="http://schemas.microsoft.com/office/drawing/2014/chart" uri="{C3380CC4-5D6E-409C-BE32-E72D297353CC}">
                <c16:uniqueId val="{00000001-2984-42DE-8D41-0F59DD40DCF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'[comp5_transparenciayaccesoinformación070916 (3).xlsx]Hoja1'!$E$7:$E$13</c:f>
              <c:strCache>
                <c:ptCount val="7"/>
                <c:pt idx="0">
                  <c:v>Total Denuncias Recibidas</c:v>
                </c:pt>
                <c:pt idx="1">
                  <c:v>En Validación con Áreas Internas</c:v>
                </c:pt>
                <c:pt idx="2">
                  <c:v>En análisis Jurídico</c:v>
                </c:pt>
                <c:pt idx="3">
                  <c:v>Denuncias Cerradas</c:v>
                </c:pt>
                <c:pt idx="4">
                  <c:v>En solicitud de Ampliación</c:v>
                </c:pt>
                <c:pt idx="5">
                  <c:v>En Análisis de la Jefe de la Oficina Asesora Jurídica</c:v>
                </c:pt>
                <c:pt idx="6">
                  <c:v>Devueltas por incumplimiento de criterios</c:v>
                </c:pt>
              </c:strCache>
            </c:strRef>
          </c:cat>
          <c:val>
            <c:numRef>
              <c:f>'[comp5_transparenciayaccesoinformación070916 (3).xlsx]Hoja1'!$F$7:$F$13</c:f>
              <c:numCache>
                <c:formatCode>General</c:formatCode>
                <c:ptCount val="7"/>
                <c:pt idx="0">
                  <c:v>177</c:v>
                </c:pt>
                <c:pt idx="1">
                  <c:v>145</c:v>
                </c:pt>
                <c:pt idx="2">
                  <c:v>11</c:v>
                </c:pt>
                <c:pt idx="3">
                  <c:v>7</c:v>
                </c:pt>
                <c:pt idx="4">
                  <c:v>7</c:v>
                </c:pt>
                <c:pt idx="5">
                  <c:v>5</c:v>
                </c:pt>
                <c:pt idx="6">
                  <c:v>2</c:v>
                </c:pt>
              </c:numCache>
            </c:numRef>
          </c:val>
          <c:extLst xmlns:c16r2="http://schemas.microsoft.com/office/drawing/2015/06/chart">
            <c:ext xmlns:c16="http://schemas.microsoft.com/office/drawing/2014/chart" uri="{C3380CC4-5D6E-409C-BE32-E72D297353CC}">
              <c16:uniqueId val="{00000002-2984-42DE-8D41-0F59DD40DCF5}"/>
            </c:ext>
          </c:extLst>
        </c:ser>
        <c:dLbls>
          <c:showLegendKey val="0"/>
          <c:showVal val="0"/>
          <c:showCatName val="0"/>
          <c:showSerName val="0"/>
          <c:showPercent val="0"/>
          <c:showBubbleSize val="0"/>
        </c:dLbls>
        <c:gapWidth val="219"/>
        <c:overlap val="-27"/>
        <c:axId val="-738755040"/>
        <c:axId val="-729510608"/>
      </c:barChart>
      <c:catAx>
        <c:axId val="-73875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729510608"/>
        <c:crosses val="autoZero"/>
        <c:auto val="1"/>
        <c:lblAlgn val="ctr"/>
        <c:lblOffset val="100"/>
        <c:noMultiLvlLbl val="0"/>
      </c:catAx>
      <c:valAx>
        <c:axId val="-7295106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3875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Liquidaciones de enero a diciembre</a:t>
            </a:r>
          </a:p>
        </c:rich>
      </c:tx>
      <c:overlay val="0"/>
      <c:spPr>
        <a:noFill/>
        <a:ln>
          <a:noFill/>
        </a:ln>
        <a:effectLst/>
      </c:spPr>
    </c:title>
    <c:autoTitleDeleted val="0"/>
    <c:plotArea>
      <c:layout/>
      <c:barChart>
        <c:barDir val="col"/>
        <c:grouping val="clustered"/>
        <c:varyColors val="0"/>
        <c:ser>
          <c:idx val="0"/>
          <c:order val="0"/>
          <c:tx>
            <c:strRef>
              <c:f>Hoja1!$A$1</c:f>
              <c:strCache>
                <c:ptCount val="1"/>
                <c:pt idx="0">
                  <c:v>Enero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c:f>
              <c:numCache>
                <c:formatCode>General</c:formatCode>
                <c:ptCount val="1"/>
                <c:pt idx="0">
                  <c:v>34</c:v>
                </c:pt>
              </c:numCache>
            </c:numRef>
          </c:val>
          <c:extLst xmlns:c16r2="http://schemas.microsoft.com/office/drawing/2015/06/chart">
            <c:ext xmlns:c16="http://schemas.microsoft.com/office/drawing/2014/chart" uri="{C3380CC4-5D6E-409C-BE32-E72D297353CC}">
              <c16:uniqueId val="{00000000-E3B2-407F-8A2D-3BDFDB13266E}"/>
            </c:ext>
          </c:extLst>
        </c:ser>
        <c:ser>
          <c:idx val="1"/>
          <c:order val="1"/>
          <c:tx>
            <c:strRef>
              <c:f>Hoja1!$A$2</c:f>
              <c:strCache>
                <c:ptCount val="1"/>
                <c:pt idx="0">
                  <c:v>Febrero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1-E3B2-407F-8A2D-3BDFDB13266E}"/>
            </c:ext>
          </c:extLst>
        </c:ser>
        <c:ser>
          <c:idx val="2"/>
          <c:order val="2"/>
          <c:tx>
            <c:strRef>
              <c:f>Hoja1!$A$3</c:f>
              <c:strCache>
                <c:ptCount val="1"/>
                <c:pt idx="0">
                  <c:v>Marzo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2-E3B2-407F-8A2D-3BDFDB13266E}"/>
            </c:ext>
          </c:extLst>
        </c:ser>
        <c:ser>
          <c:idx val="3"/>
          <c:order val="3"/>
          <c:tx>
            <c:strRef>
              <c:f>Hoja1!$A$4</c:f>
              <c:strCache>
                <c:ptCount val="1"/>
                <c:pt idx="0">
                  <c:v>Abril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Hoja1!$B$4</c:f>
              <c:numCache>
                <c:formatCode>General</c:formatCode>
                <c:ptCount val="1"/>
                <c:pt idx="0">
                  <c:v>57</c:v>
                </c:pt>
              </c:numCache>
            </c:numRef>
          </c:val>
          <c:extLst xmlns:c16r2="http://schemas.microsoft.com/office/drawing/2015/06/chart">
            <c:ext xmlns:c16="http://schemas.microsoft.com/office/drawing/2014/chart" uri="{C3380CC4-5D6E-409C-BE32-E72D297353CC}">
              <c16:uniqueId val="{00000003-E3B2-407F-8A2D-3BDFDB13266E}"/>
            </c:ext>
          </c:extLst>
        </c:ser>
        <c:ser>
          <c:idx val="4"/>
          <c:order val="4"/>
          <c:tx>
            <c:strRef>
              <c:f>Hoja1!$A$5</c:f>
              <c:strCache>
                <c:ptCount val="1"/>
                <c:pt idx="0">
                  <c:v>Mayo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Hoja1!$B$5</c:f>
              <c:numCache>
                <c:formatCode>General</c:formatCode>
                <c:ptCount val="1"/>
                <c:pt idx="0">
                  <c:v>51</c:v>
                </c:pt>
              </c:numCache>
            </c:numRef>
          </c:val>
          <c:extLst xmlns:c16r2="http://schemas.microsoft.com/office/drawing/2015/06/chart">
            <c:ext xmlns:c16="http://schemas.microsoft.com/office/drawing/2014/chart" uri="{C3380CC4-5D6E-409C-BE32-E72D297353CC}">
              <c16:uniqueId val="{00000004-E3B2-407F-8A2D-3BDFDB13266E}"/>
            </c:ext>
          </c:extLst>
        </c:ser>
        <c:ser>
          <c:idx val="5"/>
          <c:order val="5"/>
          <c:tx>
            <c:strRef>
              <c:f>Hoja1!$A$6</c:f>
              <c:strCache>
                <c:ptCount val="1"/>
                <c:pt idx="0">
                  <c:v>Junio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Hoja1!$B$6</c:f>
              <c:numCache>
                <c:formatCode>General</c:formatCode>
                <c:ptCount val="1"/>
                <c:pt idx="0">
                  <c:v>68</c:v>
                </c:pt>
              </c:numCache>
            </c:numRef>
          </c:val>
          <c:extLst xmlns:c16r2="http://schemas.microsoft.com/office/drawing/2015/06/chart">
            <c:ext xmlns:c16="http://schemas.microsoft.com/office/drawing/2014/chart" uri="{C3380CC4-5D6E-409C-BE32-E72D297353CC}">
              <c16:uniqueId val="{00000005-E3B2-407F-8A2D-3BDFDB13266E}"/>
            </c:ext>
          </c:extLst>
        </c:ser>
        <c:ser>
          <c:idx val="6"/>
          <c:order val="6"/>
          <c:tx>
            <c:strRef>
              <c:f>Hoja1!$A$7</c:f>
              <c:strCache>
                <c:ptCount val="1"/>
                <c:pt idx="0">
                  <c:v>Julio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Hoja1!$B$7</c:f>
              <c:numCache>
                <c:formatCode>General</c:formatCode>
                <c:ptCount val="1"/>
                <c:pt idx="0">
                  <c:v>95</c:v>
                </c:pt>
              </c:numCache>
            </c:numRef>
          </c:val>
          <c:extLst xmlns:c16r2="http://schemas.microsoft.com/office/drawing/2015/06/chart">
            <c:ext xmlns:c16="http://schemas.microsoft.com/office/drawing/2014/chart" uri="{C3380CC4-5D6E-409C-BE32-E72D297353CC}">
              <c16:uniqueId val="{00000006-E3B2-407F-8A2D-3BDFDB13266E}"/>
            </c:ext>
          </c:extLst>
        </c:ser>
        <c:ser>
          <c:idx val="7"/>
          <c:order val="7"/>
          <c:tx>
            <c:strRef>
              <c:f>Hoja1!$A$8</c:f>
              <c:strCache>
                <c:ptCount val="1"/>
                <c:pt idx="0">
                  <c:v>Agosto </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Hoja1!$B$8</c:f>
              <c:numCache>
                <c:formatCode>General</c:formatCode>
                <c:ptCount val="1"/>
                <c:pt idx="0">
                  <c:v>102</c:v>
                </c:pt>
              </c:numCache>
            </c:numRef>
          </c:val>
          <c:extLst xmlns:c16r2="http://schemas.microsoft.com/office/drawing/2015/06/chart">
            <c:ext xmlns:c16="http://schemas.microsoft.com/office/drawing/2014/chart" uri="{C3380CC4-5D6E-409C-BE32-E72D297353CC}">
              <c16:uniqueId val="{00000007-E3B2-407F-8A2D-3BDFDB13266E}"/>
            </c:ext>
          </c:extLst>
        </c:ser>
        <c:ser>
          <c:idx val="8"/>
          <c:order val="8"/>
          <c:tx>
            <c:strRef>
              <c:f>Hoja1!$A$9</c:f>
              <c:strCache>
                <c:ptCount val="1"/>
                <c:pt idx="0">
                  <c:v>Septiembre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Hoja1!$B$9</c:f>
              <c:numCache>
                <c:formatCode>General</c:formatCode>
                <c:ptCount val="1"/>
                <c:pt idx="0">
                  <c:v>114</c:v>
                </c:pt>
              </c:numCache>
            </c:numRef>
          </c:val>
          <c:extLst xmlns:c16r2="http://schemas.microsoft.com/office/drawing/2015/06/chart">
            <c:ext xmlns:c16="http://schemas.microsoft.com/office/drawing/2014/chart" uri="{C3380CC4-5D6E-409C-BE32-E72D297353CC}">
              <c16:uniqueId val="{00000008-E3B2-407F-8A2D-3BDFDB13266E}"/>
            </c:ext>
          </c:extLst>
        </c:ser>
        <c:ser>
          <c:idx val="9"/>
          <c:order val="9"/>
          <c:tx>
            <c:strRef>
              <c:f>Hoja1!$A$10</c:f>
              <c:strCache>
                <c:ptCount val="1"/>
                <c:pt idx="0">
                  <c:v>Octubre </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Hoja1!$B$10</c:f>
              <c:numCache>
                <c:formatCode>General</c:formatCode>
                <c:ptCount val="1"/>
                <c:pt idx="0">
                  <c:v>92</c:v>
                </c:pt>
              </c:numCache>
            </c:numRef>
          </c:val>
          <c:extLst xmlns:c16r2="http://schemas.microsoft.com/office/drawing/2015/06/chart">
            <c:ext xmlns:c16="http://schemas.microsoft.com/office/drawing/2014/chart" uri="{C3380CC4-5D6E-409C-BE32-E72D297353CC}">
              <c16:uniqueId val="{00000009-E3B2-407F-8A2D-3BDFDB13266E}"/>
            </c:ext>
          </c:extLst>
        </c:ser>
        <c:ser>
          <c:idx val="10"/>
          <c:order val="10"/>
          <c:tx>
            <c:strRef>
              <c:f>Hoja1!$A$11</c:f>
              <c:strCache>
                <c:ptCount val="1"/>
                <c:pt idx="0">
                  <c:v>Noviembre</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Hoja1!$B$11</c:f>
              <c:numCache>
                <c:formatCode>General</c:formatCode>
                <c:ptCount val="1"/>
                <c:pt idx="0">
                  <c:v>96</c:v>
                </c:pt>
              </c:numCache>
            </c:numRef>
          </c:val>
          <c:extLst xmlns:c16r2="http://schemas.microsoft.com/office/drawing/2015/06/chart">
            <c:ext xmlns:c16="http://schemas.microsoft.com/office/drawing/2014/chart" uri="{C3380CC4-5D6E-409C-BE32-E72D297353CC}">
              <c16:uniqueId val="{0000000A-E3B2-407F-8A2D-3BDFDB13266E}"/>
            </c:ext>
          </c:extLst>
        </c:ser>
        <c:ser>
          <c:idx val="11"/>
          <c:order val="11"/>
          <c:tx>
            <c:strRef>
              <c:f>Hoja1!$A$12</c:f>
              <c:strCache>
                <c:ptCount val="1"/>
                <c:pt idx="0">
                  <c:v>Diciembre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Hoja1!$B$12</c:f>
              <c:numCache>
                <c:formatCode>General</c:formatCode>
                <c:ptCount val="1"/>
                <c:pt idx="0">
                  <c:v>141</c:v>
                </c:pt>
              </c:numCache>
            </c:numRef>
          </c:val>
          <c:extLst xmlns:c16r2="http://schemas.microsoft.com/office/drawing/2015/06/chart">
            <c:ext xmlns:c16="http://schemas.microsoft.com/office/drawing/2014/chart" uri="{C3380CC4-5D6E-409C-BE32-E72D297353CC}">
              <c16:uniqueId val="{0000000B-E3B2-407F-8A2D-3BDFDB13266E}"/>
            </c:ext>
          </c:extLst>
        </c:ser>
        <c:dLbls>
          <c:dLblPos val="inEnd"/>
          <c:showLegendKey val="0"/>
          <c:showVal val="1"/>
          <c:showCatName val="0"/>
          <c:showSerName val="0"/>
          <c:showPercent val="0"/>
          <c:showBubbleSize val="0"/>
        </c:dLbls>
        <c:gapWidth val="219"/>
        <c:overlap val="-27"/>
        <c:axId val="-729505168"/>
        <c:axId val="-729519856"/>
      </c:barChart>
      <c:catAx>
        <c:axId val="-72950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9519856"/>
        <c:crosses val="autoZero"/>
        <c:auto val="1"/>
        <c:lblAlgn val="ctr"/>
        <c:lblOffset val="100"/>
        <c:noMultiLvlLbl val="0"/>
      </c:catAx>
      <c:valAx>
        <c:axId val="-72951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72950516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200">
                <a:latin typeface="Arial" panose="020B0604020202020204" pitchFamily="34" charset="0"/>
                <a:cs typeface="Arial" panose="020B0604020202020204" pitchFamily="34" charset="0"/>
              </a:rPr>
              <a:t>Vigencias liquidaciones</a:t>
            </a:r>
          </a:p>
        </c:rich>
      </c:tx>
      <c:overlay val="0"/>
      <c:spPr>
        <a:noFill/>
        <a:ln>
          <a:noFill/>
        </a:ln>
        <a:effectLst/>
      </c:spPr>
    </c:title>
    <c:autoTitleDeleted val="0"/>
    <c:plotArea>
      <c:layout/>
      <c:barChart>
        <c:barDir val="col"/>
        <c:grouping val="clustered"/>
        <c:varyColors val="0"/>
        <c:ser>
          <c:idx val="0"/>
          <c:order val="0"/>
          <c:tx>
            <c:strRef>
              <c:f>Hoja1!$A$21</c:f>
              <c:strCache>
                <c:ptCount val="1"/>
                <c:pt idx="0">
                  <c:v>2006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Hoja1!$B$21</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DB64-4C6F-9472-5400C9627CB2}"/>
            </c:ext>
          </c:extLst>
        </c:ser>
        <c:ser>
          <c:idx val="1"/>
          <c:order val="1"/>
          <c:tx>
            <c:strRef>
              <c:f>Hoja1!$A$22</c:f>
              <c:strCache>
                <c:ptCount val="1"/>
                <c:pt idx="0">
                  <c:v>2007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DB64-4C6F-9472-5400C9627CB2}"/>
            </c:ext>
          </c:extLst>
        </c:ser>
        <c:ser>
          <c:idx val="2"/>
          <c:order val="2"/>
          <c:tx>
            <c:strRef>
              <c:f>Hoja1!$A$23</c:f>
              <c:strCache>
                <c:ptCount val="1"/>
                <c:pt idx="0">
                  <c:v>2008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Hoja1!$B$23</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DB64-4C6F-9472-5400C9627CB2}"/>
            </c:ext>
          </c:extLst>
        </c:ser>
        <c:ser>
          <c:idx val="3"/>
          <c:order val="3"/>
          <c:tx>
            <c:strRef>
              <c:f>Hoja1!$A$24</c:f>
              <c:strCache>
                <c:ptCount val="1"/>
                <c:pt idx="0">
                  <c:v>2010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Hoja1!$B$24</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3-DB64-4C6F-9472-5400C9627CB2}"/>
            </c:ext>
          </c:extLst>
        </c:ser>
        <c:ser>
          <c:idx val="4"/>
          <c:order val="4"/>
          <c:tx>
            <c:strRef>
              <c:f>Hoja1!$A$25</c:f>
              <c:strCache>
                <c:ptCount val="1"/>
                <c:pt idx="0">
                  <c:v>2011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Hoja1!$B$25</c:f>
              <c:numCache>
                <c:formatCode>General</c:formatCode>
                <c:ptCount val="1"/>
                <c:pt idx="0">
                  <c:v>19</c:v>
                </c:pt>
              </c:numCache>
            </c:numRef>
          </c:val>
          <c:extLst xmlns:c16r2="http://schemas.microsoft.com/office/drawing/2015/06/chart">
            <c:ext xmlns:c16="http://schemas.microsoft.com/office/drawing/2014/chart" uri="{C3380CC4-5D6E-409C-BE32-E72D297353CC}">
              <c16:uniqueId val="{00000004-DB64-4C6F-9472-5400C9627CB2}"/>
            </c:ext>
          </c:extLst>
        </c:ser>
        <c:ser>
          <c:idx val="5"/>
          <c:order val="5"/>
          <c:tx>
            <c:strRef>
              <c:f>Hoja1!$A$26</c:f>
              <c:strCache>
                <c:ptCount val="1"/>
                <c:pt idx="0">
                  <c:v>2012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Hoja1!$B$26</c:f>
              <c:numCache>
                <c:formatCode>General</c:formatCode>
                <c:ptCount val="1"/>
                <c:pt idx="0">
                  <c:v>501</c:v>
                </c:pt>
              </c:numCache>
            </c:numRef>
          </c:val>
          <c:extLst xmlns:c16r2="http://schemas.microsoft.com/office/drawing/2015/06/chart">
            <c:ext xmlns:c16="http://schemas.microsoft.com/office/drawing/2014/chart" uri="{C3380CC4-5D6E-409C-BE32-E72D297353CC}">
              <c16:uniqueId val="{00000005-DB64-4C6F-9472-5400C9627CB2}"/>
            </c:ext>
          </c:extLst>
        </c:ser>
        <c:ser>
          <c:idx val="6"/>
          <c:order val="6"/>
          <c:tx>
            <c:strRef>
              <c:f>Hoja1!$A$27</c:f>
              <c:strCache>
                <c:ptCount val="1"/>
                <c:pt idx="0">
                  <c:v>2013</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Hoja1!$B$27</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6-DB64-4C6F-9472-5400C9627CB2}"/>
            </c:ext>
          </c:extLst>
        </c:ser>
        <c:ser>
          <c:idx val="7"/>
          <c:order val="7"/>
          <c:tx>
            <c:strRef>
              <c:f>Hoja1!$A$28</c:f>
              <c:strCache>
                <c:ptCount val="1"/>
                <c:pt idx="0">
                  <c:v>2014</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Hoja1!$B$28</c:f>
              <c:numCache>
                <c:formatCode>General</c:formatCode>
                <c:ptCount val="1"/>
                <c:pt idx="0">
                  <c:v>37</c:v>
                </c:pt>
              </c:numCache>
            </c:numRef>
          </c:val>
          <c:extLst xmlns:c16r2="http://schemas.microsoft.com/office/drawing/2015/06/chart">
            <c:ext xmlns:c16="http://schemas.microsoft.com/office/drawing/2014/chart" uri="{C3380CC4-5D6E-409C-BE32-E72D297353CC}">
              <c16:uniqueId val="{00000007-DB64-4C6F-9472-5400C9627CB2}"/>
            </c:ext>
          </c:extLst>
        </c:ser>
        <c:ser>
          <c:idx val="8"/>
          <c:order val="8"/>
          <c:tx>
            <c:strRef>
              <c:f>Hoja1!$A$29</c:f>
              <c:strCache>
                <c:ptCount val="1"/>
                <c:pt idx="0">
                  <c:v>2015</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Hoja1!$B$29</c:f>
              <c:numCache>
                <c:formatCode>General</c:formatCode>
                <c:ptCount val="1"/>
                <c:pt idx="0">
                  <c:v>113</c:v>
                </c:pt>
              </c:numCache>
            </c:numRef>
          </c:val>
          <c:extLst xmlns:c16r2="http://schemas.microsoft.com/office/drawing/2015/06/chart">
            <c:ext xmlns:c16="http://schemas.microsoft.com/office/drawing/2014/chart" uri="{C3380CC4-5D6E-409C-BE32-E72D297353CC}">
              <c16:uniqueId val="{00000008-DB64-4C6F-9472-5400C9627CB2}"/>
            </c:ext>
          </c:extLst>
        </c:ser>
        <c:ser>
          <c:idx val="9"/>
          <c:order val="9"/>
          <c:tx>
            <c:strRef>
              <c:f>Hoja1!$A$30</c:f>
              <c:strCache>
                <c:ptCount val="1"/>
                <c:pt idx="0">
                  <c:v>2016</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Hoja1!$B$30</c:f>
              <c:numCache>
                <c:formatCode>General</c:formatCode>
                <c:ptCount val="1"/>
                <c:pt idx="0">
                  <c:v>118</c:v>
                </c:pt>
              </c:numCache>
            </c:numRef>
          </c:val>
          <c:extLst xmlns:c16r2="http://schemas.microsoft.com/office/drawing/2015/06/chart">
            <c:ext xmlns:c16="http://schemas.microsoft.com/office/drawing/2014/chart" uri="{C3380CC4-5D6E-409C-BE32-E72D297353CC}">
              <c16:uniqueId val="{00000009-DB64-4C6F-9472-5400C9627CB2}"/>
            </c:ext>
          </c:extLst>
        </c:ser>
        <c:dLbls>
          <c:dLblPos val="inEnd"/>
          <c:showLegendKey val="0"/>
          <c:showVal val="1"/>
          <c:showCatName val="0"/>
          <c:showSerName val="0"/>
          <c:showPercent val="0"/>
          <c:showBubbleSize val="0"/>
        </c:dLbls>
        <c:gapWidth val="219"/>
        <c:overlap val="-27"/>
        <c:axId val="-729509520"/>
        <c:axId val="-729519312"/>
      </c:barChart>
      <c:catAx>
        <c:axId val="-72950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9519312"/>
        <c:crosses val="autoZero"/>
        <c:auto val="1"/>
        <c:lblAlgn val="ctr"/>
        <c:lblOffset val="100"/>
        <c:noMultiLvlLbl val="0"/>
      </c:catAx>
      <c:valAx>
        <c:axId val="-72951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72950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216353338607799E-4"/>
          <c:y val="3.3755274261603373E-2"/>
          <c:w val="0.99931783646661387"/>
          <c:h val="0.68498444023610972"/>
        </c:manualLayout>
      </c:layout>
      <c:bar3DChart>
        <c:barDir val="col"/>
        <c:grouping val="clustered"/>
        <c:varyColors val="0"/>
        <c:ser>
          <c:idx val="0"/>
          <c:order val="0"/>
          <c:tx>
            <c:strRef>
              <c:f>Hoja4!$A$5</c:f>
              <c:strCache>
                <c:ptCount val="1"/>
                <c:pt idx="0">
                  <c:v>AOD</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Hoja4!$B$5:$L$5</c:f>
            </c:numRef>
          </c:val>
          <c:extLst xmlns:c16r2="http://schemas.microsoft.com/office/drawing/2015/06/chart">
            <c:ext xmlns:c16="http://schemas.microsoft.com/office/drawing/2014/chart" uri="{C3380CC4-5D6E-409C-BE32-E72D297353CC}">
              <c16:uniqueId val="{00000000-783B-4D22-83F9-93A3432AB082}"/>
            </c:ext>
          </c:extLst>
        </c:ser>
        <c:ser>
          <c:idx val="1"/>
          <c:order val="1"/>
          <c:tx>
            <c:strRef>
              <c:f>Hoja4!$A$6</c:f>
              <c:strCache>
                <c:ptCount val="1"/>
                <c:pt idx="0">
                  <c:v>APP</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Hoja4!$B$6:$L$6</c:f>
            </c:numRef>
          </c:val>
          <c:extLst xmlns:c16r2="http://schemas.microsoft.com/office/drawing/2015/06/chart">
            <c:ext xmlns:c16="http://schemas.microsoft.com/office/drawing/2014/chart" uri="{C3380CC4-5D6E-409C-BE32-E72D297353CC}">
              <c16:uniqueId val="{00000001-783B-4D22-83F9-93A3432AB082}"/>
            </c:ext>
          </c:extLst>
        </c:ser>
        <c:ser>
          <c:idx val="2"/>
          <c:order val="2"/>
          <c:tx>
            <c:strRef>
              <c:f>Hoja4!$A$7</c:f>
              <c:strCache>
                <c:ptCount val="1"/>
                <c:pt idx="0">
                  <c:v>Total general</c:v>
                </c:pt>
              </c:strCache>
            </c:strRef>
          </c:tx>
          <c:spPr>
            <a:solidFill>
              <a:schemeClr val="accent1">
                <a:lumMod val="50000"/>
              </a:schemeClr>
            </a:solidFill>
            <a:ln>
              <a:solidFill>
                <a:schemeClr val="tx1">
                  <a:lumMod val="85000"/>
                  <a:lumOff val="15000"/>
                </a:schemeClr>
              </a:solidFill>
            </a:ln>
            <a:effectLst/>
            <a:sp3d>
              <a:contourClr>
                <a:schemeClr val="tx1">
                  <a:lumMod val="85000"/>
                  <a:lumOff val="1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Hoja4!$B$4:$L$4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Hoja4!$B$7:$L$7</c:f>
              <c:numCache>
                <c:formatCode>"$"#,##0_);\("$"#,##0\)</c:formatCode>
                <c:ptCount val="11"/>
                <c:pt idx="0">
                  <c:v>155</c:v>
                </c:pt>
                <c:pt idx="1">
                  <c:v>65023</c:v>
                </c:pt>
                <c:pt idx="2">
                  <c:v>1602</c:v>
                </c:pt>
                <c:pt idx="3">
                  <c:v>247</c:v>
                </c:pt>
                <c:pt idx="4">
                  <c:v>11255</c:v>
                </c:pt>
                <c:pt idx="5">
                  <c:v>1741</c:v>
                </c:pt>
                <c:pt idx="6">
                  <c:v>6705</c:v>
                </c:pt>
                <c:pt idx="7">
                  <c:v>1702</c:v>
                </c:pt>
                <c:pt idx="8">
                  <c:v>2341</c:v>
                </c:pt>
                <c:pt idx="9">
                  <c:v>394</c:v>
                </c:pt>
                <c:pt idx="10">
                  <c:v>66</c:v>
                </c:pt>
              </c:numCache>
            </c:numRef>
          </c:val>
          <c:extLst xmlns:c16r2="http://schemas.microsoft.com/office/drawing/2015/06/chart">
            <c:ext xmlns:c16="http://schemas.microsoft.com/office/drawing/2014/chart" uri="{C3380CC4-5D6E-409C-BE32-E72D297353CC}">
              <c16:uniqueId val="{00000002-783B-4D22-83F9-93A3432AB082}"/>
            </c:ext>
          </c:extLst>
        </c:ser>
        <c:dLbls>
          <c:showLegendKey val="0"/>
          <c:showVal val="1"/>
          <c:showCatName val="0"/>
          <c:showSerName val="0"/>
          <c:showPercent val="0"/>
          <c:showBubbleSize val="0"/>
        </c:dLbls>
        <c:gapWidth val="150"/>
        <c:gapDepth val="0"/>
        <c:shape val="box"/>
        <c:axId val="-483734272"/>
        <c:axId val="-483734816"/>
        <c:axId val="0"/>
      </c:bar3DChart>
      <c:catAx>
        <c:axId val="-483734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3734816"/>
        <c:crosses val="autoZero"/>
        <c:auto val="1"/>
        <c:lblAlgn val="ctr"/>
        <c:lblOffset val="100"/>
        <c:noMultiLvlLbl val="0"/>
      </c:catAx>
      <c:valAx>
        <c:axId val="-483734816"/>
        <c:scaling>
          <c:orientation val="minMax"/>
        </c:scaling>
        <c:delete val="1"/>
        <c:axPos val="l"/>
        <c:majorGridlines>
          <c:spPr>
            <a:ln w="9525" cap="flat" cmpd="sng" algn="ctr">
              <a:solidFill>
                <a:schemeClr val="tx1">
                  <a:lumMod val="5000"/>
                  <a:lumOff val="95000"/>
                </a:schemeClr>
              </a:solidFill>
              <a:round/>
            </a:ln>
            <a:effectLst/>
          </c:spPr>
        </c:majorGridlines>
        <c:numFmt formatCode="&quot;$&quot;#,##0_);\(&quot;$&quot;#,##0\)" sourceLinked="1"/>
        <c:majorTickMark val="none"/>
        <c:minorTickMark val="none"/>
        <c:tickLblPos val="nextTo"/>
        <c:crossAx val="-48373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BDE47A-1DCE-450C-B05D-64413A5A31EB}" type="doc">
      <dgm:prSet loTypeId="urn:microsoft.com/office/officeart/2005/8/layout/bList2" loCatId="list" qsTypeId="urn:microsoft.com/office/officeart/2005/8/quickstyle/simple1" qsCatId="simple" csTypeId="urn:microsoft.com/office/officeart/2005/8/colors/colorful3" csCatId="colorful" phldr="1"/>
      <dgm:spPr/>
    </dgm:pt>
    <dgm:pt modelId="{0B9C1E55-9182-43C6-9805-329B545D2D94}">
      <dgm:prSet phldrT="[Texto]" custT="1"/>
      <dgm:spPr>
        <a:xfrm>
          <a:off x="2455" y="1146384"/>
          <a:ext cx="1320859" cy="423977"/>
        </a:xfrm>
      </dgm:spPr>
      <dgm:t>
        <a:bodyPr/>
        <a:lstStyle/>
        <a:p>
          <a:pPr algn="ctr"/>
          <a:r>
            <a:rPr lang="es-CO" sz="900" b="1" dirty="0">
              <a:latin typeface="Arial" panose="020B0604020202020204" pitchFamily="34" charset="0"/>
              <a:ea typeface="+mn-ea"/>
              <a:cs typeface="Arial" panose="020B0604020202020204" pitchFamily="34" charset="0"/>
            </a:rPr>
            <a:t>POBLACIÓN SISBEN III</a:t>
          </a:r>
        </a:p>
      </dgm:t>
    </dgm:pt>
    <dgm:pt modelId="{FC2CC2A2-A11B-4504-A53B-4125415D6C78}" type="parTrans" cxnId="{55E41585-7DFA-4F21-9A09-3BD7C0C1BEC9}">
      <dgm:prSet/>
      <dgm:spPr/>
      <dgm:t>
        <a:bodyPr/>
        <a:lstStyle/>
        <a:p>
          <a:pPr algn="ctr"/>
          <a:endParaRPr lang="es-CO" sz="900">
            <a:latin typeface="Arial" panose="020B0604020202020204" pitchFamily="34" charset="0"/>
            <a:cs typeface="Arial" panose="020B0604020202020204" pitchFamily="34" charset="0"/>
          </a:endParaRPr>
        </a:p>
      </dgm:t>
    </dgm:pt>
    <dgm:pt modelId="{5A04B252-FA86-45E5-B9FC-15918483C348}" type="sibTrans" cxnId="{55E41585-7DFA-4F21-9A09-3BD7C0C1BEC9}">
      <dgm:prSet/>
      <dgm:spPr/>
      <dgm:t>
        <a:bodyPr/>
        <a:lstStyle/>
        <a:p>
          <a:pPr algn="ctr"/>
          <a:endParaRPr lang="es-CO" sz="900">
            <a:latin typeface="Arial" panose="020B0604020202020204" pitchFamily="34" charset="0"/>
            <a:cs typeface="Arial" panose="020B0604020202020204" pitchFamily="34" charset="0"/>
          </a:endParaRPr>
        </a:p>
      </dgm:t>
    </dgm:pt>
    <dgm:pt modelId="{2068AEF5-431A-496F-8545-999569DAF1E3}">
      <dgm:prSet phldrT="[Texto]" custT="1"/>
      <dgm:spPr>
        <a:xfrm>
          <a:off x="1546836" y="1146384"/>
          <a:ext cx="1320859" cy="423977"/>
        </a:xfrm>
      </dgm:spPr>
      <dgm:t>
        <a:bodyPr/>
        <a:lstStyle/>
        <a:p>
          <a:pPr algn="ctr"/>
          <a:r>
            <a:rPr lang="es-CO" sz="900" b="1" dirty="0">
              <a:latin typeface="Arial" panose="020B0604020202020204" pitchFamily="34" charset="0"/>
              <a:ea typeface="+mn-ea"/>
              <a:cs typeface="Arial" panose="020B0604020202020204" pitchFamily="34" charset="0"/>
            </a:rPr>
            <a:t>RED UNIDOS</a:t>
          </a:r>
        </a:p>
      </dgm:t>
    </dgm:pt>
    <dgm:pt modelId="{AC88B465-50BE-4B65-8A3B-45B092AD2949}" type="parTrans" cxnId="{9F62D7E6-7449-4F4A-BA2C-E1EF10E88B7E}">
      <dgm:prSet/>
      <dgm:spPr/>
      <dgm:t>
        <a:bodyPr/>
        <a:lstStyle/>
        <a:p>
          <a:pPr algn="ctr"/>
          <a:endParaRPr lang="es-CO" sz="900">
            <a:latin typeface="Arial" panose="020B0604020202020204" pitchFamily="34" charset="0"/>
            <a:cs typeface="Arial" panose="020B0604020202020204" pitchFamily="34" charset="0"/>
          </a:endParaRPr>
        </a:p>
      </dgm:t>
    </dgm:pt>
    <dgm:pt modelId="{87DCC129-367F-4560-AF39-067AF15299D9}" type="sibTrans" cxnId="{9F62D7E6-7449-4F4A-BA2C-E1EF10E88B7E}">
      <dgm:prSet/>
      <dgm:spPr/>
      <dgm:t>
        <a:bodyPr/>
        <a:lstStyle/>
        <a:p>
          <a:pPr algn="ctr"/>
          <a:endParaRPr lang="es-CO" sz="900">
            <a:latin typeface="Arial" panose="020B0604020202020204" pitchFamily="34" charset="0"/>
            <a:cs typeface="Arial" panose="020B0604020202020204" pitchFamily="34" charset="0"/>
          </a:endParaRPr>
        </a:p>
      </dgm:t>
    </dgm:pt>
    <dgm:pt modelId="{C2151A80-1A90-4950-BF1B-8524A46369FF}">
      <dgm:prSet phldrT="[Texto]" custT="1"/>
      <dgm:spPr>
        <a:xfrm>
          <a:off x="4625595" y="1146384"/>
          <a:ext cx="1320859" cy="423977"/>
        </a:xfrm>
      </dgm:spPr>
      <dgm:t>
        <a:bodyPr/>
        <a:lstStyle/>
        <a:p>
          <a:pPr algn="ctr"/>
          <a:r>
            <a:rPr lang="es-CO" sz="900" b="1" dirty="0">
              <a:latin typeface="Arial" panose="020B0604020202020204" pitchFamily="34" charset="0"/>
              <a:ea typeface="+mn-ea"/>
              <a:cs typeface="Arial" panose="020B0604020202020204" pitchFamily="34" charset="0"/>
            </a:rPr>
            <a:t>GRUPOS ETNICOS</a:t>
          </a:r>
        </a:p>
      </dgm:t>
    </dgm:pt>
    <dgm:pt modelId="{BD861437-8D76-4222-986A-F15EE9A9F22D}" type="parTrans" cxnId="{E9390D17-54F4-4852-8708-A5172140DD5E}">
      <dgm:prSet/>
      <dgm:spPr/>
      <dgm:t>
        <a:bodyPr/>
        <a:lstStyle/>
        <a:p>
          <a:pPr algn="ctr"/>
          <a:endParaRPr lang="es-CO" sz="900">
            <a:latin typeface="Arial" panose="020B0604020202020204" pitchFamily="34" charset="0"/>
            <a:cs typeface="Arial" panose="020B0604020202020204" pitchFamily="34" charset="0"/>
          </a:endParaRPr>
        </a:p>
      </dgm:t>
    </dgm:pt>
    <dgm:pt modelId="{0786247A-452B-48CD-8436-9A99C3D3DCC8}" type="sibTrans" cxnId="{E9390D17-54F4-4852-8708-A5172140DD5E}">
      <dgm:prSet/>
      <dgm:spPr/>
      <dgm:t>
        <a:bodyPr/>
        <a:lstStyle/>
        <a:p>
          <a:pPr algn="ctr"/>
          <a:endParaRPr lang="es-CO" sz="900">
            <a:latin typeface="Arial" panose="020B0604020202020204" pitchFamily="34" charset="0"/>
            <a:cs typeface="Arial" panose="020B0604020202020204" pitchFamily="34" charset="0"/>
          </a:endParaRPr>
        </a:p>
      </dgm:t>
    </dgm:pt>
    <dgm:pt modelId="{784C088B-20A6-4E23-BDFE-8949EB5C2DB1}">
      <dgm:prSet custT="1"/>
      <dgm:spPr>
        <a:xfrm>
          <a:off x="0" y="215477"/>
          <a:ext cx="1320859" cy="985994"/>
        </a:xfrm>
      </dgm:spPr>
      <dgm:t>
        <a:bodyPr/>
        <a:lstStyle/>
        <a:p>
          <a:pPr algn="l"/>
          <a:r>
            <a:rPr lang="es-CO" sz="900" dirty="0">
              <a:latin typeface="Arial" panose="020B0604020202020204" pitchFamily="34" charset="0"/>
              <a:ea typeface="+mn-ea"/>
              <a:cs typeface="Arial" panose="020B0604020202020204" pitchFamily="34" charset="0"/>
            </a:rPr>
            <a:t>Puntos de Corte:</a:t>
          </a:r>
        </a:p>
      </dgm:t>
    </dgm:pt>
    <dgm:pt modelId="{192F0F54-AA0B-482A-AB47-CB12A3C8068A}" type="parTrans" cxnId="{F15ADD43-C6FE-414E-9D48-40199111956F}">
      <dgm:prSet/>
      <dgm:spPr/>
      <dgm:t>
        <a:bodyPr/>
        <a:lstStyle/>
        <a:p>
          <a:pPr algn="ctr"/>
          <a:endParaRPr lang="es-CO" sz="900">
            <a:latin typeface="Arial" panose="020B0604020202020204" pitchFamily="34" charset="0"/>
            <a:cs typeface="Arial" panose="020B0604020202020204" pitchFamily="34" charset="0"/>
          </a:endParaRPr>
        </a:p>
      </dgm:t>
    </dgm:pt>
    <dgm:pt modelId="{FC163B44-19F0-40C7-AD5F-FACDCDDFB6CE}" type="sibTrans" cxnId="{F15ADD43-C6FE-414E-9D48-40199111956F}">
      <dgm:prSet/>
      <dgm:spPr/>
      <dgm:t>
        <a:bodyPr/>
        <a:lstStyle/>
        <a:p>
          <a:pPr algn="ctr"/>
          <a:endParaRPr lang="es-CO" sz="900">
            <a:latin typeface="Arial" panose="020B0604020202020204" pitchFamily="34" charset="0"/>
            <a:cs typeface="Arial" panose="020B0604020202020204" pitchFamily="34" charset="0"/>
          </a:endParaRPr>
        </a:p>
      </dgm:t>
    </dgm:pt>
    <dgm:pt modelId="{CEEC45D2-DE2F-4A5A-851A-6C0B63952AC0}">
      <dgm:prSet custT="1"/>
      <dgm:spPr>
        <a:xfrm>
          <a:off x="1546836" y="160390"/>
          <a:ext cx="1320859" cy="985994"/>
        </a:xfrm>
      </dgm:spPr>
      <dgm:t>
        <a:bodyPr/>
        <a:lstStyle/>
        <a:p>
          <a:pPr algn="ctr"/>
          <a:r>
            <a:rPr lang="es-CO" sz="900" dirty="0">
              <a:latin typeface="Arial" panose="020B0604020202020204" pitchFamily="34" charset="0"/>
              <a:ea typeface="+mn-ea"/>
              <a:cs typeface="Arial" panose="020B0604020202020204" pitchFamily="34" charset="0"/>
            </a:rPr>
            <a:t>Atención Integral a los niños y niñas de 0 a 5 años, que hagan parte de las familias que se encuentran en RED UNIDOS </a:t>
          </a:r>
        </a:p>
      </dgm:t>
    </dgm:pt>
    <dgm:pt modelId="{E1E33315-0B60-4BD3-8C31-B1B885DCB853}" type="parTrans" cxnId="{D3ADB926-51E8-41F5-B0E7-A9BA9D08A3F7}">
      <dgm:prSet/>
      <dgm:spPr/>
      <dgm:t>
        <a:bodyPr/>
        <a:lstStyle/>
        <a:p>
          <a:pPr algn="ctr"/>
          <a:endParaRPr lang="es-CO" sz="900">
            <a:latin typeface="Arial" panose="020B0604020202020204" pitchFamily="34" charset="0"/>
            <a:cs typeface="Arial" panose="020B0604020202020204" pitchFamily="34" charset="0"/>
          </a:endParaRPr>
        </a:p>
      </dgm:t>
    </dgm:pt>
    <dgm:pt modelId="{B54CB692-EAD7-4A1F-8AF0-658C41F0B79C}" type="sibTrans" cxnId="{D3ADB926-51E8-41F5-B0E7-A9BA9D08A3F7}">
      <dgm:prSet/>
      <dgm:spPr/>
      <dgm:t>
        <a:bodyPr/>
        <a:lstStyle/>
        <a:p>
          <a:pPr algn="ctr"/>
          <a:endParaRPr lang="es-CO" sz="900">
            <a:latin typeface="Arial" panose="020B0604020202020204" pitchFamily="34" charset="0"/>
            <a:cs typeface="Arial" panose="020B0604020202020204" pitchFamily="34" charset="0"/>
          </a:endParaRPr>
        </a:p>
      </dgm:t>
    </dgm:pt>
    <dgm:pt modelId="{AF2962F6-B103-4CBA-9AA8-6E3E9209A998}">
      <dgm:prSet custT="1"/>
      <dgm:spPr>
        <a:xfrm>
          <a:off x="4625595" y="160390"/>
          <a:ext cx="1320859" cy="985994"/>
        </a:xfrm>
      </dgm:spPr>
      <dgm:t>
        <a:bodyPr/>
        <a:lstStyle/>
        <a:p>
          <a:pPr algn="ctr"/>
          <a:r>
            <a:rPr lang="es-CO" sz="900" dirty="0">
              <a:latin typeface="Arial" panose="020B0604020202020204" pitchFamily="34" charset="0"/>
              <a:ea typeface="+mn-ea"/>
              <a:cs typeface="Arial" panose="020B0604020202020204" pitchFamily="34" charset="0"/>
            </a:rPr>
            <a:t>Población Indígena.</a:t>
          </a:r>
        </a:p>
      </dgm:t>
    </dgm:pt>
    <dgm:pt modelId="{535A9419-699D-4BA0-9868-10B756B0DB36}" type="parTrans" cxnId="{1DE9C1C6-8CE2-4948-99E0-7685C4A1D6E0}">
      <dgm:prSet/>
      <dgm:spPr/>
      <dgm:t>
        <a:bodyPr/>
        <a:lstStyle/>
        <a:p>
          <a:pPr algn="ctr"/>
          <a:endParaRPr lang="es-CO" sz="900">
            <a:latin typeface="Arial" panose="020B0604020202020204" pitchFamily="34" charset="0"/>
            <a:cs typeface="Arial" panose="020B0604020202020204" pitchFamily="34" charset="0"/>
          </a:endParaRPr>
        </a:p>
      </dgm:t>
    </dgm:pt>
    <dgm:pt modelId="{475834E8-AD4F-47FE-B903-40F43E1B7519}" type="sibTrans" cxnId="{1DE9C1C6-8CE2-4948-99E0-7685C4A1D6E0}">
      <dgm:prSet/>
      <dgm:spPr/>
      <dgm:t>
        <a:bodyPr/>
        <a:lstStyle/>
        <a:p>
          <a:pPr algn="ctr"/>
          <a:endParaRPr lang="es-CO" sz="900">
            <a:latin typeface="Arial" panose="020B0604020202020204" pitchFamily="34" charset="0"/>
            <a:cs typeface="Arial" panose="020B0604020202020204" pitchFamily="34" charset="0"/>
          </a:endParaRPr>
        </a:p>
      </dgm:t>
    </dgm:pt>
    <dgm:pt modelId="{2A501AD6-9BD0-49B7-B7D2-3681D37E6C9F}">
      <dgm:prSet custT="1"/>
      <dgm:spPr>
        <a:xfrm>
          <a:off x="0" y="215477"/>
          <a:ext cx="1320859" cy="985994"/>
        </a:xfrm>
      </dgm:spPr>
      <dgm:t>
        <a:bodyPr/>
        <a:lstStyle/>
        <a:p>
          <a:pPr algn="ctr"/>
          <a:endParaRPr lang="es-CO" sz="9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977901E-96D6-4B56-B09B-E445565BF83C}" type="parTrans" cxnId="{C0B7B126-7BC6-4BE2-B85A-472F0A125E84}">
      <dgm:prSet/>
      <dgm:spPr/>
      <dgm:t>
        <a:bodyPr/>
        <a:lstStyle/>
        <a:p>
          <a:pPr algn="ctr"/>
          <a:endParaRPr lang="es-CO" sz="900">
            <a:latin typeface="Arial" panose="020B0604020202020204" pitchFamily="34" charset="0"/>
            <a:cs typeface="Arial" panose="020B0604020202020204" pitchFamily="34" charset="0"/>
          </a:endParaRPr>
        </a:p>
      </dgm:t>
    </dgm:pt>
    <dgm:pt modelId="{6BA9A6E4-DC60-4A81-82AD-E09F099B722B}" type="sibTrans" cxnId="{C0B7B126-7BC6-4BE2-B85A-472F0A125E84}">
      <dgm:prSet/>
      <dgm:spPr/>
      <dgm:t>
        <a:bodyPr/>
        <a:lstStyle/>
        <a:p>
          <a:pPr algn="ctr"/>
          <a:endParaRPr lang="es-CO" sz="900">
            <a:latin typeface="Arial" panose="020B0604020202020204" pitchFamily="34" charset="0"/>
            <a:cs typeface="Arial" panose="020B0604020202020204" pitchFamily="34" charset="0"/>
          </a:endParaRPr>
        </a:p>
      </dgm:t>
    </dgm:pt>
    <dgm:pt modelId="{D22435C4-619F-4BFF-8B58-C6C20C305CB5}">
      <dgm:prSet custT="1"/>
      <dgm:spPr>
        <a:xfrm>
          <a:off x="0" y="215477"/>
          <a:ext cx="1320859" cy="985994"/>
        </a:xfrm>
      </dgm:spPr>
      <dgm:t>
        <a:bodyPr/>
        <a:lstStyle/>
        <a:p>
          <a:pPr algn="l"/>
          <a:r>
            <a:rPr lang="es-CO" sz="900" b="1" dirty="0">
              <a:latin typeface="Arial" panose="020B0604020202020204" pitchFamily="34" charset="0"/>
              <a:ea typeface="+mn-ea"/>
              <a:cs typeface="Arial" panose="020B0604020202020204" pitchFamily="34" charset="0"/>
            </a:rPr>
            <a:t>Resto Urbano: </a:t>
          </a:r>
          <a:r>
            <a:rPr lang="es-CO" sz="900" dirty="0">
              <a:latin typeface="Arial" panose="020B0604020202020204" pitchFamily="34" charset="0"/>
              <a:ea typeface="+mn-ea"/>
              <a:cs typeface="Arial" panose="020B0604020202020204" pitchFamily="34" charset="0"/>
            </a:rPr>
            <a:t>56.32</a:t>
          </a:r>
        </a:p>
      </dgm:t>
    </dgm:pt>
    <dgm:pt modelId="{B1E1FB91-860A-4163-9313-D6860D4B538E}" type="parTrans" cxnId="{3F9B08DF-FB5A-4C83-984F-DDE3422843DF}">
      <dgm:prSet/>
      <dgm:spPr/>
      <dgm:t>
        <a:bodyPr/>
        <a:lstStyle/>
        <a:p>
          <a:pPr algn="ctr"/>
          <a:endParaRPr lang="es-CO" sz="900">
            <a:latin typeface="Arial" panose="020B0604020202020204" pitchFamily="34" charset="0"/>
            <a:cs typeface="Arial" panose="020B0604020202020204" pitchFamily="34" charset="0"/>
          </a:endParaRPr>
        </a:p>
      </dgm:t>
    </dgm:pt>
    <dgm:pt modelId="{4E333806-4B1D-4F90-969F-C4632FBEEE4D}" type="sibTrans" cxnId="{3F9B08DF-FB5A-4C83-984F-DDE3422843DF}">
      <dgm:prSet/>
      <dgm:spPr/>
      <dgm:t>
        <a:bodyPr/>
        <a:lstStyle/>
        <a:p>
          <a:pPr algn="ctr"/>
          <a:endParaRPr lang="es-CO" sz="900">
            <a:latin typeface="Arial" panose="020B0604020202020204" pitchFamily="34" charset="0"/>
            <a:cs typeface="Arial" panose="020B0604020202020204" pitchFamily="34" charset="0"/>
          </a:endParaRPr>
        </a:p>
      </dgm:t>
    </dgm:pt>
    <dgm:pt modelId="{4BBC9FA9-3ACD-4F17-A3E0-425D6FECCAF2}">
      <dgm:prSet custT="1"/>
      <dgm:spPr>
        <a:xfrm>
          <a:off x="0" y="215477"/>
          <a:ext cx="1320859" cy="985994"/>
        </a:xfrm>
      </dgm:spPr>
      <dgm:t>
        <a:bodyPr/>
        <a:lstStyle/>
        <a:p>
          <a:pPr algn="l"/>
          <a:r>
            <a:rPr lang="es-CO" sz="900" dirty="0">
              <a:latin typeface="Arial" panose="020B0604020202020204" pitchFamily="34" charset="0"/>
              <a:ea typeface="+mn-ea"/>
              <a:cs typeface="Arial" panose="020B0604020202020204" pitchFamily="34" charset="0"/>
            </a:rPr>
            <a:t>Resto Disperso: 40.75</a:t>
          </a:r>
        </a:p>
      </dgm:t>
    </dgm:pt>
    <dgm:pt modelId="{B3332BE8-EC41-4C5C-AA01-4D69BCD08061}" type="parTrans" cxnId="{A2C42412-07CC-44C9-B016-7555D9DB3AFA}">
      <dgm:prSet/>
      <dgm:spPr/>
      <dgm:t>
        <a:bodyPr/>
        <a:lstStyle/>
        <a:p>
          <a:pPr algn="ctr"/>
          <a:endParaRPr lang="es-CO" sz="900">
            <a:latin typeface="Arial" panose="020B0604020202020204" pitchFamily="34" charset="0"/>
            <a:cs typeface="Arial" panose="020B0604020202020204" pitchFamily="34" charset="0"/>
          </a:endParaRPr>
        </a:p>
      </dgm:t>
    </dgm:pt>
    <dgm:pt modelId="{F05B52ED-A062-4680-9277-FCFDADE8BD73}" type="sibTrans" cxnId="{A2C42412-07CC-44C9-B016-7555D9DB3AFA}">
      <dgm:prSet/>
      <dgm:spPr/>
      <dgm:t>
        <a:bodyPr/>
        <a:lstStyle/>
        <a:p>
          <a:pPr algn="ctr"/>
          <a:endParaRPr lang="es-CO" sz="900">
            <a:latin typeface="Arial" panose="020B0604020202020204" pitchFamily="34" charset="0"/>
            <a:cs typeface="Arial" panose="020B0604020202020204" pitchFamily="34" charset="0"/>
          </a:endParaRPr>
        </a:p>
      </dgm:t>
    </dgm:pt>
    <dgm:pt modelId="{4B8EEF74-7AA5-489C-9078-9990A7811C67}">
      <dgm:prSet phldrT="[Texto]" custT="1"/>
      <dgm:spPr>
        <a:xfrm>
          <a:off x="3081213" y="1146384"/>
          <a:ext cx="1320859" cy="423977"/>
        </a:xfrm>
      </dgm:spPr>
      <dgm:t>
        <a:bodyPr/>
        <a:lstStyle/>
        <a:p>
          <a:pPr algn="ctr"/>
          <a:r>
            <a:rPr lang="es-CO" sz="900" b="1" dirty="0">
              <a:latin typeface="Arial" panose="020B0604020202020204" pitchFamily="34" charset="0"/>
              <a:ea typeface="+mn-ea"/>
              <a:cs typeface="Arial" panose="020B0604020202020204" pitchFamily="34" charset="0"/>
            </a:rPr>
            <a:t>POBLACIÓN VICTIMA DE LA VIOLENCIA</a:t>
          </a:r>
        </a:p>
      </dgm:t>
    </dgm:pt>
    <dgm:pt modelId="{91DFA8BA-FA83-4130-A967-81B109A3BCCF}" type="parTrans" cxnId="{11E7145F-6F21-4174-B0DC-FA86A60387E7}">
      <dgm:prSet/>
      <dgm:spPr/>
      <dgm:t>
        <a:bodyPr/>
        <a:lstStyle/>
        <a:p>
          <a:pPr algn="ctr"/>
          <a:endParaRPr lang="es-CO" sz="900">
            <a:latin typeface="Arial" panose="020B0604020202020204" pitchFamily="34" charset="0"/>
            <a:cs typeface="Arial" panose="020B0604020202020204" pitchFamily="34" charset="0"/>
          </a:endParaRPr>
        </a:p>
      </dgm:t>
    </dgm:pt>
    <dgm:pt modelId="{CA884407-49DD-4BDA-B31E-0831B3FEAE0D}" type="sibTrans" cxnId="{11E7145F-6F21-4174-B0DC-FA86A60387E7}">
      <dgm:prSet/>
      <dgm:spPr/>
      <dgm:t>
        <a:bodyPr/>
        <a:lstStyle/>
        <a:p>
          <a:pPr algn="ctr"/>
          <a:endParaRPr lang="es-CO" sz="900">
            <a:latin typeface="Arial" panose="020B0604020202020204" pitchFamily="34" charset="0"/>
            <a:cs typeface="Arial" panose="020B0604020202020204" pitchFamily="34" charset="0"/>
          </a:endParaRPr>
        </a:p>
      </dgm:t>
    </dgm:pt>
    <dgm:pt modelId="{20648A4D-01A0-425C-911C-6E35E882F9F7}">
      <dgm:prSet custT="1"/>
      <dgm:spPr>
        <a:xfrm>
          <a:off x="3081213" y="160390"/>
          <a:ext cx="1320859" cy="985994"/>
        </a:xfrm>
      </dgm:spPr>
      <dgm:t>
        <a:bodyPr/>
        <a:lstStyle/>
        <a:p>
          <a:pPr algn="ctr"/>
          <a:r>
            <a:rPr lang="es-CO" sz="900" dirty="0">
              <a:latin typeface="Arial" panose="020B0604020202020204" pitchFamily="34" charset="0"/>
              <a:ea typeface="+mn-ea"/>
              <a:cs typeface="Arial" panose="020B0604020202020204" pitchFamily="34" charset="0"/>
            </a:rPr>
            <a:t>Población identificada por la Unidad para la Atención y Reparación Integral a las víctimas.</a:t>
          </a:r>
        </a:p>
      </dgm:t>
    </dgm:pt>
    <dgm:pt modelId="{D66CF582-6D26-475E-8012-076926E69A79}" type="parTrans" cxnId="{B7704C27-7D74-484B-A171-BE8426D3B63C}">
      <dgm:prSet/>
      <dgm:spPr/>
      <dgm:t>
        <a:bodyPr/>
        <a:lstStyle/>
        <a:p>
          <a:pPr algn="ctr"/>
          <a:endParaRPr lang="es-CO" sz="900">
            <a:latin typeface="Arial" panose="020B0604020202020204" pitchFamily="34" charset="0"/>
            <a:cs typeface="Arial" panose="020B0604020202020204" pitchFamily="34" charset="0"/>
          </a:endParaRPr>
        </a:p>
      </dgm:t>
    </dgm:pt>
    <dgm:pt modelId="{724A26E1-18F9-4430-A031-0093A442AD89}" type="sibTrans" cxnId="{B7704C27-7D74-484B-A171-BE8426D3B63C}">
      <dgm:prSet/>
      <dgm:spPr/>
      <dgm:t>
        <a:bodyPr/>
        <a:lstStyle/>
        <a:p>
          <a:pPr algn="ctr"/>
          <a:endParaRPr lang="es-CO" sz="900">
            <a:latin typeface="Arial" panose="020B0604020202020204" pitchFamily="34" charset="0"/>
            <a:cs typeface="Arial" panose="020B0604020202020204" pitchFamily="34" charset="0"/>
          </a:endParaRPr>
        </a:p>
      </dgm:t>
    </dgm:pt>
    <dgm:pt modelId="{146EC06D-8A32-43BD-831D-F46D620EAE91}">
      <dgm:prSet custT="1"/>
      <dgm:spPr>
        <a:xfrm>
          <a:off x="4625595" y="160390"/>
          <a:ext cx="1320859" cy="985994"/>
        </a:xfrm>
      </dgm:spPr>
      <dgm:t>
        <a:bodyPr/>
        <a:lstStyle/>
        <a:p>
          <a:pPr algn="ctr"/>
          <a:r>
            <a:rPr lang="es-CO" sz="900" dirty="0">
              <a:latin typeface="Arial" panose="020B0604020202020204" pitchFamily="34" charset="0"/>
              <a:ea typeface="+mn-ea"/>
              <a:cs typeface="Arial" panose="020B0604020202020204" pitchFamily="34" charset="0"/>
            </a:rPr>
            <a:t> Población Afrocolombiana,  Raizal y </a:t>
          </a:r>
          <a:r>
            <a:rPr lang="es-CO" sz="900" dirty="0" err="1">
              <a:latin typeface="Arial" panose="020B0604020202020204" pitchFamily="34" charset="0"/>
              <a:ea typeface="+mn-ea"/>
              <a:cs typeface="Arial" panose="020B0604020202020204" pitchFamily="34" charset="0"/>
            </a:rPr>
            <a:t>Palenquera</a:t>
          </a:r>
          <a:r>
            <a:rPr lang="es-CO" sz="900" dirty="0">
              <a:latin typeface="Arial" panose="020B0604020202020204" pitchFamily="34" charset="0"/>
              <a:ea typeface="+mn-ea"/>
              <a:cs typeface="Arial" panose="020B0604020202020204" pitchFamily="34" charset="0"/>
            </a:rPr>
            <a:t>.</a:t>
          </a:r>
        </a:p>
      </dgm:t>
    </dgm:pt>
    <dgm:pt modelId="{C088317C-AEE0-419E-B39F-6BDE31818F99}" type="parTrans" cxnId="{EFFC5358-316C-494A-AB5E-8826CC83A100}">
      <dgm:prSet/>
      <dgm:spPr/>
      <dgm:t>
        <a:bodyPr/>
        <a:lstStyle/>
        <a:p>
          <a:pPr algn="ctr"/>
          <a:endParaRPr lang="es-CO" sz="900">
            <a:latin typeface="Arial" panose="020B0604020202020204" pitchFamily="34" charset="0"/>
            <a:cs typeface="Arial" panose="020B0604020202020204" pitchFamily="34" charset="0"/>
          </a:endParaRPr>
        </a:p>
      </dgm:t>
    </dgm:pt>
    <dgm:pt modelId="{174810AD-0FC5-4066-8365-E65FE50EBB7A}" type="sibTrans" cxnId="{EFFC5358-316C-494A-AB5E-8826CC83A100}">
      <dgm:prSet/>
      <dgm:spPr/>
      <dgm:t>
        <a:bodyPr/>
        <a:lstStyle/>
        <a:p>
          <a:pPr algn="ctr"/>
          <a:endParaRPr lang="es-CO" sz="900">
            <a:latin typeface="Arial" panose="020B0604020202020204" pitchFamily="34" charset="0"/>
            <a:cs typeface="Arial" panose="020B0604020202020204" pitchFamily="34" charset="0"/>
          </a:endParaRPr>
        </a:p>
      </dgm:t>
    </dgm:pt>
    <dgm:pt modelId="{7186C8B3-163A-4043-A5B8-91B259697A57}">
      <dgm:prSet custT="1"/>
      <dgm:spPr>
        <a:xfrm>
          <a:off x="4625595" y="160390"/>
          <a:ext cx="1320859" cy="985994"/>
        </a:xfrm>
      </dgm:spPr>
      <dgm:t>
        <a:bodyPr/>
        <a:lstStyle/>
        <a:p>
          <a:pPr algn="ctr"/>
          <a:r>
            <a:rPr lang="es-CO" sz="900" dirty="0" err="1">
              <a:latin typeface="Arial" panose="020B0604020202020204" pitchFamily="34" charset="0"/>
              <a:ea typeface="+mn-ea"/>
              <a:cs typeface="Arial" panose="020B0604020202020204" pitchFamily="34" charset="0"/>
            </a:rPr>
            <a:t>Rrom</a:t>
          </a:r>
          <a:endParaRPr lang="es-CO" sz="900" dirty="0">
            <a:latin typeface="Arial" panose="020B0604020202020204" pitchFamily="34" charset="0"/>
            <a:ea typeface="+mn-ea"/>
            <a:cs typeface="Arial" panose="020B0604020202020204" pitchFamily="34" charset="0"/>
          </a:endParaRPr>
        </a:p>
      </dgm:t>
    </dgm:pt>
    <dgm:pt modelId="{498ABD8C-490F-4C72-A0BD-88C3AE1A3EC0}" type="parTrans" cxnId="{65EE4427-18C7-4DD7-AB61-33988800437E}">
      <dgm:prSet/>
      <dgm:spPr/>
      <dgm:t>
        <a:bodyPr/>
        <a:lstStyle/>
        <a:p>
          <a:pPr algn="ctr"/>
          <a:endParaRPr lang="es-CO" sz="900">
            <a:latin typeface="Arial" panose="020B0604020202020204" pitchFamily="34" charset="0"/>
            <a:cs typeface="Arial" panose="020B0604020202020204" pitchFamily="34" charset="0"/>
          </a:endParaRPr>
        </a:p>
      </dgm:t>
    </dgm:pt>
    <dgm:pt modelId="{D4A10D5B-2593-4104-8D10-6538695FDC01}" type="sibTrans" cxnId="{65EE4427-18C7-4DD7-AB61-33988800437E}">
      <dgm:prSet/>
      <dgm:spPr/>
      <dgm:t>
        <a:bodyPr/>
        <a:lstStyle/>
        <a:p>
          <a:pPr algn="ctr"/>
          <a:endParaRPr lang="es-CO" sz="900">
            <a:latin typeface="Arial" panose="020B0604020202020204" pitchFamily="34" charset="0"/>
            <a:cs typeface="Arial" panose="020B0604020202020204" pitchFamily="34" charset="0"/>
          </a:endParaRPr>
        </a:p>
      </dgm:t>
    </dgm:pt>
    <dgm:pt modelId="{5DAC6F7F-4DEE-4C6B-9519-4D9653F9E0CC}">
      <dgm:prSet custT="1"/>
      <dgm:spPr>
        <a:xfrm>
          <a:off x="0" y="215477"/>
          <a:ext cx="1320859" cy="985994"/>
        </a:xfrm>
      </dgm:spPr>
      <dgm:t>
        <a:bodyPr/>
        <a:lstStyle/>
        <a:p>
          <a:pPr algn="l"/>
          <a:r>
            <a:rPr lang="es-CO" sz="900" b="1" dirty="0">
              <a:latin typeface="Arial" panose="020B0604020202020204" pitchFamily="34" charset="0"/>
              <a:ea typeface="+mn-ea"/>
              <a:cs typeface="Arial" panose="020B0604020202020204" pitchFamily="34" charset="0"/>
            </a:rPr>
            <a:t>14 ciudades</a:t>
          </a:r>
          <a:r>
            <a:rPr lang="es-CO" sz="900" dirty="0">
              <a:latin typeface="Arial" panose="020B0604020202020204" pitchFamily="34" charset="0"/>
              <a:ea typeface="+mn-ea"/>
              <a:cs typeface="Arial" panose="020B0604020202020204" pitchFamily="34" charset="0"/>
            </a:rPr>
            <a:t>: 57.21</a:t>
          </a:r>
        </a:p>
      </dgm:t>
    </dgm:pt>
    <dgm:pt modelId="{483DBB22-5EE8-4156-B578-FCC11EE06EE1}" type="sibTrans" cxnId="{21DACBB7-327F-4FBB-B547-B08D49C8144E}">
      <dgm:prSet/>
      <dgm:spPr/>
      <dgm:t>
        <a:bodyPr/>
        <a:lstStyle/>
        <a:p>
          <a:pPr algn="ctr"/>
          <a:endParaRPr lang="es-CO" sz="900">
            <a:latin typeface="Arial" panose="020B0604020202020204" pitchFamily="34" charset="0"/>
            <a:cs typeface="Arial" panose="020B0604020202020204" pitchFamily="34" charset="0"/>
          </a:endParaRPr>
        </a:p>
      </dgm:t>
    </dgm:pt>
    <dgm:pt modelId="{181C084A-3A99-4A5B-8689-31C407A05042}" type="parTrans" cxnId="{21DACBB7-327F-4FBB-B547-B08D49C8144E}">
      <dgm:prSet/>
      <dgm:spPr/>
      <dgm:t>
        <a:bodyPr/>
        <a:lstStyle/>
        <a:p>
          <a:pPr algn="ctr"/>
          <a:endParaRPr lang="es-CO" sz="900">
            <a:latin typeface="Arial" panose="020B0604020202020204" pitchFamily="34" charset="0"/>
            <a:cs typeface="Arial" panose="020B0604020202020204" pitchFamily="34" charset="0"/>
          </a:endParaRPr>
        </a:p>
      </dgm:t>
    </dgm:pt>
    <dgm:pt modelId="{EE73413E-F5EC-465F-8FC4-46B2A32AD1D0}" type="pres">
      <dgm:prSet presAssocID="{A2BDE47A-1DCE-450C-B05D-64413A5A31EB}" presName="diagram" presStyleCnt="0">
        <dgm:presLayoutVars>
          <dgm:dir/>
          <dgm:animLvl val="lvl"/>
          <dgm:resizeHandles val="exact"/>
        </dgm:presLayoutVars>
      </dgm:prSet>
      <dgm:spPr/>
    </dgm:pt>
    <dgm:pt modelId="{0508C7D6-5337-419A-AEEC-DF7FF63D1BB7}" type="pres">
      <dgm:prSet presAssocID="{0B9C1E55-9182-43C6-9805-329B545D2D94}" presName="compNode" presStyleCnt="0"/>
      <dgm:spPr/>
    </dgm:pt>
    <dgm:pt modelId="{17AC8F04-3252-4811-AC6B-603803D962FF}" type="pres">
      <dgm:prSet presAssocID="{0B9C1E55-9182-43C6-9805-329B545D2D94}" presName="childRect" presStyleLbl="bgAcc1" presStyleIdx="0" presStyleCnt="4" custLinFactNeighborX="-25860" custLinFactNeighborY="5587">
        <dgm:presLayoutVars>
          <dgm:bulletEnabled val="1"/>
        </dgm:presLayoutVars>
      </dgm:prSet>
      <dgm:spPr>
        <a:prstGeom prst="round2SameRect">
          <a:avLst>
            <a:gd name="adj1" fmla="val 8000"/>
            <a:gd name="adj2" fmla="val 0"/>
          </a:avLst>
        </a:prstGeom>
      </dgm:spPr>
      <dgm:t>
        <a:bodyPr/>
        <a:lstStyle/>
        <a:p>
          <a:endParaRPr lang="es-CO"/>
        </a:p>
      </dgm:t>
    </dgm:pt>
    <dgm:pt modelId="{C3C6F783-9813-4BEE-BDD6-CE41A14EAB5B}" type="pres">
      <dgm:prSet presAssocID="{0B9C1E55-9182-43C6-9805-329B545D2D94}" presName="parentText" presStyleLbl="node1" presStyleIdx="0" presStyleCnt="0">
        <dgm:presLayoutVars>
          <dgm:chMax val="0"/>
          <dgm:bulletEnabled val="1"/>
        </dgm:presLayoutVars>
      </dgm:prSet>
      <dgm:spPr>
        <a:prstGeom prst="rect">
          <a:avLst/>
        </a:prstGeom>
      </dgm:spPr>
      <dgm:t>
        <a:bodyPr/>
        <a:lstStyle/>
        <a:p>
          <a:endParaRPr lang="es-CO"/>
        </a:p>
      </dgm:t>
    </dgm:pt>
    <dgm:pt modelId="{27A9DF75-0123-43BF-9ADE-AB35EFEB7A08}" type="pres">
      <dgm:prSet presAssocID="{0B9C1E55-9182-43C6-9805-329B545D2D94}" presName="parentRect" presStyleLbl="alignNode1" presStyleIdx="0" presStyleCnt="4"/>
      <dgm:spPr/>
      <dgm:t>
        <a:bodyPr/>
        <a:lstStyle/>
        <a:p>
          <a:endParaRPr lang="es-CO"/>
        </a:p>
      </dgm:t>
    </dgm:pt>
    <dgm:pt modelId="{8D868944-5C18-417B-93BE-7FC1AF2CB844}" type="pres">
      <dgm:prSet presAssocID="{0B9C1E55-9182-43C6-9805-329B545D2D94}" presName="adorn" presStyleLbl="fgAccFollowNode1" presStyleIdx="0" presStyleCnt="4"/>
      <dgm:spPr>
        <a:xfrm>
          <a:off x="970003" y="1213729"/>
          <a:ext cx="462300" cy="462300"/>
        </a:xfrm>
        <a:prstGeom prst="ellipse">
          <a:avLst/>
        </a:prstGeom>
        <a:blipFill>
          <a:blip xmlns:r="http://schemas.openxmlformats.org/officeDocument/2006/relationships" r:embed="rId1" cstate="print">
            <a:duotone>
              <a:schemeClr val="accent3">
                <a:alpha val="90000"/>
                <a:hueOff val="0"/>
                <a:satOff val="0"/>
                <a:lumOff val="0"/>
                <a:alphaOff val="0"/>
                <a:shade val="20000"/>
                <a:satMod val="200000"/>
              </a:schemeClr>
              <a:schemeClr val="accent3">
                <a:alpha val="90000"/>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D7FEF753-63F1-4329-B6BA-154F7BBB17A3}" type="pres">
      <dgm:prSet presAssocID="{5A04B252-FA86-45E5-B9FC-15918483C348}" presName="sibTrans" presStyleLbl="sibTrans2D1" presStyleIdx="0" presStyleCnt="0"/>
      <dgm:spPr/>
      <dgm:t>
        <a:bodyPr/>
        <a:lstStyle/>
        <a:p>
          <a:endParaRPr lang="es-CO"/>
        </a:p>
      </dgm:t>
    </dgm:pt>
    <dgm:pt modelId="{3C31117F-E4DB-4760-A557-5A3174E4FB68}" type="pres">
      <dgm:prSet presAssocID="{2068AEF5-431A-496F-8545-999569DAF1E3}" presName="compNode" presStyleCnt="0"/>
      <dgm:spPr/>
    </dgm:pt>
    <dgm:pt modelId="{D6CBC307-2F92-4083-9D0A-7A74D588CAB0}" type="pres">
      <dgm:prSet presAssocID="{2068AEF5-431A-496F-8545-999569DAF1E3}" presName="childRect" presStyleLbl="bgAcc1" presStyleIdx="1" presStyleCnt="4">
        <dgm:presLayoutVars>
          <dgm:bulletEnabled val="1"/>
        </dgm:presLayoutVars>
      </dgm:prSet>
      <dgm:spPr>
        <a:prstGeom prst="round2SameRect">
          <a:avLst>
            <a:gd name="adj1" fmla="val 8000"/>
            <a:gd name="adj2" fmla="val 0"/>
          </a:avLst>
        </a:prstGeom>
      </dgm:spPr>
      <dgm:t>
        <a:bodyPr/>
        <a:lstStyle/>
        <a:p>
          <a:endParaRPr lang="es-CO"/>
        </a:p>
      </dgm:t>
    </dgm:pt>
    <dgm:pt modelId="{9D38BBA4-BADE-4834-A191-4350AFF0CF6D}" type="pres">
      <dgm:prSet presAssocID="{2068AEF5-431A-496F-8545-999569DAF1E3}" presName="parentText" presStyleLbl="node1" presStyleIdx="0" presStyleCnt="0">
        <dgm:presLayoutVars>
          <dgm:chMax val="0"/>
          <dgm:bulletEnabled val="1"/>
        </dgm:presLayoutVars>
      </dgm:prSet>
      <dgm:spPr>
        <a:prstGeom prst="rect">
          <a:avLst/>
        </a:prstGeom>
      </dgm:spPr>
      <dgm:t>
        <a:bodyPr/>
        <a:lstStyle/>
        <a:p>
          <a:endParaRPr lang="es-CO"/>
        </a:p>
      </dgm:t>
    </dgm:pt>
    <dgm:pt modelId="{9D090686-22FE-4FDA-938A-4A4F1838A5B1}" type="pres">
      <dgm:prSet presAssocID="{2068AEF5-431A-496F-8545-999569DAF1E3}" presName="parentRect" presStyleLbl="alignNode1" presStyleIdx="1" presStyleCnt="4"/>
      <dgm:spPr/>
      <dgm:t>
        <a:bodyPr/>
        <a:lstStyle/>
        <a:p>
          <a:endParaRPr lang="es-CO"/>
        </a:p>
      </dgm:t>
    </dgm:pt>
    <dgm:pt modelId="{CC55A387-B9F9-4673-AAD0-702E5EB7471D}" type="pres">
      <dgm:prSet presAssocID="{2068AEF5-431A-496F-8545-999569DAF1E3}" presName="adorn" presStyleLbl="fgAccFollowNode1" presStyleIdx="1" presStyleCnt="4" custScaleX="95672"/>
      <dgm:spPr>
        <a:xfrm>
          <a:off x="2524389" y="1213729"/>
          <a:ext cx="442292" cy="462300"/>
        </a:xfrm>
        <a:prstGeom prst="ellipse">
          <a:avLst/>
        </a:prstGeom>
        <a:blipFill>
          <a:blip xmlns:r="http://schemas.openxmlformats.org/officeDocument/2006/relationships" r:embed="rId2" cstate="print">
            <a:duotone>
              <a:schemeClr val="accent3">
                <a:alpha val="90000"/>
                <a:hueOff val="3572285"/>
                <a:satOff val="-4598"/>
                <a:lumOff val="-358"/>
                <a:alphaOff val="0"/>
                <a:shade val="20000"/>
                <a:satMod val="200000"/>
              </a:schemeClr>
              <a:schemeClr val="accent3">
                <a:alpha val="90000"/>
                <a:hueOff val="3572285"/>
                <a:satOff val="-4598"/>
                <a:lumOff val="-358"/>
                <a:alphaOff val="0"/>
                <a:tint val="12000"/>
                <a:satMod val="190000"/>
              </a:schemeClr>
            </a:duotone>
            <a:extLst>
              <a:ext uri="{28A0092B-C50C-407E-A947-70E740481C1C}">
                <a14:useLocalDpi xmlns:a14="http://schemas.microsoft.com/office/drawing/2010/main" val="0"/>
              </a:ext>
            </a:extLst>
          </a:blip>
          <a:srcRect/>
          <a:stretch>
            <a:fillRect t="-11000" b="-11000"/>
          </a:stretch>
        </a:blipFill>
      </dgm:spPr>
    </dgm:pt>
    <dgm:pt modelId="{D61A8C46-0EA2-41D7-B21A-DFE7E31D0E5C}" type="pres">
      <dgm:prSet presAssocID="{87DCC129-367F-4560-AF39-067AF15299D9}" presName="sibTrans" presStyleLbl="sibTrans2D1" presStyleIdx="0" presStyleCnt="0"/>
      <dgm:spPr/>
      <dgm:t>
        <a:bodyPr/>
        <a:lstStyle/>
        <a:p>
          <a:endParaRPr lang="es-CO"/>
        </a:p>
      </dgm:t>
    </dgm:pt>
    <dgm:pt modelId="{F27B57F5-BD77-4BE2-833B-B200104EFCCF}" type="pres">
      <dgm:prSet presAssocID="{4B8EEF74-7AA5-489C-9078-9990A7811C67}" presName="compNode" presStyleCnt="0"/>
      <dgm:spPr/>
    </dgm:pt>
    <dgm:pt modelId="{CF9C8C76-C3FF-4F67-BCCC-D137F7A8060E}" type="pres">
      <dgm:prSet presAssocID="{4B8EEF74-7AA5-489C-9078-9990A7811C67}" presName="childRect" presStyleLbl="bgAcc1" presStyleIdx="2" presStyleCnt="4">
        <dgm:presLayoutVars>
          <dgm:bulletEnabled val="1"/>
        </dgm:presLayoutVars>
      </dgm:prSet>
      <dgm:spPr>
        <a:prstGeom prst="round2SameRect">
          <a:avLst>
            <a:gd name="adj1" fmla="val 8000"/>
            <a:gd name="adj2" fmla="val 0"/>
          </a:avLst>
        </a:prstGeom>
      </dgm:spPr>
      <dgm:t>
        <a:bodyPr/>
        <a:lstStyle/>
        <a:p>
          <a:endParaRPr lang="es-CO"/>
        </a:p>
      </dgm:t>
    </dgm:pt>
    <dgm:pt modelId="{6192292F-E208-4C8B-BA66-106D7D6BAEC1}" type="pres">
      <dgm:prSet presAssocID="{4B8EEF74-7AA5-489C-9078-9990A7811C67}" presName="parentText" presStyleLbl="node1" presStyleIdx="0" presStyleCnt="0">
        <dgm:presLayoutVars>
          <dgm:chMax val="0"/>
          <dgm:bulletEnabled val="1"/>
        </dgm:presLayoutVars>
      </dgm:prSet>
      <dgm:spPr>
        <a:prstGeom prst="rect">
          <a:avLst/>
        </a:prstGeom>
      </dgm:spPr>
      <dgm:t>
        <a:bodyPr/>
        <a:lstStyle/>
        <a:p>
          <a:endParaRPr lang="es-CO"/>
        </a:p>
      </dgm:t>
    </dgm:pt>
    <dgm:pt modelId="{D2375C9D-FEC8-4C2B-8FD2-CC7D19164E9F}" type="pres">
      <dgm:prSet presAssocID="{4B8EEF74-7AA5-489C-9078-9990A7811C67}" presName="parentRect" presStyleLbl="alignNode1" presStyleIdx="2" presStyleCnt="4"/>
      <dgm:spPr/>
      <dgm:t>
        <a:bodyPr/>
        <a:lstStyle/>
        <a:p>
          <a:endParaRPr lang="es-CO"/>
        </a:p>
      </dgm:t>
    </dgm:pt>
    <dgm:pt modelId="{1E97CA61-1C08-4D52-B868-C469B0E891A6}" type="pres">
      <dgm:prSet presAssocID="{4B8EEF74-7AA5-489C-9078-9990A7811C67}" presName="adorn" presStyleLbl="fgAccFollowNode1" presStyleIdx="2" presStyleCnt="4"/>
      <dgm:spPr>
        <a:xfrm>
          <a:off x="4048762" y="1213729"/>
          <a:ext cx="462300" cy="462300"/>
        </a:xfrm>
        <a:prstGeom prst="ellipse">
          <a:avLst/>
        </a:prstGeom>
        <a:blipFill>
          <a:blip xmlns:r="http://schemas.openxmlformats.org/officeDocument/2006/relationships" r:embed="rId3">
            <a:duotone>
              <a:schemeClr val="accent3">
                <a:alpha val="90000"/>
                <a:hueOff val="7144569"/>
                <a:satOff val="-9195"/>
                <a:lumOff val="-717"/>
                <a:alphaOff val="0"/>
                <a:shade val="20000"/>
                <a:satMod val="200000"/>
              </a:schemeClr>
              <a:schemeClr val="accent3">
                <a:alpha val="90000"/>
                <a:hueOff val="7144569"/>
                <a:satOff val="-9195"/>
                <a:lumOff val="-717"/>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DFF92281-FC82-4F92-A656-B8A0CF204B47}" type="pres">
      <dgm:prSet presAssocID="{CA884407-49DD-4BDA-B31E-0831B3FEAE0D}" presName="sibTrans" presStyleLbl="sibTrans2D1" presStyleIdx="0" presStyleCnt="0"/>
      <dgm:spPr/>
      <dgm:t>
        <a:bodyPr/>
        <a:lstStyle/>
        <a:p>
          <a:endParaRPr lang="es-CO"/>
        </a:p>
      </dgm:t>
    </dgm:pt>
    <dgm:pt modelId="{1A75114C-220C-44C6-B3B5-413EF89E842E}" type="pres">
      <dgm:prSet presAssocID="{C2151A80-1A90-4950-BF1B-8524A46369FF}" presName="compNode" presStyleCnt="0"/>
      <dgm:spPr/>
    </dgm:pt>
    <dgm:pt modelId="{E3EB5378-D23E-4177-A151-8CE2D141404D}" type="pres">
      <dgm:prSet presAssocID="{C2151A80-1A90-4950-BF1B-8524A46369FF}" presName="childRect" presStyleLbl="bgAcc1" presStyleIdx="3" presStyleCnt="4">
        <dgm:presLayoutVars>
          <dgm:bulletEnabled val="1"/>
        </dgm:presLayoutVars>
      </dgm:prSet>
      <dgm:spPr>
        <a:prstGeom prst="round2SameRect">
          <a:avLst>
            <a:gd name="adj1" fmla="val 8000"/>
            <a:gd name="adj2" fmla="val 0"/>
          </a:avLst>
        </a:prstGeom>
      </dgm:spPr>
      <dgm:t>
        <a:bodyPr/>
        <a:lstStyle/>
        <a:p>
          <a:endParaRPr lang="es-CO"/>
        </a:p>
      </dgm:t>
    </dgm:pt>
    <dgm:pt modelId="{400B30D5-D688-4D9A-8AF8-D2EE4016E820}" type="pres">
      <dgm:prSet presAssocID="{C2151A80-1A90-4950-BF1B-8524A46369FF}" presName="parentText" presStyleLbl="node1" presStyleIdx="0" presStyleCnt="0">
        <dgm:presLayoutVars>
          <dgm:chMax val="0"/>
          <dgm:bulletEnabled val="1"/>
        </dgm:presLayoutVars>
      </dgm:prSet>
      <dgm:spPr>
        <a:prstGeom prst="rect">
          <a:avLst/>
        </a:prstGeom>
      </dgm:spPr>
      <dgm:t>
        <a:bodyPr/>
        <a:lstStyle/>
        <a:p>
          <a:endParaRPr lang="es-CO"/>
        </a:p>
      </dgm:t>
    </dgm:pt>
    <dgm:pt modelId="{B94854A0-AEDF-4FC8-9BA3-DB375C899DB1}" type="pres">
      <dgm:prSet presAssocID="{C2151A80-1A90-4950-BF1B-8524A46369FF}" presName="parentRect" presStyleLbl="alignNode1" presStyleIdx="3" presStyleCnt="4"/>
      <dgm:spPr/>
      <dgm:t>
        <a:bodyPr/>
        <a:lstStyle/>
        <a:p>
          <a:endParaRPr lang="es-CO"/>
        </a:p>
      </dgm:t>
    </dgm:pt>
    <dgm:pt modelId="{E1C3169B-1E09-45F2-9495-7CCB7BCF82B5}" type="pres">
      <dgm:prSet presAssocID="{C2151A80-1A90-4950-BF1B-8524A46369FF}" presName="adorn" presStyleLbl="fgAccFollowNode1" presStyleIdx="3" presStyleCnt="4"/>
      <dgm:spPr>
        <a:xfrm>
          <a:off x="5593143" y="1213729"/>
          <a:ext cx="462300" cy="462300"/>
        </a:xfrm>
        <a:prstGeom prst="ellipse">
          <a:avLst/>
        </a:prstGeom>
        <a:blipFill>
          <a:blip xmlns:r="http://schemas.openxmlformats.org/officeDocument/2006/relationships" r:embed="rId4" cstate="print">
            <a:duotone>
              <a:schemeClr val="accent3">
                <a:alpha val="90000"/>
                <a:hueOff val="10716854"/>
                <a:satOff val="-13793"/>
                <a:lumOff val="-1075"/>
                <a:alphaOff val="0"/>
                <a:shade val="20000"/>
                <a:satMod val="200000"/>
              </a:schemeClr>
              <a:schemeClr val="accent3">
                <a:alpha val="90000"/>
                <a:hueOff val="10716854"/>
                <a:satOff val="-13793"/>
                <a:lumOff val="-1075"/>
                <a:alphaOff val="0"/>
                <a:tint val="12000"/>
                <a:satMod val="190000"/>
              </a:schemeClr>
            </a:duotone>
            <a:extLst>
              <a:ext uri="{28A0092B-C50C-407E-A947-70E740481C1C}">
                <a14:useLocalDpi xmlns:a14="http://schemas.microsoft.com/office/drawing/2010/main" val="0"/>
              </a:ext>
            </a:extLst>
          </a:blip>
          <a:srcRect/>
          <a:stretch>
            <a:fillRect/>
          </a:stretch>
        </a:blipFill>
      </dgm:spPr>
    </dgm:pt>
  </dgm:ptLst>
  <dgm:cxnLst>
    <dgm:cxn modelId="{3F9B08DF-FB5A-4C83-984F-DDE3422843DF}" srcId="{5DAC6F7F-4DEE-4C6B-9519-4D9653F9E0CC}" destId="{D22435C4-619F-4BFF-8B58-C6C20C305CB5}" srcOrd="0" destOrd="0" parTransId="{B1E1FB91-860A-4163-9313-D6860D4B538E}" sibTransId="{4E333806-4B1D-4F90-969F-C4632FBEEE4D}"/>
    <dgm:cxn modelId="{203E0AE7-8CD3-4DD0-9049-E390E9FFA5EB}" type="presOf" srcId="{CEEC45D2-DE2F-4A5A-851A-6C0B63952AC0}" destId="{D6CBC307-2F92-4083-9D0A-7A74D588CAB0}" srcOrd="0" destOrd="0" presId="urn:microsoft.com/office/officeart/2005/8/layout/bList2"/>
    <dgm:cxn modelId="{0F29EAF0-80D2-419B-9F78-A4A2BBF2FB3A}" type="presOf" srcId="{146EC06D-8A32-43BD-831D-F46D620EAE91}" destId="{E3EB5378-D23E-4177-A151-8CE2D141404D}" srcOrd="0" destOrd="1" presId="urn:microsoft.com/office/officeart/2005/8/layout/bList2"/>
    <dgm:cxn modelId="{11E7145F-6F21-4174-B0DC-FA86A60387E7}" srcId="{A2BDE47A-1DCE-450C-B05D-64413A5A31EB}" destId="{4B8EEF74-7AA5-489C-9078-9990A7811C67}" srcOrd="2" destOrd="0" parTransId="{91DFA8BA-FA83-4130-A967-81B109A3BCCF}" sibTransId="{CA884407-49DD-4BDA-B31E-0831B3FEAE0D}"/>
    <dgm:cxn modelId="{7EB00FBD-F886-49D6-BD5E-BEDEA5A2E5DA}" type="presOf" srcId="{2068AEF5-431A-496F-8545-999569DAF1E3}" destId="{9D38BBA4-BADE-4834-A191-4350AFF0CF6D}" srcOrd="0" destOrd="0" presId="urn:microsoft.com/office/officeart/2005/8/layout/bList2"/>
    <dgm:cxn modelId="{8ADE1E3C-A104-4CE2-8801-2F4E0517DFE7}" type="presOf" srcId="{87DCC129-367F-4560-AF39-067AF15299D9}" destId="{D61A8C46-0EA2-41D7-B21A-DFE7E31D0E5C}" srcOrd="0" destOrd="0" presId="urn:microsoft.com/office/officeart/2005/8/layout/bList2"/>
    <dgm:cxn modelId="{07988FAA-E96D-4C97-AAA3-E1BA14D41430}" type="presOf" srcId="{0B9C1E55-9182-43C6-9805-329B545D2D94}" destId="{27A9DF75-0123-43BF-9ADE-AB35EFEB7A08}" srcOrd="1" destOrd="0" presId="urn:microsoft.com/office/officeart/2005/8/layout/bList2"/>
    <dgm:cxn modelId="{38CB645A-1F3C-43D4-BAEE-924D28739411}" type="presOf" srcId="{20648A4D-01A0-425C-911C-6E35E882F9F7}" destId="{CF9C8C76-C3FF-4F67-BCCC-D137F7A8060E}" srcOrd="0" destOrd="0" presId="urn:microsoft.com/office/officeart/2005/8/layout/bList2"/>
    <dgm:cxn modelId="{9ECD5661-C822-4C6F-86BE-8257AEBB6E9A}" type="presOf" srcId="{784C088B-20A6-4E23-BDFE-8949EB5C2DB1}" destId="{17AC8F04-3252-4811-AC6B-603803D962FF}" srcOrd="0" destOrd="0" presId="urn:microsoft.com/office/officeart/2005/8/layout/bList2"/>
    <dgm:cxn modelId="{1DE9C1C6-8CE2-4948-99E0-7685C4A1D6E0}" srcId="{C2151A80-1A90-4950-BF1B-8524A46369FF}" destId="{AF2962F6-B103-4CBA-9AA8-6E3E9209A998}" srcOrd="0" destOrd="0" parTransId="{535A9419-699D-4BA0-9868-10B756B0DB36}" sibTransId="{475834E8-AD4F-47FE-B903-40F43E1B7519}"/>
    <dgm:cxn modelId="{D3ADB926-51E8-41F5-B0E7-A9BA9D08A3F7}" srcId="{2068AEF5-431A-496F-8545-999569DAF1E3}" destId="{CEEC45D2-DE2F-4A5A-851A-6C0B63952AC0}" srcOrd="0" destOrd="0" parTransId="{E1E33315-0B60-4BD3-8C31-B1B885DCB853}" sibTransId="{B54CB692-EAD7-4A1F-8AF0-658C41F0B79C}"/>
    <dgm:cxn modelId="{D3267C56-C626-405A-9DAB-7755E05DC9EE}" type="presOf" srcId="{D22435C4-619F-4BFF-8B58-C6C20C305CB5}" destId="{17AC8F04-3252-4811-AC6B-603803D962FF}" srcOrd="0" destOrd="2" presId="urn:microsoft.com/office/officeart/2005/8/layout/bList2"/>
    <dgm:cxn modelId="{65EE4427-18C7-4DD7-AB61-33988800437E}" srcId="{C2151A80-1A90-4950-BF1B-8524A46369FF}" destId="{7186C8B3-163A-4043-A5B8-91B259697A57}" srcOrd="2" destOrd="0" parTransId="{498ABD8C-490F-4C72-A0BD-88C3AE1A3EC0}" sibTransId="{D4A10D5B-2593-4104-8D10-6538695FDC01}"/>
    <dgm:cxn modelId="{C0B7B126-7BC6-4BE2-B85A-472F0A125E84}" srcId="{0B9C1E55-9182-43C6-9805-329B545D2D94}" destId="{2A501AD6-9BD0-49B7-B7D2-3681D37E6C9F}" srcOrd="2" destOrd="0" parTransId="{7977901E-96D6-4B56-B09B-E445565BF83C}" sibTransId="{6BA9A6E4-DC60-4A81-82AD-E09F099B722B}"/>
    <dgm:cxn modelId="{EFFC5358-316C-494A-AB5E-8826CC83A100}" srcId="{C2151A80-1A90-4950-BF1B-8524A46369FF}" destId="{146EC06D-8A32-43BD-831D-F46D620EAE91}" srcOrd="1" destOrd="0" parTransId="{C088317C-AEE0-419E-B39F-6BDE31818F99}" sibTransId="{174810AD-0FC5-4066-8365-E65FE50EBB7A}"/>
    <dgm:cxn modelId="{F9D699A2-1F2E-4BED-8017-2E46261EE2AB}" type="presOf" srcId="{A2BDE47A-1DCE-450C-B05D-64413A5A31EB}" destId="{EE73413E-F5EC-465F-8FC4-46B2A32AD1D0}" srcOrd="0" destOrd="0" presId="urn:microsoft.com/office/officeart/2005/8/layout/bList2"/>
    <dgm:cxn modelId="{D3F320AC-B4ED-4FB6-B2CB-88F8683DC873}" type="presOf" srcId="{AF2962F6-B103-4CBA-9AA8-6E3E9209A998}" destId="{E3EB5378-D23E-4177-A151-8CE2D141404D}" srcOrd="0" destOrd="0" presId="urn:microsoft.com/office/officeart/2005/8/layout/bList2"/>
    <dgm:cxn modelId="{F15ADD43-C6FE-414E-9D48-40199111956F}" srcId="{0B9C1E55-9182-43C6-9805-329B545D2D94}" destId="{784C088B-20A6-4E23-BDFE-8949EB5C2DB1}" srcOrd="0" destOrd="0" parTransId="{192F0F54-AA0B-482A-AB47-CB12A3C8068A}" sibTransId="{FC163B44-19F0-40C7-AD5F-FACDCDDFB6CE}"/>
    <dgm:cxn modelId="{9F62D7E6-7449-4F4A-BA2C-E1EF10E88B7E}" srcId="{A2BDE47A-1DCE-450C-B05D-64413A5A31EB}" destId="{2068AEF5-431A-496F-8545-999569DAF1E3}" srcOrd="1" destOrd="0" parTransId="{AC88B465-50BE-4B65-8A3B-45B092AD2949}" sibTransId="{87DCC129-367F-4560-AF39-067AF15299D9}"/>
    <dgm:cxn modelId="{B6D7FBC6-558F-4067-A8C4-72A9DEBFA965}" type="presOf" srcId="{0B9C1E55-9182-43C6-9805-329B545D2D94}" destId="{C3C6F783-9813-4BEE-BDD6-CE41A14EAB5B}" srcOrd="0" destOrd="0" presId="urn:microsoft.com/office/officeart/2005/8/layout/bList2"/>
    <dgm:cxn modelId="{DC5EF0FA-5AEF-4E65-A949-5D209EF5B760}" type="presOf" srcId="{4B8EEF74-7AA5-489C-9078-9990A7811C67}" destId="{D2375C9D-FEC8-4C2B-8FD2-CC7D19164E9F}" srcOrd="1" destOrd="0" presId="urn:microsoft.com/office/officeart/2005/8/layout/bList2"/>
    <dgm:cxn modelId="{9D3685B2-2D03-42FC-8257-ED72B0469D13}" type="presOf" srcId="{CA884407-49DD-4BDA-B31E-0831B3FEAE0D}" destId="{DFF92281-FC82-4F92-A656-B8A0CF204B47}" srcOrd="0" destOrd="0" presId="urn:microsoft.com/office/officeart/2005/8/layout/bList2"/>
    <dgm:cxn modelId="{55E41585-7DFA-4F21-9A09-3BD7C0C1BEC9}" srcId="{A2BDE47A-1DCE-450C-B05D-64413A5A31EB}" destId="{0B9C1E55-9182-43C6-9805-329B545D2D94}" srcOrd="0" destOrd="0" parTransId="{FC2CC2A2-A11B-4504-A53B-4125415D6C78}" sibTransId="{5A04B252-FA86-45E5-B9FC-15918483C348}"/>
    <dgm:cxn modelId="{A2C42412-07CC-44C9-B016-7555D9DB3AFA}" srcId="{5DAC6F7F-4DEE-4C6B-9519-4D9653F9E0CC}" destId="{4BBC9FA9-3ACD-4F17-A3E0-425D6FECCAF2}" srcOrd="1" destOrd="0" parTransId="{B3332BE8-EC41-4C5C-AA01-4D69BCD08061}" sibTransId="{F05B52ED-A062-4680-9277-FCFDADE8BD73}"/>
    <dgm:cxn modelId="{2FED5FC3-CFCD-44E4-B823-E7D0AEFBC56A}" type="presOf" srcId="{5A04B252-FA86-45E5-B9FC-15918483C348}" destId="{D7FEF753-63F1-4329-B6BA-154F7BBB17A3}" srcOrd="0" destOrd="0" presId="urn:microsoft.com/office/officeart/2005/8/layout/bList2"/>
    <dgm:cxn modelId="{21DACBB7-327F-4FBB-B547-B08D49C8144E}" srcId="{0B9C1E55-9182-43C6-9805-329B545D2D94}" destId="{5DAC6F7F-4DEE-4C6B-9519-4D9653F9E0CC}" srcOrd="1" destOrd="0" parTransId="{181C084A-3A99-4A5B-8689-31C407A05042}" sibTransId="{483DBB22-5EE8-4156-B578-FCC11EE06EE1}"/>
    <dgm:cxn modelId="{48D4A2C9-DAA7-4EEA-8CD6-958152AE4B30}" type="presOf" srcId="{C2151A80-1A90-4950-BF1B-8524A46369FF}" destId="{B94854A0-AEDF-4FC8-9BA3-DB375C899DB1}" srcOrd="1" destOrd="0" presId="urn:microsoft.com/office/officeart/2005/8/layout/bList2"/>
    <dgm:cxn modelId="{9DAB616B-580B-4588-97E4-396EFCF27AD0}" type="presOf" srcId="{2068AEF5-431A-496F-8545-999569DAF1E3}" destId="{9D090686-22FE-4FDA-938A-4A4F1838A5B1}" srcOrd="1" destOrd="0" presId="urn:microsoft.com/office/officeart/2005/8/layout/bList2"/>
    <dgm:cxn modelId="{F0114BFD-D0FE-4A06-A626-7F2FA1B1E12F}" type="presOf" srcId="{C2151A80-1A90-4950-BF1B-8524A46369FF}" destId="{400B30D5-D688-4D9A-8AF8-D2EE4016E820}" srcOrd="0" destOrd="0" presId="urn:microsoft.com/office/officeart/2005/8/layout/bList2"/>
    <dgm:cxn modelId="{5DF2087B-F1B0-47E7-A458-C8146CFC2061}" type="presOf" srcId="{4B8EEF74-7AA5-489C-9078-9990A7811C67}" destId="{6192292F-E208-4C8B-BA66-106D7D6BAEC1}" srcOrd="0" destOrd="0" presId="urn:microsoft.com/office/officeart/2005/8/layout/bList2"/>
    <dgm:cxn modelId="{A2FAA58B-7724-4177-B72C-8CFEC10BF2B4}" type="presOf" srcId="{2A501AD6-9BD0-49B7-B7D2-3681D37E6C9F}" destId="{17AC8F04-3252-4811-AC6B-603803D962FF}" srcOrd="0" destOrd="4" presId="urn:microsoft.com/office/officeart/2005/8/layout/bList2"/>
    <dgm:cxn modelId="{B7704C27-7D74-484B-A171-BE8426D3B63C}" srcId="{4B8EEF74-7AA5-489C-9078-9990A7811C67}" destId="{20648A4D-01A0-425C-911C-6E35E882F9F7}" srcOrd="0" destOrd="0" parTransId="{D66CF582-6D26-475E-8012-076926E69A79}" sibTransId="{724A26E1-18F9-4430-A031-0093A442AD89}"/>
    <dgm:cxn modelId="{701A2F7E-9800-4D92-96A2-FAAD8B521510}" type="presOf" srcId="{4BBC9FA9-3ACD-4F17-A3E0-425D6FECCAF2}" destId="{17AC8F04-3252-4811-AC6B-603803D962FF}" srcOrd="0" destOrd="3" presId="urn:microsoft.com/office/officeart/2005/8/layout/bList2"/>
    <dgm:cxn modelId="{07E89F4B-E19D-4736-AF02-123956004DD4}" type="presOf" srcId="{7186C8B3-163A-4043-A5B8-91B259697A57}" destId="{E3EB5378-D23E-4177-A151-8CE2D141404D}" srcOrd="0" destOrd="2" presId="urn:microsoft.com/office/officeart/2005/8/layout/bList2"/>
    <dgm:cxn modelId="{34A995D9-15D5-4D43-9746-2E7B1B3E8519}" type="presOf" srcId="{5DAC6F7F-4DEE-4C6B-9519-4D9653F9E0CC}" destId="{17AC8F04-3252-4811-AC6B-603803D962FF}" srcOrd="0" destOrd="1" presId="urn:microsoft.com/office/officeart/2005/8/layout/bList2"/>
    <dgm:cxn modelId="{E9390D17-54F4-4852-8708-A5172140DD5E}" srcId="{A2BDE47A-1DCE-450C-B05D-64413A5A31EB}" destId="{C2151A80-1A90-4950-BF1B-8524A46369FF}" srcOrd="3" destOrd="0" parTransId="{BD861437-8D76-4222-986A-F15EE9A9F22D}" sibTransId="{0786247A-452B-48CD-8436-9A99C3D3DCC8}"/>
    <dgm:cxn modelId="{918E1EA7-4D10-4D17-92DD-DE078843A6F8}" type="presParOf" srcId="{EE73413E-F5EC-465F-8FC4-46B2A32AD1D0}" destId="{0508C7D6-5337-419A-AEEC-DF7FF63D1BB7}" srcOrd="0" destOrd="0" presId="urn:microsoft.com/office/officeart/2005/8/layout/bList2"/>
    <dgm:cxn modelId="{DF9A5457-5862-4A29-A36F-AA3517744377}" type="presParOf" srcId="{0508C7D6-5337-419A-AEEC-DF7FF63D1BB7}" destId="{17AC8F04-3252-4811-AC6B-603803D962FF}" srcOrd="0" destOrd="0" presId="urn:microsoft.com/office/officeart/2005/8/layout/bList2"/>
    <dgm:cxn modelId="{A9F847B5-9912-4072-AE17-FBEDBBEFFE06}" type="presParOf" srcId="{0508C7D6-5337-419A-AEEC-DF7FF63D1BB7}" destId="{C3C6F783-9813-4BEE-BDD6-CE41A14EAB5B}" srcOrd="1" destOrd="0" presId="urn:microsoft.com/office/officeart/2005/8/layout/bList2"/>
    <dgm:cxn modelId="{7176A70D-A221-492B-A9F2-99B908EA901E}" type="presParOf" srcId="{0508C7D6-5337-419A-AEEC-DF7FF63D1BB7}" destId="{27A9DF75-0123-43BF-9ADE-AB35EFEB7A08}" srcOrd="2" destOrd="0" presId="urn:microsoft.com/office/officeart/2005/8/layout/bList2"/>
    <dgm:cxn modelId="{45D4DFC1-D2E2-49F5-AE8F-CD8CBE561F23}" type="presParOf" srcId="{0508C7D6-5337-419A-AEEC-DF7FF63D1BB7}" destId="{8D868944-5C18-417B-93BE-7FC1AF2CB844}" srcOrd="3" destOrd="0" presId="urn:microsoft.com/office/officeart/2005/8/layout/bList2"/>
    <dgm:cxn modelId="{C33D7AD5-17B6-4E04-B287-D3FD68024D5C}" type="presParOf" srcId="{EE73413E-F5EC-465F-8FC4-46B2A32AD1D0}" destId="{D7FEF753-63F1-4329-B6BA-154F7BBB17A3}" srcOrd="1" destOrd="0" presId="urn:microsoft.com/office/officeart/2005/8/layout/bList2"/>
    <dgm:cxn modelId="{18CFC5C9-7F99-43FA-8D59-77F527ADD3C3}" type="presParOf" srcId="{EE73413E-F5EC-465F-8FC4-46B2A32AD1D0}" destId="{3C31117F-E4DB-4760-A557-5A3174E4FB68}" srcOrd="2" destOrd="0" presId="urn:microsoft.com/office/officeart/2005/8/layout/bList2"/>
    <dgm:cxn modelId="{895A9246-9895-4851-95A5-459011FE1B49}" type="presParOf" srcId="{3C31117F-E4DB-4760-A557-5A3174E4FB68}" destId="{D6CBC307-2F92-4083-9D0A-7A74D588CAB0}" srcOrd="0" destOrd="0" presId="urn:microsoft.com/office/officeart/2005/8/layout/bList2"/>
    <dgm:cxn modelId="{A95F1FEB-6B7D-43F5-9824-9BD88F15BE11}" type="presParOf" srcId="{3C31117F-E4DB-4760-A557-5A3174E4FB68}" destId="{9D38BBA4-BADE-4834-A191-4350AFF0CF6D}" srcOrd="1" destOrd="0" presId="urn:microsoft.com/office/officeart/2005/8/layout/bList2"/>
    <dgm:cxn modelId="{BBE3D771-6B34-4E5F-A8DA-061876B599B8}" type="presParOf" srcId="{3C31117F-E4DB-4760-A557-5A3174E4FB68}" destId="{9D090686-22FE-4FDA-938A-4A4F1838A5B1}" srcOrd="2" destOrd="0" presId="urn:microsoft.com/office/officeart/2005/8/layout/bList2"/>
    <dgm:cxn modelId="{1C29BEF4-AD87-43D0-9D99-BF78856B05C7}" type="presParOf" srcId="{3C31117F-E4DB-4760-A557-5A3174E4FB68}" destId="{CC55A387-B9F9-4673-AAD0-702E5EB7471D}" srcOrd="3" destOrd="0" presId="urn:microsoft.com/office/officeart/2005/8/layout/bList2"/>
    <dgm:cxn modelId="{1AE4484E-D4BA-48D6-BD15-EA63D7E96F0C}" type="presParOf" srcId="{EE73413E-F5EC-465F-8FC4-46B2A32AD1D0}" destId="{D61A8C46-0EA2-41D7-B21A-DFE7E31D0E5C}" srcOrd="3" destOrd="0" presId="urn:microsoft.com/office/officeart/2005/8/layout/bList2"/>
    <dgm:cxn modelId="{33E07200-B66F-4788-BA6C-628AEFAC6CA1}" type="presParOf" srcId="{EE73413E-F5EC-465F-8FC4-46B2A32AD1D0}" destId="{F27B57F5-BD77-4BE2-833B-B200104EFCCF}" srcOrd="4" destOrd="0" presId="urn:microsoft.com/office/officeart/2005/8/layout/bList2"/>
    <dgm:cxn modelId="{8836630F-F0FB-4A66-AE8E-DE2B602ED985}" type="presParOf" srcId="{F27B57F5-BD77-4BE2-833B-B200104EFCCF}" destId="{CF9C8C76-C3FF-4F67-BCCC-D137F7A8060E}" srcOrd="0" destOrd="0" presId="urn:microsoft.com/office/officeart/2005/8/layout/bList2"/>
    <dgm:cxn modelId="{04B0B2BD-E0AB-4775-B52A-B690F4474EDF}" type="presParOf" srcId="{F27B57F5-BD77-4BE2-833B-B200104EFCCF}" destId="{6192292F-E208-4C8B-BA66-106D7D6BAEC1}" srcOrd="1" destOrd="0" presId="urn:microsoft.com/office/officeart/2005/8/layout/bList2"/>
    <dgm:cxn modelId="{8EB5D784-CFDE-4436-A894-37F5773F01EF}" type="presParOf" srcId="{F27B57F5-BD77-4BE2-833B-B200104EFCCF}" destId="{D2375C9D-FEC8-4C2B-8FD2-CC7D19164E9F}" srcOrd="2" destOrd="0" presId="urn:microsoft.com/office/officeart/2005/8/layout/bList2"/>
    <dgm:cxn modelId="{25A3FF14-D66C-4C39-83D0-38D1F18BE335}" type="presParOf" srcId="{F27B57F5-BD77-4BE2-833B-B200104EFCCF}" destId="{1E97CA61-1C08-4D52-B868-C469B0E891A6}" srcOrd="3" destOrd="0" presId="urn:microsoft.com/office/officeart/2005/8/layout/bList2"/>
    <dgm:cxn modelId="{666C1B04-A455-4717-A40D-4A839FBFB838}" type="presParOf" srcId="{EE73413E-F5EC-465F-8FC4-46B2A32AD1D0}" destId="{DFF92281-FC82-4F92-A656-B8A0CF204B47}" srcOrd="5" destOrd="0" presId="urn:microsoft.com/office/officeart/2005/8/layout/bList2"/>
    <dgm:cxn modelId="{90E1A9AE-1F04-4855-B59E-F510525715E6}" type="presParOf" srcId="{EE73413E-F5EC-465F-8FC4-46B2A32AD1D0}" destId="{1A75114C-220C-44C6-B3B5-413EF89E842E}" srcOrd="6" destOrd="0" presId="urn:microsoft.com/office/officeart/2005/8/layout/bList2"/>
    <dgm:cxn modelId="{E8692A81-1B91-4D3E-A909-B8EDBBEE8948}" type="presParOf" srcId="{1A75114C-220C-44C6-B3B5-413EF89E842E}" destId="{E3EB5378-D23E-4177-A151-8CE2D141404D}" srcOrd="0" destOrd="0" presId="urn:microsoft.com/office/officeart/2005/8/layout/bList2"/>
    <dgm:cxn modelId="{E8C2A8B9-7931-4AED-8CC2-1AE039117AC3}" type="presParOf" srcId="{1A75114C-220C-44C6-B3B5-413EF89E842E}" destId="{400B30D5-D688-4D9A-8AF8-D2EE4016E820}" srcOrd="1" destOrd="0" presId="urn:microsoft.com/office/officeart/2005/8/layout/bList2"/>
    <dgm:cxn modelId="{F72FA9F3-6B4B-45D6-B8F3-6BE9070FD4CA}" type="presParOf" srcId="{1A75114C-220C-44C6-B3B5-413EF89E842E}" destId="{B94854A0-AEDF-4FC8-9BA3-DB375C899DB1}" srcOrd="2" destOrd="0" presId="urn:microsoft.com/office/officeart/2005/8/layout/bList2"/>
    <dgm:cxn modelId="{7C34FD47-5D80-46BD-8ED4-BD4D3A49931A}" type="presParOf" srcId="{1A75114C-220C-44C6-B3B5-413EF89E842E}" destId="{E1C3169B-1E09-45F2-9495-7CCB7BCF82B5}" srcOrd="3" destOrd="0" presId="urn:microsoft.com/office/officeart/2005/8/layout/bList2"/>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B4321571-44FF-4769-A864-D941A1F8CCA7}" type="doc">
      <dgm:prSet loTypeId="urn:microsoft.com/office/officeart/2005/8/layout/chevron1" loCatId="process" qsTypeId="urn:microsoft.com/office/officeart/2005/8/quickstyle/simple4" qsCatId="simple" csTypeId="urn:microsoft.com/office/officeart/2005/8/colors/colorful3" csCatId="colorful" phldr="1"/>
      <dgm:spPr/>
      <dgm:t>
        <a:bodyPr/>
        <a:lstStyle/>
        <a:p>
          <a:endParaRPr lang="es-CO"/>
        </a:p>
      </dgm:t>
    </dgm:pt>
    <dgm:pt modelId="{82985A61-9BBF-44E0-B2F7-1839F9F93FE8}">
      <dgm:prSet phldrT="[Texto]"/>
      <dgm:spPr>
        <a:xfrm>
          <a:off x="1169" y="262600"/>
          <a:ext cx="1424513" cy="569805"/>
        </a:xfrm>
      </dgm:spPr>
      <dgm:t>
        <a:bodyPr/>
        <a:lstStyle/>
        <a:p>
          <a:pPr algn="ctr">
            <a:buNone/>
          </a:pPr>
          <a:r>
            <a:rPr lang="es-CO" b="1">
              <a:latin typeface="Calibri"/>
              <a:ea typeface="+mn-ea"/>
              <a:cs typeface="+mn-cs"/>
            </a:rPr>
            <a:t>Producción</a:t>
          </a:r>
        </a:p>
        <a:p>
          <a:pPr algn="ctr">
            <a:buNone/>
          </a:pPr>
          <a:r>
            <a:rPr lang="es-CO">
              <a:latin typeface="Calibri"/>
              <a:ea typeface="+mn-ea"/>
              <a:cs typeface="+mn-cs"/>
            </a:rPr>
            <a:t>18.011 Ton.</a:t>
          </a:r>
        </a:p>
      </dgm:t>
    </dgm:pt>
    <dgm:pt modelId="{49569400-240A-4F6B-88AF-509D89889212}" type="parTrans" cxnId="{E3AD7526-988F-4CF0-BBD6-39394D07B5C1}">
      <dgm:prSet/>
      <dgm:spPr/>
      <dgm:t>
        <a:bodyPr/>
        <a:lstStyle/>
        <a:p>
          <a:pPr algn="ctr"/>
          <a:endParaRPr lang="es-CO"/>
        </a:p>
      </dgm:t>
    </dgm:pt>
    <dgm:pt modelId="{C2A4EB11-1809-488E-91DF-8E3836F7E5BA}" type="sibTrans" cxnId="{E3AD7526-988F-4CF0-BBD6-39394D07B5C1}">
      <dgm:prSet/>
      <dgm:spPr/>
      <dgm:t>
        <a:bodyPr/>
        <a:lstStyle/>
        <a:p>
          <a:pPr algn="ctr"/>
          <a:endParaRPr lang="es-CO"/>
        </a:p>
      </dgm:t>
    </dgm:pt>
    <dgm:pt modelId="{54BA475B-891A-4FB0-A935-90121704FD03}">
      <dgm:prSet phldrT="[Texto]"/>
      <dgm:spPr>
        <a:xfrm>
          <a:off x="1283230" y="262600"/>
          <a:ext cx="1424513" cy="569805"/>
        </a:xfrm>
      </dgm:spPr>
      <dgm:t>
        <a:bodyPr/>
        <a:lstStyle/>
        <a:p>
          <a:pPr algn="ctr">
            <a:buNone/>
          </a:pPr>
          <a:r>
            <a:rPr lang="es-CO" b="1">
              <a:latin typeface="Calibri"/>
              <a:ea typeface="+mn-ea"/>
              <a:cs typeface="+mn-cs"/>
            </a:rPr>
            <a:t>Distribución</a:t>
          </a:r>
        </a:p>
        <a:p>
          <a:pPr algn="ctr">
            <a:buNone/>
          </a:pPr>
          <a:r>
            <a:rPr lang="es-CO">
              <a:latin typeface="Calibri"/>
              <a:ea typeface="+mn-ea"/>
              <a:cs typeface="+mn-cs"/>
            </a:rPr>
            <a:t>20.601 Ton.</a:t>
          </a:r>
        </a:p>
      </dgm:t>
    </dgm:pt>
    <dgm:pt modelId="{88246667-0668-4628-85D8-740EF245F34B}" type="parTrans" cxnId="{9384C258-CA06-4471-BE16-7A7598629BA5}">
      <dgm:prSet/>
      <dgm:spPr/>
      <dgm:t>
        <a:bodyPr/>
        <a:lstStyle/>
        <a:p>
          <a:pPr algn="ctr"/>
          <a:endParaRPr lang="es-CO"/>
        </a:p>
      </dgm:t>
    </dgm:pt>
    <dgm:pt modelId="{63067E87-FD27-435F-BC42-72CD6BCEDB0A}" type="sibTrans" cxnId="{9384C258-CA06-4471-BE16-7A7598629BA5}">
      <dgm:prSet/>
      <dgm:spPr/>
      <dgm:t>
        <a:bodyPr/>
        <a:lstStyle/>
        <a:p>
          <a:pPr algn="ctr"/>
          <a:endParaRPr lang="es-CO"/>
        </a:p>
      </dgm:t>
    </dgm:pt>
    <dgm:pt modelId="{0E03A24D-E8A7-4CA1-A60E-91D802D8640B}">
      <dgm:prSet phldrT="[Texto]"/>
      <dgm:spPr>
        <a:xfrm>
          <a:off x="2565292" y="262600"/>
          <a:ext cx="1424513" cy="569805"/>
        </a:xfrm>
      </dgm:spPr>
      <dgm:t>
        <a:bodyPr/>
        <a:lstStyle/>
        <a:p>
          <a:pPr algn="ctr">
            <a:buNone/>
          </a:pPr>
          <a:r>
            <a:rPr lang="es-CO" b="1">
              <a:latin typeface="Calibri"/>
              <a:ea typeface="+mn-ea"/>
              <a:cs typeface="+mn-cs"/>
            </a:rPr>
            <a:t>Atención</a:t>
          </a:r>
        </a:p>
        <a:p>
          <a:pPr algn="ctr">
            <a:buNone/>
          </a:pPr>
          <a:r>
            <a:rPr lang="es-ES_tradnl" b="0">
              <a:latin typeface="Calibri"/>
              <a:ea typeface="+mn-ea"/>
              <a:cs typeface="+mn-cs"/>
            </a:rPr>
            <a:t>2.997.000 Beneficiarios</a:t>
          </a:r>
          <a:endParaRPr lang="es-CO" b="0">
            <a:latin typeface="Calibri"/>
            <a:ea typeface="+mn-ea"/>
            <a:cs typeface="+mn-cs"/>
          </a:endParaRPr>
        </a:p>
      </dgm:t>
    </dgm:pt>
    <dgm:pt modelId="{3960B858-B4F8-40F7-8D6B-0A62ED460418}" type="parTrans" cxnId="{EE469017-5651-4D52-ACB7-E404E7FF0CB2}">
      <dgm:prSet/>
      <dgm:spPr/>
      <dgm:t>
        <a:bodyPr/>
        <a:lstStyle/>
        <a:p>
          <a:pPr algn="ctr"/>
          <a:endParaRPr lang="es-CO"/>
        </a:p>
      </dgm:t>
    </dgm:pt>
    <dgm:pt modelId="{87BB84CD-045D-466D-B719-FE6B583F04AA}" type="sibTrans" cxnId="{EE469017-5651-4D52-ACB7-E404E7FF0CB2}">
      <dgm:prSet/>
      <dgm:spPr/>
      <dgm:t>
        <a:bodyPr/>
        <a:lstStyle/>
        <a:p>
          <a:pPr algn="ctr"/>
          <a:endParaRPr lang="es-CO"/>
        </a:p>
      </dgm:t>
    </dgm:pt>
    <dgm:pt modelId="{5222AAC5-793B-4D13-8691-61C5BEE4CCE8}" type="pres">
      <dgm:prSet presAssocID="{B4321571-44FF-4769-A864-D941A1F8CCA7}" presName="Name0" presStyleCnt="0">
        <dgm:presLayoutVars>
          <dgm:dir/>
          <dgm:animLvl val="lvl"/>
          <dgm:resizeHandles val="exact"/>
        </dgm:presLayoutVars>
      </dgm:prSet>
      <dgm:spPr/>
      <dgm:t>
        <a:bodyPr/>
        <a:lstStyle/>
        <a:p>
          <a:endParaRPr lang="es-CO"/>
        </a:p>
      </dgm:t>
    </dgm:pt>
    <dgm:pt modelId="{9F3E9243-5897-41ED-AFA3-3E973EF050C7}" type="pres">
      <dgm:prSet presAssocID="{82985A61-9BBF-44E0-B2F7-1839F9F93FE8}" presName="parTxOnly" presStyleLbl="node1" presStyleIdx="0" presStyleCnt="3">
        <dgm:presLayoutVars>
          <dgm:chMax val="0"/>
          <dgm:chPref val="0"/>
          <dgm:bulletEnabled val="1"/>
        </dgm:presLayoutVars>
      </dgm:prSet>
      <dgm:spPr>
        <a:prstGeom prst="chevron">
          <a:avLst/>
        </a:prstGeom>
      </dgm:spPr>
      <dgm:t>
        <a:bodyPr/>
        <a:lstStyle/>
        <a:p>
          <a:endParaRPr lang="es-CO"/>
        </a:p>
      </dgm:t>
    </dgm:pt>
    <dgm:pt modelId="{980A42BC-C928-456D-BA5C-993E7DFFC844}" type="pres">
      <dgm:prSet presAssocID="{C2A4EB11-1809-488E-91DF-8E3836F7E5BA}" presName="parTxOnlySpace" presStyleCnt="0"/>
      <dgm:spPr/>
    </dgm:pt>
    <dgm:pt modelId="{316240E3-CFD2-4C97-979D-80E13CCF4C9F}" type="pres">
      <dgm:prSet presAssocID="{54BA475B-891A-4FB0-A935-90121704FD03}" presName="parTxOnly" presStyleLbl="node1" presStyleIdx="1" presStyleCnt="3">
        <dgm:presLayoutVars>
          <dgm:chMax val="0"/>
          <dgm:chPref val="0"/>
          <dgm:bulletEnabled val="1"/>
        </dgm:presLayoutVars>
      </dgm:prSet>
      <dgm:spPr>
        <a:prstGeom prst="chevron">
          <a:avLst/>
        </a:prstGeom>
      </dgm:spPr>
      <dgm:t>
        <a:bodyPr/>
        <a:lstStyle/>
        <a:p>
          <a:endParaRPr lang="es-CO"/>
        </a:p>
      </dgm:t>
    </dgm:pt>
    <dgm:pt modelId="{E26517BC-3999-46D6-BB8F-2CA486374CB0}" type="pres">
      <dgm:prSet presAssocID="{63067E87-FD27-435F-BC42-72CD6BCEDB0A}" presName="parTxOnlySpace" presStyleCnt="0"/>
      <dgm:spPr/>
    </dgm:pt>
    <dgm:pt modelId="{79CDF2F4-3CF8-4809-B7DC-2305571BF4A9}" type="pres">
      <dgm:prSet presAssocID="{0E03A24D-E8A7-4CA1-A60E-91D802D8640B}" presName="parTxOnly" presStyleLbl="node1" presStyleIdx="2" presStyleCnt="3">
        <dgm:presLayoutVars>
          <dgm:chMax val="0"/>
          <dgm:chPref val="0"/>
          <dgm:bulletEnabled val="1"/>
        </dgm:presLayoutVars>
      </dgm:prSet>
      <dgm:spPr>
        <a:prstGeom prst="chevron">
          <a:avLst/>
        </a:prstGeom>
      </dgm:spPr>
      <dgm:t>
        <a:bodyPr/>
        <a:lstStyle/>
        <a:p>
          <a:endParaRPr lang="es-CO"/>
        </a:p>
      </dgm:t>
    </dgm:pt>
  </dgm:ptLst>
  <dgm:cxnLst>
    <dgm:cxn modelId="{9F24C7A9-6C20-4878-92E1-72590A9821AA}" type="presOf" srcId="{0E03A24D-E8A7-4CA1-A60E-91D802D8640B}" destId="{79CDF2F4-3CF8-4809-B7DC-2305571BF4A9}" srcOrd="0" destOrd="0" presId="urn:microsoft.com/office/officeart/2005/8/layout/chevron1"/>
    <dgm:cxn modelId="{F4D7A028-2393-43EC-BDC6-B017709CE435}" type="presOf" srcId="{54BA475B-891A-4FB0-A935-90121704FD03}" destId="{316240E3-CFD2-4C97-979D-80E13CCF4C9F}" srcOrd="0" destOrd="0" presId="urn:microsoft.com/office/officeart/2005/8/layout/chevron1"/>
    <dgm:cxn modelId="{EE469017-5651-4D52-ACB7-E404E7FF0CB2}" srcId="{B4321571-44FF-4769-A864-D941A1F8CCA7}" destId="{0E03A24D-E8A7-4CA1-A60E-91D802D8640B}" srcOrd="2" destOrd="0" parTransId="{3960B858-B4F8-40F7-8D6B-0A62ED460418}" sibTransId="{87BB84CD-045D-466D-B719-FE6B583F04AA}"/>
    <dgm:cxn modelId="{B2C09265-F89F-47D4-918C-3093E763F26E}" type="presOf" srcId="{82985A61-9BBF-44E0-B2F7-1839F9F93FE8}" destId="{9F3E9243-5897-41ED-AFA3-3E973EF050C7}" srcOrd="0" destOrd="0" presId="urn:microsoft.com/office/officeart/2005/8/layout/chevron1"/>
    <dgm:cxn modelId="{9384C258-CA06-4471-BE16-7A7598629BA5}" srcId="{B4321571-44FF-4769-A864-D941A1F8CCA7}" destId="{54BA475B-891A-4FB0-A935-90121704FD03}" srcOrd="1" destOrd="0" parTransId="{88246667-0668-4628-85D8-740EF245F34B}" sibTransId="{63067E87-FD27-435F-BC42-72CD6BCEDB0A}"/>
    <dgm:cxn modelId="{E3AD7526-988F-4CF0-BBD6-39394D07B5C1}" srcId="{B4321571-44FF-4769-A864-D941A1F8CCA7}" destId="{82985A61-9BBF-44E0-B2F7-1839F9F93FE8}" srcOrd="0" destOrd="0" parTransId="{49569400-240A-4F6B-88AF-509D89889212}" sibTransId="{C2A4EB11-1809-488E-91DF-8E3836F7E5BA}"/>
    <dgm:cxn modelId="{BFEF2D8F-6FDA-4735-9906-F3874DB5BBF9}" type="presOf" srcId="{B4321571-44FF-4769-A864-D941A1F8CCA7}" destId="{5222AAC5-793B-4D13-8691-61C5BEE4CCE8}" srcOrd="0" destOrd="0" presId="urn:microsoft.com/office/officeart/2005/8/layout/chevron1"/>
    <dgm:cxn modelId="{09CCAB49-1B14-4264-83B2-562B4AAECC55}" type="presParOf" srcId="{5222AAC5-793B-4D13-8691-61C5BEE4CCE8}" destId="{9F3E9243-5897-41ED-AFA3-3E973EF050C7}" srcOrd="0" destOrd="0" presId="urn:microsoft.com/office/officeart/2005/8/layout/chevron1"/>
    <dgm:cxn modelId="{85825D04-60CE-49F6-BB92-39A5223CE548}" type="presParOf" srcId="{5222AAC5-793B-4D13-8691-61C5BEE4CCE8}" destId="{980A42BC-C928-456D-BA5C-993E7DFFC844}" srcOrd="1" destOrd="0" presId="urn:microsoft.com/office/officeart/2005/8/layout/chevron1"/>
    <dgm:cxn modelId="{9E943086-9AE9-4138-B551-BA0AACC20DF4}" type="presParOf" srcId="{5222AAC5-793B-4D13-8691-61C5BEE4CCE8}" destId="{316240E3-CFD2-4C97-979D-80E13CCF4C9F}" srcOrd="2" destOrd="0" presId="urn:microsoft.com/office/officeart/2005/8/layout/chevron1"/>
    <dgm:cxn modelId="{7D07FCC9-DAC8-4999-BBF3-8A50110FD881}" type="presParOf" srcId="{5222AAC5-793B-4D13-8691-61C5BEE4CCE8}" destId="{E26517BC-3999-46D6-BB8F-2CA486374CB0}" srcOrd="3" destOrd="0" presId="urn:microsoft.com/office/officeart/2005/8/layout/chevron1"/>
    <dgm:cxn modelId="{49149F2F-F0C4-4F78-A936-0ABF16BE34EA}" type="presParOf" srcId="{5222AAC5-793B-4D13-8691-61C5BEE4CCE8}" destId="{79CDF2F4-3CF8-4809-B7DC-2305571BF4A9}" srcOrd="4"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FBA928-AA12-4962-8677-6EA43317C83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s-CO"/>
        </a:p>
      </dgm:t>
    </dgm:pt>
    <dgm:pt modelId="{43F94C70-B297-40FC-A445-5804788E168A}">
      <dgm:prSet phldrT="[Texto]" custT="1">
        <dgm:style>
          <a:lnRef idx="2">
            <a:schemeClr val="accent6"/>
          </a:lnRef>
          <a:fillRef idx="1">
            <a:schemeClr val="lt1"/>
          </a:fillRef>
          <a:effectRef idx="0">
            <a:schemeClr val="accent6"/>
          </a:effectRef>
          <a:fontRef idx="minor">
            <a:schemeClr val="dk1"/>
          </a:fontRef>
        </dgm:style>
      </dgm:prSet>
      <dgm:spPr>
        <a:xfrm>
          <a:off x="136856" y="183154"/>
          <a:ext cx="1209539" cy="592440"/>
        </a:xfrm>
        <a:solidFill>
          <a:sysClr val="window" lastClr="FFFFFF"/>
        </a:solidFill>
        <a:ln w="25400" cap="flat" cmpd="sng" algn="ctr">
          <a:solidFill>
            <a:schemeClr val="tx2">
              <a:lumMod val="40000"/>
              <a:lumOff val="60000"/>
            </a:schemeClr>
          </a:solidFill>
          <a:prstDash val="solid"/>
        </a:ln>
        <a:effectLst/>
      </dgm:spPr>
      <dgm:t>
        <a:bodyPr/>
        <a:lstStyle/>
        <a:p>
          <a:r>
            <a:rPr lang="es-CO" sz="1100">
              <a:solidFill>
                <a:sysClr val="windowText" lastClr="000000"/>
              </a:solidFill>
              <a:latin typeface="Arial" panose="020B0604020202020204" pitchFamily="34" charset="0"/>
              <a:ea typeface="+mn-ea"/>
              <a:cs typeface="Arial" panose="020B0604020202020204" pitchFamily="34" charset="0"/>
            </a:rPr>
            <a:t>Cumplimiento 2015-2016</a:t>
          </a:r>
        </a:p>
      </dgm:t>
    </dgm:pt>
    <dgm:pt modelId="{54578909-16F5-47A4-983D-684711946448}" type="parTrans" cxnId="{0527E95C-8DB2-4EBA-A105-F2335DB358F6}">
      <dgm:prSet/>
      <dgm:spPr/>
      <dgm:t>
        <a:bodyPr/>
        <a:lstStyle/>
        <a:p>
          <a:endParaRPr lang="es-CO"/>
        </a:p>
      </dgm:t>
    </dgm:pt>
    <dgm:pt modelId="{67F0EC0E-AACD-4EBC-AADE-EA20FF5B183F}" type="sibTrans" cxnId="{0527E95C-8DB2-4EBA-A105-F2335DB358F6}">
      <dgm:prSet/>
      <dgm:spPr/>
      <dgm:t>
        <a:bodyPr/>
        <a:lstStyle/>
        <a:p>
          <a:endParaRPr lang="es-CO"/>
        </a:p>
      </dgm:t>
    </dgm:pt>
    <dgm:pt modelId="{5D7F877C-D54D-4F1F-9C6C-DE6D6129D380}">
      <dgm:prSet phldrT="[Texto]" custT="1">
        <dgm:style>
          <a:lnRef idx="2">
            <a:schemeClr val="accent6"/>
          </a:lnRef>
          <a:fillRef idx="1">
            <a:schemeClr val="lt1"/>
          </a:fillRef>
          <a:effectRef idx="0">
            <a:schemeClr val="accent6"/>
          </a:effectRef>
          <a:fontRef idx="minor">
            <a:schemeClr val="dk1"/>
          </a:fontRef>
        </dgm:style>
      </dgm:prSet>
      <dgm:spPr>
        <a:xfrm>
          <a:off x="1059689" y="983761"/>
          <a:ext cx="905627" cy="355747"/>
        </a:xfrm>
        <a:solidFill>
          <a:sysClr val="window" lastClr="FFFFFF"/>
        </a:solidFill>
        <a:ln w="25400" cap="flat" cmpd="sng" algn="ctr">
          <a:solidFill>
            <a:schemeClr val="tx2">
              <a:lumMod val="40000"/>
              <a:lumOff val="60000"/>
            </a:schemeClr>
          </a:solidFill>
          <a:prstDash val="solid"/>
        </a:ln>
        <a:effectLst/>
      </dgm:spPr>
      <dgm:t>
        <a:bodyPr/>
        <a:lstStyle/>
        <a:p>
          <a:r>
            <a:rPr lang="es-CO" sz="1200">
              <a:solidFill>
                <a:sysClr val="windowText" lastClr="000000"/>
              </a:solidFill>
              <a:latin typeface="Arial" panose="020B0604020202020204" pitchFamily="34" charset="0"/>
              <a:ea typeface="+mn-ea"/>
              <a:cs typeface="Arial" panose="020B0604020202020204" pitchFamily="34" charset="0"/>
            </a:rPr>
            <a:t>95.0%</a:t>
          </a:r>
        </a:p>
      </dgm:t>
    </dgm:pt>
    <dgm:pt modelId="{83080CC3-8DF5-431F-95BF-2CD1A4023C93}" type="parTrans" cxnId="{2DC5F045-CB03-4521-9B5B-F18D8177D8FB}">
      <dgm:prSet/>
      <dgm:spPr/>
      <dgm:t>
        <a:bodyPr/>
        <a:lstStyle/>
        <a:p>
          <a:endParaRPr lang="es-CO"/>
        </a:p>
      </dgm:t>
    </dgm:pt>
    <dgm:pt modelId="{2013C666-76C3-4438-94F5-59137E0E1BCC}" type="sibTrans" cxnId="{2DC5F045-CB03-4521-9B5B-F18D8177D8FB}">
      <dgm:prSet/>
      <dgm:spPr/>
      <dgm:t>
        <a:bodyPr/>
        <a:lstStyle/>
        <a:p>
          <a:endParaRPr lang="es-CO"/>
        </a:p>
      </dgm:t>
    </dgm:pt>
    <dgm:pt modelId="{4A9A938B-C5E9-4999-A1B8-59F09E065B70}" type="pres">
      <dgm:prSet presAssocID="{9AFBA928-AA12-4962-8677-6EA43317C834}" presName="rootnode" presStyleCnt="0">
        <dgm:presLayoutVars>
          <dgm:chMax/>
          <dgm:chPref/>
          <dgm:dir/>
          <dgm:animLvl val="lvl"/>
        </dgm:presLayoutVars>
      </dgm:prSet>
      <dgm:spPr/>
      <dgm:t>
        <a:bodyPr/>
        <a:lstStyle/>
        <a:p>
          <a:endParaRPr lang="es-CO"/>
        </a:p>
      </dgm:t>
    </dgm:pt>
    <dgm:pt modelId="{19BBAE85-F5D7-440C-8964-529A844A02A4}" type="pres">
      <dgm:prSet presAssocID="{43F94C70-B297-40FC-A445-5804788E168A}" presName="composite" presStyleCnt="0"/>
      <dgm:spPr/>
    </dgm:pt>
    <dgm:pt modelId="{84C34E9D-D068-4953-9859-32109B6D6646}" type="pres">
      <dgm:prSet presAssocID="{43F94C70-B297-40FC-A445-5804788E168A}" presName="bentUpArrow1" presStyleLbl="alignImgPlace1" presStyleIdx="0" presStyleCnt="1" custScaleX="79237" custScaleY="76889" custLinFactNeighborX="7700" custLinFactNeighborY="-36009"/>
      <dgm:spPr>
        <a:xfrm rot="5400000">
          <a:off x="476363" y="733922"/>
          <a:ext cx="563513" cy="661130"/>
        </a:xfrm>
        <a:prstGeom prst="bentUpArrow">
          <a:avLst>
            <a:gd name="adj1" fmla="val 32840"/>
            <a:gd name="adj2" fmla="val 25000"/>
            <a:gd name="adj3" fmla="val 35780"/>
          </a:avLst>
        </a:prstGeom>
        <a:solidFill>
          <a:schemeClr val="tx2">
            <a:lumMod val="40000"/>
            <a:lumOff val="60000"/>
          </a:schemeClr>
        </a:solidFill>
        <a:ln w="25400" cap="flat" cmpd="sng" algn="ctr">
          <a:solidFill>
            <a:schemeClr val="tx2">
              <a:lumMod val="40000"/>
              <a:lumOff val="60000"/>
            </a:schemeClr>
          </a:solidFill>
          <a:prstDash val="solid"/>
        </a:ln>
        <a:effectLst/>
      </dgm:spPr>
      <dgm:t>
        <a:bodyPr/>
        <a:lstStyle/>
        <a:p>
          <a:endParaRPr lang="es-CO"/>
        </a:p>
      </dgm:t>
    </dgm:pt>
    <dgm:pt modelId="{349A25E8-F578-40AE-9EE0-49F4B45B2614}" type="pres">
      <dgm:prSet presAssocID="{43F94C70-B297-40FC-A445-5804788E168A}" presName="ParentText" presStyleLbl="node1" presStyleIdx="0" presStyleCnt="2" custScaleX="98037" custScaleY="68602">
        <dgm:presLayoutVars>
          <dgm:chMax val="1"/>
          <dgm:chPref val="1"/>
          <dgm:bulletEnabled val="1"/>
        </dgm:presLayoutVars>
      </dgm:prSet>
      <dgm:spPr>
        <a:prstGeom prst="roundRect">
          <a:avLst>
            <a:gd name="adj" fmla="val 16670"/>
          </a:avLst>
        </a:prstGeom>
      </dgm:spPr>
      <dgm:t>
        <a:bodyPr/>
        <a:lstStyle/>
        <a:p>
          <a:endParaRPr lang="es-CO"/>
        </a:p>
      </dgm:t>
    </dgm:pt>
    <dgm:pt modelId="{38DA2704-969E-4E81-9733-C777FF2E0B52}" type="pres">
      <dgm:prSet presAssocID="{43F94C70-B297-40FC-A445-5804788E168A}" presName="ChildText" presStyleLbl="revTx" presStyleIdx="0" presStyleCnt="1">
        <dgm:presLayoutVars>
          <dgm:chMax val="0"/>
          <dgm:chPref val="0"/>
          <dgm:bulletEnabled val="1"/>
        </dgm:presLayoutVars>
      </dgm:prSet>
      <dgm:spPr>
        <a:xfrm>
          <a:off x="1358505" y="134828"/>
          <a:ext cx="897318" cy="697992"/>
        </a:xfrm>
        <a:prstGeom prst="rect">
          <a:avLst/>
        </a:prstGeom>
        <a:noFill/>
        <a:ln>
          <a:noFill/>
        </a:ln>
        <a:effectLst/>
      </dgm:spPr>
    </dgm:pt>
    <dgm:pt modelId="{B7DCDB9F-9EEE-42F1-8A64-54532460C384}" type="pres">
      <dgm:prSet presAssocID="{67F0EC0E-AACD-4EBC-AADE-EA20FF5B183F}" presName="sibTrans" presStyleCnt="0"/>
      <dgm:spPr/>
    </dgm:pt>
    <dgm:pt modelId="{96F118A3-89C7-40DB-BA1B-1BEA1B170A10}" type="pres">
      <dgm:prSet presAssocID="{5D7F877C-D54D-4F1F-9C6C-DE6D6129D380}" presName="composite" presStyleCnt="0"/>
      <dgm:spPr/>
    </dgm:pt>
    <dgm:pt modelId="{4BDC033F-25E1-45B0-9C3B-997BB80C06EC}" type="pres">
      <dgm:prSet presAssocID="{5D7F877C-D54D-4F1F-9C6C-DE6D6129D380}" presName="ParentText" presStyleLbl="node1" presStyleIdx="1" presStyleCnt="2" custScaleX="73404" custScaleY="41194" custLinFactNeighborX="-7641" custLinFactNeighborY="4250">
        <dgm:presLayoutVars>
          <dgm:chMax val="1"/>
          <dgm:chPref val="1"/>
          <dgm:bulletEnabled val="1"/>
        </dgm:presLayoutVars>
      </dgm:prSet>
      <dgm:spPr>
        <a:prstGeom prst="roundRect">
          <a:avLst>
            <a:gd name="adj" fmla="val 16670"/>
          </a:avLst>
        </a:prstGeom>
      </dgm:spPr>
      <dgm:t>
        <a:bodyPr/>
        <a:lstStyle/>
        <a:p>
          <a:endParaRPr lang="es-CO"/>
        </a:p>
      </dgm:t>
    </dgm:pt>
  </dgm:ptLst>
  <dgm:cxnLst>
    <dgm:cxn modelId="{0527E95C-8DB2-4EBA-A105-F2335DB358F6}" srcId="{9AFBA928-AA12-4962-8677-6EA43317C834}" destId="{43F94C70-B297-40FC-A445-5804788E168A}" srcOrd="0" destOrd="0" parTransId="{54578909-16F5-47A4-983D-684711946448}" sibTransId="{67F0EC0E-AACD-4EBC-AADE-EA20FF5B183F}"/>
    <dgm:cxn modelId="{1876D623-DF41-41FE-A0BF-F63FD7F8B0D3}" type="presOf" srcId="{43F94C70-B297-40FC-A445-5804788E168A}" destId="{349A25E8-F578-40AE-9EE0-49F4B45B2614}" srcOrd="0" destOrd="0" presId="urn:microsoft.com/office/officeart/2005/8/layout/StepDownProcess"/>
    <dgm:cxn modelId="{9D5D542E-1F41-4952-AA31-A546C743867D}" type="presOf" srcId="{5D7F877C-D54D-4F1F-9C6C-DE6D6129D380}" destId="{4BDC033F-25E1-45B0-9C3B-997BB80C06EC}" srcOrd="0" destOrd="0" presId="urn:microsoft.com/office/officeart/2005/8/layout/StepDownProcess"/>
    <dgm:cxn modelId="{2DC5F045-CB03-4521-9B5B-F18D8177D8FB}" srcId="{9AFBA928-AA12-4962-8677-6EA43317C834}" destId="{5D7F877C-D54D-4F1F-9C6C-DE6D6129D380}" srcOrd="1" destOrd="0" parTransId="{83080CC3-8DF5-431F-95BF-2CD1A4023C93}" sibTransId="{2013C666-76C3-4438-94F5-59137E0E1BCC}"/>
    <dgm:cxn modelId="{75555FAC-72BA-4113-8CD6-2B995546045E}" type="presOf" srcId="{9AFBA928-AA12-4962-8677-6EA43317C834}" destId="{4A9A938B-C5E9-4999-A1B8-59F09E065B70}" srcOrd="0" destOrd="0" presId="urn:microsoft.com/office/officeart/2005/8/layout/StepDownProcess"/>
    <dgm:cxn modelId="{2233C35E-8A7B-4C0A-8781-1C18E5FA1B90}" type="presParOf" srcId="{4A9A938B-C5E9-4999-A1B8-59F09E065B70}" destId="{19BBAE85-F5D7-440C-8964-529A844A02A4}" srcOrd="0" destOrd="0" presId="urn:microsoft.com/office/officeart/2005/8/layout/StepDownProcess"/>
    <dgm:cxn modelId="{AA48DC76-9F01-4CD4-8F81-C3E50AA6B79F}" type="presParOf" srcId="{19BBAE85-F5D7-440C-8964-529A844A02A4}" destId="{84C34E9D-D068-4953-9859-32109B6D6646}" srcOrd="0" destOrd="0" presId="urn:microsoft.com/office/officeart/2005/8/layout/StepDownProcess"/>
    <dgm:cxn modelId="{90018A16-ABCF-40E7-B0B2-55762F8E45AA}" type="presParOf" srcId="{19BBAE85-F5D7-440C-8964-529A844A02A4}" destId="{349A25E8-F578-40AE-9EE0-49F4B45B2614}" srcOrd="1" destOrd="0" presId="urn:microsoft.com/office/officeart/2005/8/layout/StepDownProcess"/>
    <dgm:cxn modelId="{978E7E30-50BE-4BD1-9B7B-1828D47DF30B}" type="presParOf" srcId="{19BBAE85-F5D7-440C-8964-529A844A02A4}" destId="{38DA2704-969E-4E81-9733-C777FF2E0B52}" srcOrd="2" destOrd="0" presId="urn:microsoft.com/office/officeart/2005/8/layout/StepDownProcess"/>
    <dgm:cxn modelId="{20683E14-3EAF-40B9-8AA2-697E144B1502}" type="presParOf" srcId="{4A9A938B-C5E9-4999-A1B8-59F09E065B70}" destId="{B7DCDB9F-9EEE-42F1-8A64-54532460C384}" srcOrd="1" destOrd="0" presId="urn:microsoft.com/office/officeart/2005/8/layout/StepDownProcess"/>
    <dgm:cxn modelId="{FC3171CA-2D12-491F-B453-40DF78D0EF22}" type="presParOf" srcId="{4A9A938B-C5E9-4999-A1B8-59F09E065B70}" destId="{96F118A3-89C7-40DB-BA1B-1BEA1B170A10}" srcOrd="2" destOrd="0" presId="urn:microsoft.com/office/officeart/2005/8/layout/StepDownProcess"/>
    <dgm:cxn modelId="{69F24573-B8E4-4FFF-A058-4B92D5F9099B}" type="presParOf" srcId="{96F118A3-89C7-40DB-BA1B-1BEA1B170A10}" destId="{4BDC033F-25E1-45B0-9C3B-997BB80C06EC}" srcOrd="0" destOrd="0" presId="urn:microsoft.com/office/officeart/2005/8/layout/StepDownProcess"/>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AFBA928-AA12-4962-8677-6EA43317C83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s-CO"/>
        </a:p>
      </dgm:t>
    </dgm:pt>
    <dgm:pt modelId="{43F94C70-B297-40FC-A445-5804788E168A}">
      <dgm:prSet phldrT="[Texto]" custT="1">
        <dgm:style>
          <a:lnRef idx="2">
            <a:schemeClr val="accent6"/>
          </a:lnRef>
          <a:fillRef idx="1">
            <a:schemeClr val="lt1"/>
          </a:fillRef>
          <a:effectRef idx="0">
            <a:schemeClr val="accent6"/>
          </a:effectRef>
          <a:fontRef idx="minor">
            <a:schemeClr val="dk1"/>
          </a:fontRef>
        </dgm:style>
      </dgm:prSet>
      <dgm:spPr>
        <a:xfrm>
          <a:off x="177000" y="180155"/>
          <a:ext cx="1079505" cy="582738"/>
        </a:xfrm>
        <a:solidFill>
          <a:sysClr val="window" lastClr="FFFFFF"/>
        </a:solidFill>
        <a:ln w="25400" cap="flat" cmpd="sng" algn="ctr">
          <a:solidFill>
            <a:srgbClr val="92D050"/>
          </a:solidFill>
          <a:prstDash val="solid"/>
        </a:ln>
        <a:effectLst/>
      </dgm:spPr>
      <dgm:t>
        <a:bodyPr/>
        <a:lstStyle/>
        <a:p>
          <a:pPr algn="ctr"/>
          <a:r>
            <a:rPr lang="es-CO" sz="1100">
              <a:solidFill>
                <a:sysClr val="windowText" lastClr="000000"/>
              </a:solidFill>
              <a:latin typeface="Arial" panose="020B0604020202020204" pitchFamily="34" charset="0"/>
              <a:ea typeface="+mn-ea"/>
              <a:cs typeface="Arial" panose="020B0604020202020204" pitchFamily="34" charset="0"/>
            </a:rPr>
            <a:t>Avance PM 2015-2016</a:t>
          </a:r>
        </a:p>
      </dgm:t>
    </dgm:pt>
    <dgm:pt modelId="{54578909-16F5-47A4-983D-684711946448}" type="parTrans" cxnId="{0527E95C-8DB2-4EBA-A105-F2335DB358F6}">
      <dgm:prSet/>
      <dgm:spPr/>
      <dgm:t>
        <a:bodyPr/>
        <a:lstStyle/>
        <a:p>
          <a:pPr algn="ctr"/>
          <a:endParaRPr lang="es-CO" sz="1400">
            <a:latin typeface="Arial" panose="020B0604020202020204" pitchFamily="34" charset="0"/>
            <a:cs typeface="Arial" panose="020B0604020202020204" pitchFamily="34" charset="0"/>
          </a:endParaRPr>
        </a:p>
      </dgm:t>
    </dgm:pt>
    <dgm:pt modelId="{67F0EC0E-AACD-4EBC-AADE-EA20FF5B183F}" type="sibTrans" cxnId="{0527E95C-8DB2-4EBA-A105-F2335DB358F6}">
      <dgm:prSet/>
      <dgm:spPr/>
      <dgm:t>
        <a:bodyPr/>
        <a:lstStyle/>
        <a:p>
          <a:pPr algn="ctr"/>
          <a:endParaRPr lang="es-CO" sz="1400">
            <a:latin typeface="Arial" panose="020B0604020202020204" pitchFamily="34" charset="0"/>
            <a:cs typeface="Arial" panose="020B0604020202020204" pitchFamily="34" charset="0"/>
          </a:endParaRPr>
        </a:p>
      </dgm:t>
    </dgm:pt>
    <dgm:pt modelId="{5D7F877C-D54D-4F1F-9C6C-DE6D6129D380}">
      <dgm:prSet phldrT="[Texto]" custT="1">
        <dgm:style>
          <a:lnRef idx="2">
            <a:schemeClr val="accent6"/>
          </a:lnRef>
          <a:fillRef idx="1">
            <a:schemeClr val="lt1"/>
          </a:fillRef>
          <a:effectRef idx="0">
            <a:schemeClr val="accent6"/>
          </a:effectRef>
          <a:fontRef idx="minor">
            <a:schemeClr val="dk1"/>
          </a:fontRef>
        </dgm:style>
      </dgm:prSet>
      <dgm:spPr>
        <a:xfrm>
          <a:off x="1050766" y="945167"/>
          <a:ext cx="890797" cy="349921"/>
        </a:xfrm>
        <a:solidFill>
          <a:sysClr val="window" lastClr="FFFFFF"/>
        </a:solidFill>
        <a:ln w="25400" cap="flat" cmpd="sng" algn="ctr">
          <a:solidFill>
            <a:srgbClr val="92D050"/>
          </a:solidFill>
          <a:prstDash val="solid"/>
        </a:ln>
        <a:effectLst/>
      </dgm:spPr>
      <dgm:t>
        <a:bodyPr/>
        <a:lstStyle/>
        <a:p>
          <a:pPr algn="ctr"/>
          <a:r>
            <a:rPr lang="es-CO" sz="1200">
              <a:solidFill>
                <a:sysClr val="windowText" lastClr="000000"/>
              </a:solidFill>
              <a:latin typeface="Arial" panose="020B0604020202020204" pitchFamily="34" charset="0"/>
              <a:ea typeface="+mn-ea"/>
              <a:cs typeface="Arial" panose="020B0604020202020204" pitchFamily="34" charset="0"/>
            </a:rPr>
            <a:t>79.5%</a:t>
          </a:r>
        </a:p>
      </dgm:t>
    </dgm:pt>
    <dgm:pt modelId="{83080CC3-8DF5-431F-95BF-2CD1A4023C93}" type="parTrans" cxnId="{2DC5F045-CB03-4521-9B5B-F18D8177D8FB}">
      <dgm:prSet/>
      <dgm:spPr/>
      <dgm:t>
        <a:bodyPr/>
        <a:lstStyle/>
        <a:p>
          <a:pPr algn="ctr"/>
          <a:endParaRPr lang="es-CO" sz="1400">
            <a:latin typeface="Arial" panose="020B0604020202020204" pitchFamily="34" charset="0"/>
            <a:cs typeface="Arial" panose="020B0604020202020204" pitchFamily="34" charset="0"/>
          </a:endParaRPr>
        </a:p>
      </dgm:t>
    </dgm:pt>
    <dgm:pt modelId="{2013C666-76C3-4438-94F5-59137E0E1BCC}" type="sibTrans" cxnId="{2DC5F045-CB03-4521-9B5B-F18D8177D8FB}">
      <dgm:prSet/>
      <dgm:spPr/>
      <dgm:t>
        <a:bodyPr/>
        <a:lstStyle/>
        <a:p>
          <a:pPr algn="ctr"/>
          <a:endParaRPr lang="es-CO" sz="1400">
            <a:latin typeface="Arial" panose="020B0604020202020204" pitchFamily="34" charset="0"/>
            <a:cs typeface="Arial" panose="020B0604020202020204" pitchFamily="34" charset="0"/>
          </a:endParaRPr>
        </a:p>
      </dgm:t>
    </dgm:pt>
    <dgm:pt modelId="{4A9A938B-C5E9-4999-A1B8-59F09E065B70}" type="pres">
      <dgm:prSet presAssocID="{9AFBA928-AA12-4962-8677-6EA43317C834}" presName="rootnode" presStyleCnt="0">
        <dgm:presLayoutVars>
          <dgm:chMax/>
          <dgm:chPref/>
          <dgm:dir/>
          <dgm:animLvl val="lvl"/>
        </dgm:presLayoutVars>
      </dgm:prSet>
      <dgm:spPr/>
      <dgm:t>
        <a:bodyPr/>
        <a:lstStyle/>
        <a:p>
          <a:endParaRPr lang="es-CO"/>
        </a:p>
      </dgm:t>
    </dgm:pt>
    <dgm:pt modelId="{19BBAE85-F5D7-440C-8964-529A844A02A4}" type="pres">
      <dgm:prSet presAssocID="{43F94C70-B297-40FC-A445-5804788E168A}" presName="composite" presStyleCnt="0"/>
      <dgm:spPr/>
    </dgm:pt>
    <dgm:pt modelId="{84C34E9D-D068-4953-9859-32109B6D6646}" type="pres">
      <dgm:prSet presAssocID="{43F94C70-B297-40FC-A445-5804788E168A}" presName="bentUpArrow1" presStyleLbl="alignImgPlace1" presStyleIdx="0" presStyleCnt="1" custScaleX="79237" custScaleY="76889" custLinFactNeighborX="7700" custLinFactNeighborY="-36009"/>
      <dgm:spPr>
        <a:xfrm rot="5400000">
          <a:off x="455834" y="721904"/>
          <a:ext cx="554285" cy="650304"/>
        </a:xfrm>
        <a:prstGeom prst="bentUpArrow">
          <a:avLst>
            <a:gd name="adj1" fmla="val 32840"/>
            <a:gd name="adj2" fmla="val 25000"/>
            <a:gd name="adj3" fmla="val 3578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endParaRPr lang="es-CO"/>
        </a:p>
      </dgm:t>
    </dgm:pt>
    <dgm:pt modelId="{349A25E8-F578-40AE-9EE0-49F4B45B2614}" type="pres">
      <dgm:prSet presAssocID="{43F94C70-B297-40FC-A445-5804788E168A}" presName="ParentText" presStyleLbl="node1" presStyleIdx="0" presStyleCnt="2" custScaleX="88954" custScaleY="68602">
        <dgm:presLayoutVars>
          <dgm:chMax val="1"/>
          <dgm:chPref val="1"/>
          <dgm:bulletEnabled val="1"/>
        </dgm:presLayoutVars>
      </dgm:prSet>
      <dgm:spPr>
        <a:prstGeom prst="roundRect">
          <a:avLst>
            <a:gd name="adj" fmla="val 16670"/>
          </a:avLst>
        </a:prstGeom>
      </dgm:spPr>
      <dgm:t>
        <a:bodyPr/>
        <a:lstStyle/>
        <a:p>
          <a:endParaRPr lang="es-CO"/>
        </a:p>
      </dgm:t>
    </dgm:pt>
    <dgm:pt modelId="{38DA2704-969E-4E81-9733-C777FF2E0B52}" type="pres">
      <dgm:prSet presAssocID="{43F94C70-B297-40FC-A445-5804788E168A}" presName="ChildText" presStyleLbl="revTx" presStyleIdx="0" presStyleCnt="1">
        <dgm:presLayoutVars>
          <dgm:chMax val="0"/>
          <dgm:chPref val="0"/>
          <dgm:bulletEnabled val="1"/>
        </dgm:presLayoutVars>
      </dgm:prSet>
      <dgm:spPr>
        <a:xfrm>
          <a:off x="1323530" y="132620"/>
          <a:ext cx="882623" cy="686562"/>
        </a:xfrm>
        <a:prstGeom prst="rect">
          <a:avLst/>
        </a:prstGeom>
        <a:noFill/>
        <a:ln>
          <a:noFill/>
        </a:ln>
        <a:effectLst/>
      </dgm:spPr>
    </dgm:pt>
    <dgm:pt modelId="{B7DCDB9F-9EEE-42F1-8A64-54532460C384}" type="pres">
      <dgm:prSet presAssocID="{67F0EC0E-AACD-4EBC-AADE-EA20FF5B183F}" presName="sibTrans" presStyleCnt="0"/>
      <dgm:spPr/>
    </dgm:pt>
    <dgm:pt modelId="{96F118A3-89C7-40DB-BA1B-1BEA1B170A10}" type="pres">
      <dgm:prSet presAssocID="{5D7F877C-D54D-4F1F-9C6C-DE6D6129D380}" presName="composite" presStyleCnt="0"/>
      <dgm:spPr/>
    </dgm:pt>
    <dgm:pt modelId="{4BDC033F-25E1-45B0-9C3B-997BB80C06EC}" type="pres">
      <dgm:prSet presAssocID="{5D7F877C-D54D-4F1F-9C6C-DE6D6129D380}" presName="ParentText" presStyleLbl="node1" presStyleIdx="1" presStyleCnt="2" custScaleX="73404" custScaleY="41194" custLinFactNeighborX="-8259" custLinFactNeighborY="1603">
        <dgm:presLayoutVars>
          <dgm:chMax val="1"/>
          <dgm:chPref val="1"/>
          <dgm:bulletEnabled val="1"/>
        </dgm:presLayoutVars>
      </dgm:prSet>
      <dgm:spPr>
        <a:prstGeom prst="roundRect">
          <a:avLst>
            <a:gd name="adj" fmla="val 16670"/>
          </a:avLst>
        </a:prstGeom>
      </dgm:spPr>
      <dgm:t>
        <a:bodyPr/>
        <a:lstStyle/>
        <a:p>
          <a:endParaRPr lang="es-CO"/>
        </a:p>
      </dgm:t>
    </dgm:pt>
  </dgm:ptLst>
  <dgm:cxnLst>
    <dgm:cxn modelId="{0527E95C-8DB2-4EBA-A105-F2335DB358F6}" srcId="{9AFBA928-AA12-4962-8677-6EA43317C834}" destId="{43F94C70-B297-40FC-A445-5804788E168A}" srcOrd="0" destOrd="0" parTransId="{54578909-16F5-47A4-983D-684711946448}" sibTransId="{67F0EC0E-AACD-4EBC-AADE-EA20FF5B183F}"/>
    <dgm:cxn modelId="{958319C4-F043-4844-AD84-74BA7829BAFD}" type="presOf" srcId="{5D7F877C-D54D-4F1F-9C6C-DE6D6129D380}" destId="{4BDC033F-25E1-45B0-9C3B-997BB80C06EC}" srcOrd="0" destOrd="0" presId="urn:microsoft.com/office/officeart/2005/8/layout/StepDownProcess"/>
    <dgm:cxn modelId="{23833068-3CA3-4BA8-93E0-C7010D26DB77}" type="presOf" srcId="{9AFBA928-AA12-4962-8677-6EA43317C834}" destId="{4A9A938B-C5E9-4999-A1B8-59F09E065B70}" srcOrd="0" destOrd="0" presId="urn:microsoft.com/office/officeart/2005/8/layout/StepDownProcess"/>
    <dgm:cxn modelId="{BF9AC9C6-8823-4E4C-9F96-5C5C85C7D955}" type="presOf" srcId="{43F94C70-B297-40FC-A445-5804788E168A}" destId="{349A25E8-F578-40AE-9EE0-49F4B45B2614}" srcOrd="0" destOrd="0" presId="urn:microsoft.com/office/officeart/2005/8/layout/StepDownProcess"/>
    <dgm:cxn modelId="{2DC5F045-CB03-4521-9B5B-F18D8177D8FB}" srcId="{9AFBA928-AA12-4962-8677-6EA43317C834}" destId="{5D7F877C-D54D-4F1F-9C6C-DE6D6129D380}" srcOrd="1" destOrd="0" parTransId="{83080CC3-8DF5-431F-95BF-2CD1A4023C93}" sibTransId="{2013C666-76C3-4438-94F5-59137E0E1BCC}"/>
    <dgm:cxn modelId="{6355F81D-6877-4CF4-8F81-4084BCEDE35C}" type="presParOf" srcId="{4A9A938B-C5E9-4999-A1B8-59F09E065B70}" destId="{19BBAE85-F5D7-440C-8964-529A844A02A4}" srcOrd="0" destOrd="0" presId="urn:microsoft.com/office/officeart/2005/8/layout/StepDownProcess"/>
    <dgm:cxn modelId="{90C2C7F2-1895-4CB3-823F-02A23C5EF7CF}" type="presParOf" srcId="{19BBAE85-F5D7-440C-8964-529A844A02A4}" destId="{84C34E9D-D068-4953-9859-32109B6D6646}" srcOrd="0" destOrd="0" presId="urn:microsoft.com/office/officeart/2005/8/layout/StepDownProcess"/>
    <dgm:cxn modelId="{DDD02166-74D4-45B2-9DCE-4693F3467537}" type="presParOf" srcId="{19BBAE85-F5D7-440C-8964-529A844A02A4}" destId="{349A25E8-F578-40AE-9EE0-49F4B45B2614}" srcOrd="1" destOrd="0" presId="urn:microsoft.com/office/officeart/2005/8/layout/StepDownProcess"/>
    <dgm:cxn modelId="{603D9EEF-6547-43B9-88A1-9D419303E316}" type="presParOf" srcId="{19BBAE85-F5D7-440C-8964-529A844A02A4}" destId="{38DA2704-969E-4E81-9733-C777FF2E0B52}" srcOrd="2" destOrd="0" presId="urn:microsoft.com/office/officeart/2005/8/layout/StepDownProcess"/>
    <dgm:cxn modelId="{E4E32CF1-3902-4754-B2F6-522E73E409CC}" type="presParOf" srcId="{4A9A938B-C5E9-4999-A1B8-59F09E065B70}" destId="{B7DCDB9F-9EEE-42F1-8A64-54532460C384}" srcOrd="1" destOrd="0" presId="urn:microsoft.com/office/officeart/2005/8/layout/StepDownProcess"/>
    <dgm:cxn modelId="{526D63CB-3EA7-4619-BBA5-9F93A944197C}" type="presParOf" srcId="{4A9A938B-C5E9-4999-A1B8-59F09E065B70}" destId="{96F118A3-89C7-40DB-BA1B-1BEA1B170A10}" srcOrd="2" destOrd="0" presId="urn:microsoft.com/office/officeart/2005/8/layout/StepDownProcess"/>
    <dgm:cxn modelId="{3325E56C-4B35-43E6-8712-E6D25B4F99B8}" type="presParOf" srcId="{96F118A3-89C7-40DB-BA1B-1BEA1B170A10}" destId="{4BDC033F-25E1-45B0-9C3B-997BB80C06EC}" srcOrd="0" destOrd="0" presId="urn:microsoft.com/office/officeart/2005/8/layout/StepDownProcess"/>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E3B36DE-27D4-456D-8504-AF89C0848466}"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s-CO"/>
        </a:p>
      </dgm:t>
    </dgm:pt>
    <dgm:pt modelId="{E05CE92A-CB82-4E8D-9B07-A07EB2EE3A38}">
      <dgm:prSet phldrT="[Texto]" custT="1"/>
      <dgm:spPr/>
      <dgm:t>
        <a:bodyPr/>
        <a:lstStyle/>
        <a:p>
          <a:pPr algn="ctr"/>
          <a:r>
            <a:rPr lang="es-CO" sz="900" b="1" dirty="0">
              <a:latin typeface="Arial" panose="020B0604020202020204" pitchFamily="34" charset="0"/>
              <a:cs typeface="Arial" panose="020B0604020202020204" pitchFamily="34" charset="0"/>
            </a:rPr>
            <a:t>Gestión de Cooperación</a:t>
          </a:r>
        </a:p>
      </dgm:t>
    </dgm:pt>
    <dgm:pt modelId="{701E1940-924F-44A2-A91A-816B49E64247}" type="parTrans" cxnId="{511DBC9C-479D-4DFA-943F-5EF646881B87}">
      <dgm:prSet/>
      <dgm:spPr/>
      <dgm:t>
        <a:bodyPr/>
        <a:lstStyle/>
        <a:p>
          <a:pPr algn="ctr"/>
          <a:endParaRPr lang="es-CO" sz="900"/>
        </a:p>
      </dgm:t>
    </dgm:pt>
    <dgm:pt modelId="{ACED31CB-9BE9-4BCB-BA00-F8D8B304DA6A}" type="sibTrans" cxnId="{511DBC9C-479D-4DFA-943F-5EF646881B87}">
      <dgm:prSet/>
      <dgm:spPr/>
      <dgm:t>
        <a:bodyPr/>
        <a:lstStyle/>
        <a:p>
          <a:pPr algn="ctr"/>
          <a:endParaRPr lang="es-CO" sz="900"/>
        </a:p>
      </dgm:t>
    </dgm:pt>
    <dgm:pt modelId="{FD7C5AE7-0FD2-4999-AAB1-E1A2CD6E4FE3}">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Gestionar la obtención de recursos de cooperación técnica y financiera</a:t>
          </a:r>
        </a:p>
      </dgm:t>
    </dgm:pt>
    <dgm:pt modelId="{95BF4958-0FF1-476D-8BDF-3AEBE015E1DA}" type="parTrans" cxnId="{1C1966F5-7896-4D31-9625-3BFB9240E642}">
      <dgm:prSet/>
      <dgm:spPr/>
      <dgm:t>
        <a:bodyPr/>
        <a:lstStyle/>
        <a:p>
          <a:pPr algn="ctr"/>
          <a:endParaRPr lang="es-CO" sz="900"/>
        </a:p>
      </dgm:t>
    </dgm:pt>
    <dgm:pt modelId="{EF835F63-9E9C-4E44-A705-1B9BC9A8E09E}" type="sibTrans" cxnId="{1C1966F5-7896-4D31-9625-3BFB9240E642}">
      <dgm:prSet/>
      <dgm:spPr/>
      <dgm:t>
        <a:bodyPr/>
        <a:lstStyle/>
        <a:p>
          <a:pPr algn="ctr"/>
          <a:endParaRPr lang="es-CO" sz="900"/>
        </a:p>
      </dgm:t>
    </dgm:pt>
    <dgm:pt modelId="{8FE47FD5-0AA4-450D-A86F-58CF0DF1708C}">
      <dgm:prSet custT="1"/>
      <dgm:spPr/>
      <dgm:t>
        <a:bodyPr/>
        <a:lstStyle/>
        <a:p>
          <a:pPr algn="ctr"/>
          <a:r>
            <a:rPr lang="es-CO" sz="900" b="1" dirty="0">
              <a:latin typeface="Arial" panose="020B0604020202020204" pitchFamily="34" charset="0"/>
              <a:cs typeface="Arial" panose="020B0604020202020204" pitchFamily="34" charset="0"/>
            </a:rPr>
            <a:t>Cooperación Sur - Sur</a:t>
          </a:r>
        </a:p>
      </dgm:t>
    </dgm:pt>
    <dgm:pt modelId="{EEB07132-6D48-483E-A2EE-3E18858A3709}" type="parTrans" cxnId="{11C6822D-C6AF-4D9C-ABA1-2BB4135DC797}">
      <dgm:prSet/>
      <dgm:spPr/>
      <dgm:t>
        <a:bodyPr/>
        <a:lstStyle/>
        <a:p>
          <a:pPr algn="ctr"/>
          <a:endParaRPr lang="es-CO" sz="900"/>
        </a:p>
      </dgm:t>
    </dgm:pt>
    <dgm:pt modelId="{CE860A53-AD66-4BFC-B6C3-3DEF74149087}" type="sibTrans" cxnId="{11C6822D-C6AF-4D9C-ABA1-2BB4135DC797}">
      <dgm:prSet/>
      <dgm:spPr/>
      <dgm:t>
        <a:bodyPr/>
        <a:lstStyle/>
        <a:p>
          <a:pPr algn="ctr"/>
          <a:endParaRPr lang="es-CO" sz="900"/>
        </a:p>
      </dgm:t>
    </dgm:pt>
    <dgm:pt modelId="{8B953AD4-F6FC-4729-B2B1-CE35C2C38C07}">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Nuevas alianzas para el apoyo a los proyectos institucionales</a:t>
          </a:r>
        </a:p>
      </dgm:t>
    </dgm:pt>
    <dgm:pt modelId="{0C4C521C-7A15-4B93-A637-BF2948B8021C}" type="parTrans" cxnId="{2862F18A-20F7-41B3-8338-003D24450577}">
      <dgm:prSet/>
      <dgm:spPr/>
      <dgm:t>
        <a:bodyPr/>
        <a:lstStyle/>
        <a:p>
          <a:pPr algn="ctr"/>
          <a:endParaRPr lang="es-CO" sz="900"/>
        </a:p>
      </dgm:t>
    </dgm:pt>
    <dgm:pt modelId="{00514122-DB30-4A92-AB74-4416471EFCAC}" type="sibTrans" cxnId="{2862F18A-20F7-41B3-8338-003D24450577}">
      <dgm:prSet/>
      <dgm:spPr/>
      <dgm:t>
        <a:bodyPr/>
        <a:lstStyle/>
        <a:p>
          <a:pPr algn="ctr"/>
          <a:endParaRPr lang="es-CO" sz="900"/>
        </a:p>
      </dgm:t>
    </dgm:pt>
    <dgm:pt modelId="{8B15CB4B-5F0E-4FBE-AD7D-9C199CAA17A2}">
      <dgm:prSet custT="1"/>
      <dgm:spPr/>
      <dgm:t>
        <a:bodyPr/>
        <a:lstStyle/>
        <a:p>
          <a:pPr algn="ctr"/>
          <a:r>
            <a:rPr lang="es-CO" sz="900" b="1" dirty="0">
              <a:latin typeface="Arial" panose="020B0604020202020204" pitchFamily="34" charset="0"/>
              <a:cs typeface="Arial" panose="020B0604020202020204" pitchFamily="34" charset="0"/>
            </a:rPr>
            <a:t>Gestión de Alianzas </a:t>
          </a:r>
        </a:p>
      </dgm:t>
    </dgm:pt>
    <dgm:pt modelId="{714889C4-271A-45F3-A520-6923213BF293}" type="parTrans" cxnId="{B6FCD7ED-91E8-4F47-8ED0-0F0583AC8CB2}">
      <dgm:prSet/>
      <dgm:spPr/>
      <dgm:t>
        <a:bodyPr/>
        <a:lstStyle/>
        <a:p>
          <a:pPr algn="ctr"/>
          <a:endParaRPr lang="es-CO" sz="900"/>
        </a:p>
      </dgm:t>
    </dgm:pt>
    <dgm:pt modelId="{28C4AA09-BDA1-4316-82A3-890335851796}" type="sibTrans" cxnId="{B6FCD7ED-91E8-4F47-8ED0-0F0583AC8CB2}">
      <dgm:prSet/>
      <dgm:spPr/>
      <dgm:t>
        <a:bodyPr/>
        <a:lstStyle/>
        <a:p>
          <a:pPr algn="ctr"/>
          <a:endParaRPr lang="es-CO" sz="900"/>
        </a:p>
      </dgm:t>
    </dgm:pt>
    <dgm:pt modelId="{27160540-3E20-4153-8649-19B400A693AB}">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Intercambios de experiencias</a:t>
          </a:r>
        </a:p>
      </dgm:t>
    </dgm:pt>
    <dgm:pt modelId="{F84B1037-1476-4657-B933-F0B54366C866}" type="parTrans" cxnId="{8464C11C-09C5-490F-AC0D-C6561AF2ABB4}">
      <dgm:prSet/>
      <dgm:spPr/>
      <dgm:t>
        <a:bodyPr/>
        <a:lstStyle/>
        <a:p>
          <a:pPr algn="ctr"/>
          <a:endParaRPr lang="es-CO" sz="900"/>
        </a:p>
      </dgm:t>
    </dgm:pt>
    <dgm:pt modelId="{E9F9D4ED-8867-4FB9-A10C-61E573BF1AAC}" type="sibTrans" cxnId="{8464C11C-09C5-490F-AC0D-C6561AF2ABB4}">
      <dgm:prSet/>
      <dgm:spPr/>
      <dgm:t>
        <a:bodyPr/>
        <a:lstStyle/>
        <a:p>
          <a:pPr algn="ctr"/>
          <a:endParaRPr lang="es-CO" sz="900"/>
        </a:p>
      </dgm:t>
    </dgm:pt>
    <dgm:pt modelId="{3455A16B-DA4C-44C6-AEEC-A9EE8E8A2F07}">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Proyectos de Cooperación Sur-Sur (Misiones Técnicas al exterior y en Colombia)</a:t>
          </a:r>
        </a:p>
      </dgm:t>
    </dgm:pt>
    <dgm:pt modelId="{895AA98E-56FA-4109-85D8-EE763C4C2CBA}" type="parTrans" cxnId="{09E50266-9BF7-4DCD-B8D1-6C379B871EDD}">
      <dgm:prSet/>
      <dgm:spPr/>
      <dgm:t>
        <a:bodyPr/>
        <a:lstStyle/>
        <a:p>
          <a:pPr algn="ctr"/>
          <a:endParaRPr lang="es-CO" sz="900"/>
        </a:p>
      </dgm:t>
    </dgm:pt>
    <dgm:pt modelId="{FB5B6E98-FFC7-478F-B18B-3F2A5C6C6480}" type="sibTrans" cxnId="{09E50266-9BF7-4DCD-B8D1-6C379B871EDD}">
      <dgm:prSet/>
      <dgm:spPr/>
      <dgm:t>
        <a:bodyPr/>
        <a:lstStyle/>
        <a:p>
          <a:pPr algn="ctr"/>
          <a:endParaRPr lang="es-CO" sz="900"/>
        </a:p>
      </dgm:t>
    </dgm:pt>
    <dgm:pt modelId="{B88C8972-B3B8-4558-8C1D-648B2564D95F}">
      <dgm:prSet custT="1"/>
      <dgm:spPr/>
      <dgm:t>
        <a:bodyPr/>
        <a:lstStyle/>
        <a:p>
          <a:pPr algn="ctr"/>
          <a:r>
            <a:rPr lang="es-CO" sz="900" b="1" dirty="0">
              <a:latin typeface="Arial" panose="020B0604020202020204" pitchFamily="34" charset="0"/>
              <a:cs typeface="Arial" panose="020B0604020202020204" pitchFamily="34" charset="0"/>
            </a:rPr>
            <a:t>Proyectos Estratégicos </a:t>
          </a:r>
        </a:p>
      </dgm:t>
    </dgm:pt>
    <dgm:pt modelId="{179509D6-5EDA-4930-A63A-D2B99E9DE19F}" type="parTrans" cxnId="{BEC75757-6CE7-4EA5-AAD2-BF7839D28CCC}">
      <dgm:prSet/>
      <dgm:spPr/>
      <dgm:t>
        <a:bodyPr/>
        <a:lstStyle/>
        <a:p>
          <a:pPr algn="ctr"/>
          <a:endParaRPr lang="es-CO" sz="900"/>
        </a:p>
      </dgm:t>
    </dgm:pt>
    <dgm:pt modelId="{2028DDED-E9DE-4AE3-B737-2ABF1E1071BE}" type="sibTrans" cxnId="{BEC75757-6CE7-4EA5-AAD2-BF7839D28CCC}">
      <dgm:prSet/>
      <dgm:spPr/>
      <dgm:t>
        <a:bodyPr/>
        <a:lstStyle/>
        <a:p>
          <a:pPr algn="ctr"/>
          <a:endParaRPr lang="es-CO" sz="900"/>
        </a:p>
      </dgm:t>
    </dgm:pt>
    <dgm:pt modelId="{F6DF4B85-AFBC-4646-9822-4C946DD0442C}">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Apoyo a la formulación de proyectos</a:t>
          </a:r>
        </a:p>
      </dgm:t>
    </dgm:pt>
    <dgm:pt modelId="{80FDD784-AA08-4160-B89B-77FEE132C42C}" type="parTrans" cxnId="{240F181F-D46A-4C19-8EF2-545615E8D1E9}">
      <dgm:prSet/>
      <dgm:spPr/>
      <dgm:t>
        <a:bodyPr/>
        <a:lstStyle/>
        <a:p>
          <a:pPr algn="ctr"/>
          <a:endParaRPr lang="es-CO" sz="900"/>
        </a:p>
      </dgm:t>
    </dgm:pt>
    <dgm:pt modelId="{5B8D2C5A-A40B-43C4-99E8-A897C38582E8}" type="sibTrans" cxnId="{240F181F-D46A-4C19-8EF2-545615E8D1E9}">
      <dgm:prSet/>
      <dgm:spPr/>
      <dgm:t>
        <a:bodyPr/>
        <a:lstStyle/>
        <a:p>
          <a:pPr algn="ctr"/>
          <a:endParaRPr lang="es-CO" sz="900"/>
        </a:p>
      </dgm:t>
    </dgm:pt>
    <dgm:pt modelId="{AE8A7852-ACE0-4743-A6ED-AC9B22BC5FA4}">
      <dgm:prSet custT="1"/>
      <dgm:spPr/>
      <dgm:t>
        <a:bodyPr/>
        <a:lstStyle/>
        <a:p>
          <a:pPr algn="ctr"/>
          <a:r>
            <a:rPr lang="es-CO" sz="900" b="1" dirty="0">
              <a:latin typeface="Arial" panose="020B0604020202020204" pitchFamily="34" charset="0"/>
              <a:cs typeface="Arial" panose="020B0604020202020204" pitchFamily="34" charset="0"/>
            </a:rPr>
            <a:t>Participación en espacios de coordinación de la cooperación</a:t>
          </a:r>
        </a:p>
      </dgm:t>
    </dgm:pt>
    <dgm:pt modelId="{E4D8BC28-8541-4E56-8380-38E37A0F4C0C}" type="parTrans" cxnId="{45D3B89D-8C56-4099-86CE-46F442C06D1E}">
      <dgm:prSet/>
      <dgm:spPr/>
      <dgm:t>
        <a:bodyPr/>
        <a:lstStyle/>
        <a:p>
          <a:pPr algn="ctr"/>
          <a:endParaRPr lang="es-CO" sz="900"/>
        </a:p>
      </dgm:t>
    </dgm:pt>
    <dgm:pt modelId="{6079152B-BA89-4723-9D9F-3998A1A3FB3D}" type="sibTrans" cxnId="{45D3B89D-8C56-4099-86CE-46F442C06D1E}">
      <dgm:prSet/>
      <dgm:spPr/>
      <dgm:t>
        <a:bodyPr/>
        <a:lstStyle/>
        <a:p>
          <a:pPr algn="ctr"/>
          <a:endParaRPr lang="es-CO" sz="900"/>
        </a:p>
      </dgm:t>
    </dgm:pt>
    <dgm:pt modelId="{C12EC7DA-1D2D-469A-B722-59E8E8FF594D}">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Implementación de la Estrategia de Articulación con la cooperación en territorio.  </a:t>
          </a:r>
        </a:p>
      </dgm:t>
    </dgm:pt>
    <dgm:pt modelId="{DBCA4290-44E5-483A-85B0-E7CFB1BD21B7}" type="parTrans" cxnId="{D2253070-22B7-4909-A7F3-A66A1B442DD6}">
      <dgm:prSet/>
      <dgm:spPr/>
      <dgm:t>
        <a:bodyPr/>
        <a:lstStyle/>
        <a:p>
          <a:pPr algn="ctr"/>
          <a:endParaRPr lang="es-CO" sz="900"/>
        </a:p>
      </dgm:t>
    </dgm:pt>
    <dgm:pt modelId="{19ED97AB-082B-4C43-BDF2-031E4A061C07}" type="sibTrans" cxnId="{D2253070-22B7-4909-A7F3-A66A1B442DD6}">
      <dgm:prSet/>
      <dgm:spPr/>
      <dgm:t>
        <a:bodyPr/>
        <a:lstStyle/>
        <a:p>
          <a:pPr algn="ctr"/>
          <a:endParaRPr lang="es-CO" sz="900"/>
        </a:p>
      </dgm:t>
    </dgm:pt>
    <dgm:pt modelId="{7C9AC851-5FE0-40F6-A8A7-61E432A65C30}">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 Ejercicios de alineación con organismos internacionales  </a:t>
          </a:r>
        </a:p>
      </dgm:t>
    </dgm:pt>
    <dgm:pt modelId="{61852E06-3649-4DE5-830B-1A35546188B4}" type="parTrans" cxnId="{D9BE5ED7-2D41-4249-8F33-ECA14F83514F}">
      <dgm:prSet/>
      <dgm:spPr/>
      <dgm:t>
        <a:bodyPr/>
        <a:lstStyle/>
        <a:p>
          <a:pPr algn="ctr"/>
          <a:endParaRPr lang="es-CO" sz="900"/>
        </a:p>
      </dgm:t>
    </dgm:pt>
    <dgm:pt modelId="{FCFDC131-7425-4BC6-8AD2-95076CC42804}" type="sibTrans" cxnId="{D9BE5ED7-2D41-4249-8F33-ECA14F83514F}">
      <dgm:prSet/>
      <dgm:spPr/>
      <dgm:t>
        <a:bodyPr/>
        <a:lstStyle/>
        <a:p>
          <a:pPr algn="ctr"/>
          <a:endParaRPr lang="es-CO" sz="900"/>
        </a:p>
      </dgm:t>
    </dgm:pt>
    <dgm:pt modelId="{D80ADE62-8567-4A85-9C0B-443C6F4C2D98}">
      <dgm:prSet custT="1"/>
      <dgm:spPr/>
      <dgm:t>
        <a:bodyPr/>
        <a:lstStyle/>
        <a:p>
          <a:pPr algn="ctr"/>
          <a:r>
            <a:rPr lang="es-CO" sz="900" b="1" dirty="0">
              <a:latin typeface="Arial" panose="020B0604020202020204" pitchFamily="34" charset="0"/>
              <a:cs typeface="Arial" panose="020B0604020202020204" pitchFamily="34" charset="0"/>
            </a:rPr>
            <a:t>Seguimiento a las Recomendaciones del Comité de los Derechos del Niño</a:t>
          </a:r>
        </a:p>
      </dgm:t>
    </dgm:pt>
    <dgm:pt modelId="{ECFC2A8D-4F3A-4CE0-9431-77C1267D46FD}" type="parTrans" cxnId="{82BAA8F1-D492-4A41-A4C4-4ACA3464CBDD}">
      <dgm:prSet/>
      <dgm:spPr/>
      <dgm:t>
        <a:bodyPr/>
        <a:lstStyle/>
        <a:p>
          <a:pPr algn="ctr"/>
          <a:endParaRPr lang="es-ES"/>
        </a:p>
      </dgm:t>
    </dgm:pt>
    <dgm:pt modelId="{80C52CED-3111-4549-948F-DCB37C87C5C9}" type="sibTrans" cxnId="{82BAA8F1-D492-4A41-A4C4-4ACA3464CBDD}">
      <dgm:prSet/>
      <dgm:spPr/>
      <dgm:t>
        <a:bodyPr/>
        <a:lstStyle/>
        <a:p>
          <a:pPr algn="ctr"/>
          <a:endParaRPr lang="es-ES"/>
        </a:p>
      </dgm:t>
    </dgm:pt>
    <dgm:pt modelId="{803078C0-3B04-44B6-8CA6-57FDB4D10999}">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Seguimiento a las recomendaciones con las acciones 2016 y el resultado/efecto alcanzado </a:t>
          </a:r>
        </a:p>
      </dgm:t>
    </dgm:pt>
    <dgm:pt modelId="{A9AF53A2-7396-46ED-BCAC-80590B8ADA0A}" type="parTrans" cxnId="{34289730-2324-432D-882B-E74F260D3FB1}">
      <dgm:prSet/>
      <dgm:spPr/>
      <dgm:t>
        <a:bodyPr/>
        <a:lstStyle/>
        <a:p>
          <a:pPr algn="ctr"/>
          <a:endParaRPr lang="es-ES"/>
        </a:p>
      </dgm:t>
    </dgm:pt>
    <dgm:pt modelId="{F3D3FFCA-8EC3-485E-96B7-B569AE48E5C9}" type="sibTrans" cxnId="{34289730-2324-432D-882B-E74F260D3FB1}">
      <dgm:prSet/>
      <dgm:spPr/>
      <dgm:t>
        <a:bodyPr/>
        <a:lstStyle/>
        <a:p>
          <a:pPr algn="ctr"/>
          <a:endParaRPr lang="es-ES"/>
        </a:p>
      </dgm:t>
    </dgm:pt>
    <dgm:pt modelId="{A9D17FA3-DEC7-420C-A9DD-256BAC8CE292}">
      <dgm:prSet custT="1"/>
      <dgm:spPr/>
      <dgm:t>
        <a:bodyPr/>
        <a:lstStyle/>
        <a:p>
          <a:pPr algn="ctr"/>
          <a:r>
            <a:rPr lang="es-CO" sz="900" b="1" dirty="0">
              <a:latin typeface="Arial" panose="020B0604020202020204" pitchFamily="34" charset="0"/>
              <a:cs typeface="Arial" panose="020B0604020202020204" pitchFamily="34" charset="0"/>
            </a:rPr>
            <a:t>Cumplimiento a los compromisos internacionales</a:t>
          </a:r>
        </a:p>
      </dgm:t>
    </dgm:pt>
    <dgm:pt modelId="{15037D3A-80D9-4E78-ACE2-84F9BC6EEE20}" type="parTrans" cxnId="{5B88A3F0-D841-45FF-A647-18A2CA548F53}">
      <dgm:prSet/>
      <dgm:spPr/>
      <dgm:t>
        <a:bodyPr/>
        <a:lstStyle/>
        <a:p>
          <a:pPr algn="ctr"/>
          <a:endParaRPr lang="es-ES"/>
        </a:p>
      </dgm:t>
    </dgm:pt>
    <dgm:pt modelId="{0CE9101F-5248-4CD7-A62B-860D47A9A738}" type="sibTrans" cxnId="{5B88A3F0-D841-45FF-A647-18A2CA548F53}">
      <dgm:prSet/>
      <dgm:spPr/>
      <dgm:t>
        <a:bodyPr/>
        <a:lstStyle/>
        <a:p>
          <a:pPr algn="ctr"/>
          <a:endParaRPr lang="es-ES"/>
        </a:p>
      </dgm:t>
    </dgm:pt>
    <dgm:pt modelId="{9E188FEF-D532-4AFC-8A3A-21173C95CE63}">
      <dgm:prSet custT="1"/>
      <dgm:spPr>
        <a:solidFill>
          <a:srgbClr val="F0F0F0"/>
        </a:solidFill>
        <a:ln>
          <a:noFill/>
        </a:ln>
      </dgm:spPr>
      <dgm:t>
        <a:bodyPr/>
        <a:lstStyle/>
        <a:p>
          <a:pPr algn="l"/>
          <a:r>
            <a:rPr lang="es-CO" sz="900" dirty="0">
              <a:latin typeface="Arial" panose="020B0604020202020204" pitchFamily="34" charset="0"/>
              <a:cs typeface="Arial" panose="020B0604020202020204" pitchFamily="34" charset="0"/>
            </a:rPr>
            <a:t>Respuesta a los informes internacionales y requerimientos de información (comentarios, informes obervaciones y reportes)</a:t>
          </a:r>
        </a:p>
      </dgm:t>
    </dgm:pt>
    <dgm:pt modelId="{743BCD91-79FA-4287-90DD-B181AC3E599C}" type="parTrans" cxnId="{B59B403C-F00A-4282-B19E-FBADB7214365}">
      <dgm:prSet/>
      <dgm:spPr/>
      <dgm:t>
        <a:bodyPr/>
        <a:lstStyle/>
        <a:p>
          <a:pPr algn="ctr"/>
          <a:endParaRPr lang="es-ES"/>
        </a:p>
      </dgm:t>
    </dgm:pt>
    <dgm:pt modelId="{4DA96BA7-918B-4AB4-8B89-135575E36C9B}" type="sibTrans" cxnId="{B59B403C-F00A-4282-B19E-FBADB7214365}">
      <dgm:prSet/>
      <dgm:spPr/>
      <dgm:t>
        <a:bodyPr/>
        <a:lstStyle/>
        <a:p>
          <a:pPr algn="ctr"/>
          <a:endParaRPr lang="es-ES"/>
        </a:p>
      </dgm:t>
    </dgm:pt>
    <dgm:pt modelId="{82619D65-2468-47EA-BFE1-A7EDDFDB6EB2}" type="pres">
      <dgm:prSet presAssocID="{4E3B36DE-27D4-456D-8504-AF89C0848466}" presName="Name0" presStyleCnt="0">
        <dgm:presLayoutVars>
          <dgm:dir/>
          <dgm:animLvl val="lvl"/>
          <dgm:resizeHandles val="exact"/>
        </dgm:presLayoutVars>
      </dgm:prSet>
      <dgm:spPr/>
      <dgm:t>
        <a:bodyPr/>
        <a:lstStyle/>
        <a:p>
          <a:endParaRPr lang="es-CO"/>
        </a:p>
      </dgm:t>
    </dgm:pt>
    <dgm:pt modelId="{49986262-F80B-405A-9C78-1C9CAE909525}" type="pres">
      <dgm:prSet presAssocID="{E05CE92A-CB82-4E8D-9B07-A07EB2EE3A38}" presName="linNode" presStyleCnt="0"/>
      <dgm:spPr/>
    </dgm:pt>
    <dgm:pt modelId="{D6EA1911-8589-4B25-9DD2-0FB724A61462}" type="pres">
      <dgm:prSet presAssocID="{E05CE92A-CB82-4E8D-9B07-A07EB2EE3A38}" presName="parentText" presStyleLbl="node1" presStyleIdx="0" presStyleCnt="7">
        <dgm:presLayoutVars>
          <dgm:chMax val="1"/>
          <dgm:bulletEnabled val="1"/>
        </dgm:presLayoutVars>
      </dgm:prSet>
      <dgm:spPr/>
      <dgm:t>
        <a:bodyPr/>
        <a:lstStyle/>
        <a:p>
          <a:endParaRPr lang="es-CO"/>
        </a:p>
      </dgm:t>
    </dgm:pt>
    <dgm:pt modelId="{87945191-9196-4D87-A05E-01E2508BC597}" type="pres">
      <dgm:prSet presAssocID="{E05CE92A-CB82-4E8D-9B07-A07EB2EE3A38}" presName="descendantText" presStyleLbl="alignAccFollowNode1" presStyleIdx="0" presStyleCnt="7">
        <dgm:presLayoutVars>
          <dgm:bulletEnabled val="1"/>
        </dgm:presLayoutVars>
      </dgm:prSet>
      <dgm:spPr/>
      <dgm:t>
        <a:bodyPr/>
        <a:lstStyle/>
        <a:p>
          <a:endParaRPr lang="es-CO"/>
        </a:p>
      </dgm:t>
    </dgm:pt>
    <dgm:pt modelId="{B39D52E1-5C4C-49C7-8055-A260E86D8ED4}" type="pres">
      <dgm:prSet presAssocID="{ACED31CB-9BE9-4BCB-BA00-F8D8B304DA6A}" presName="sp" presStyleCnt="0"/>
      <dgm:spPr/>
    </dgm:pt>
    <dgm:pt modelId="{A2758E03-6030-439D-8EB5-D2E73AA92D6F}" type="pres">
      <dgm:prSet presAssocID="{B88C8972-B3B8-4558-8C1D-648B2564D95F}" presName="linNode" presStyleCnt="0"/>
      <dgm:spPr/>
    </dgm:pt>
    <dgm:pt modelId="{4FB9FB5C-8E55-4E39-A549-8DFB2BB506DE}" type="pres">
      <dgm:prSet presAssocID="{B88C8972-B3B8-4558-8C1D-648B2564D95F}" presName="parentText" presStyleLbl="node1" presStyleIdx="1" presStyleCnt="7">
        <dgm:presLayoutVars>
          <dgm:chMax val="1"/>
          <dgm:bulletEnabled val="1"/>
        </dgm:presLayoutVars>
      </dgm:prSet>
      <dgm:spPr/>
      <dgm:t>
        <a:bodyPr/>
        <a:lstStyle/>
        <a:p>
          <a:endParaRPr lang="es-CO"/>
        </a:p>
      </dgm:t>
    </dgm:pt>
    <dgm:pt modelId="{EAE53105-C687-416B-ADC7-8990840128A3}" type="pres">
      <dgm:prSet presAssocID="{B88C8972-B3B8-4558-8C1D-648B2564D95F}" presName="descendantText" presStyleLbl="alignAccFollowNode1" presStyleIdx="1" presStyleCnt="7">
        <dgm:presLayoutVars>
          <dgm:bulletEnabled val="1"/>
        </dgm:presLayoutVars>
      </dgm:prSet>
      <dgm:spPr/>
      <dgm:t>
        <a:bodyPr/>
        <a:lstStyle/>
        <a:p>
          <a:endParaRPr lang="es-CO"/>
        </a:p>
      </dgm:t>
    </dgm:pt>
    <dgm:pt modelId="{7BD81D3F-8566-4E6A-8203-19578D8A0F93}" type="pres">
      <dgm:prSet presAssocID="{2028DDED-E9DE-4AE3-B737-2ABF1E1071BE}" presName="sp" presStyleCnt="0"/>
      <dgm:spPr/>
    </dgm:pt>
    <dgm:pt modelId="{91C1BE5F-B3E1-4376-8F2B-4ECA388E39DE}" type="pres">
      <dgm:prSet presAssocID="{8B15CB4B-5F0E-4FBE-AD7D-9C199CAA17A2}" presName="linNode" presStyleCnt="0"/>
      <dgm:spPr/>
    </dgm:pt>
    <dgm:pt modelId="{10F4CE13-5410-42F0-88FE-039B3725159C}" type="pres">
      <dgm:prSet presAssocID="{8B15CB4B-5F0E-4FBE-AD7D-9C199CAA17A2}" presName="parentText" presStyleLbl="node1" presStyleIdx="2" presStyleCnt="7">
        <dgm:presLayoutVars>
          <dgm:chMax val="1"/>
          <dgm:bulletEnabled val="1"/>
        </dgm:presLayoutVars>
      </dgm:prSet>
      <dgm:spPr/>
      <dgm:t>
        <a:bodyPr/>
        <a:lstStyle/>
        <a:p>
          <a:endParaRPr lang="es-CO"/>
        </a:p>
      </dgm:t>
    </dgm:pt>
    <dgm:pt modelId="{74FCE7F0-DD2E-413F-BC9E-D7AB0C17A48F}" type="pres">
      <dgm:prSet presAssocID="{8B15CB4B-5F0E-4FBE-AD7D-9C199CAA17A2}" presName="descendantText" presStyleLbl="alignAccFollowNode1" presStyleIdx="2" presStyleCnt="7">
        <dgm:presLayoutVars>
          <dgm:bulletEnabled val="1"/>
        </dgm:presLayoutVars>
      </dgm:prSet>
      <dgm:spPr/>
      <dgm:t>
        <a:bodyPr/>
        <a:lstStyle/>
        <a:p>
          <a:endParaRPr lang="es-CO"/>
        </a:p>
      </dgm:t>
    </dgm:pt>
    <dgm:pt modelId="{2C2F3305-A25B-4685-A512-548F8CFDA73F}" type="pres">
      <dgm:prSet presAssocID="{28C4AA09-BDA1-4316-82A3-890335851796}" presName="sp" presStyleCnt="0"/>
      <dgm:spPr/>
    </dgm:pt>
    <dgm:pt modelId="{5C4E4618-D555-4626-AAC7-F7DBE1BA4927}" type="pres">
      <dgm:prSet presAssocID="{AE8A7852-ACE0-4743-A6ED-AC9B22BC5FA4}" presName="linNode" presStyleCnt="0"/>
      <dgm:spPr/>
    </dgm:pt>
    <dgm:pt modelId="{4C77A5B4-F0DD-4590-8214-67CA9673F311}" type="pres">
      <dgm:prSet presAssocID="{AE8A7852-ACE0-4743-A6ED-AC9B22BC5FA4}" presName="parentText" presStyleLbl="node1" presStyleIdx="3" presStyleCnt="7" custScaleY="137024">
        <dgm:presLayoutVars>
          <dgm:chMax val="1"/>
          <dgm:bulletEnabled val="1"/>
        </dgm:presLayoutVars>
      </dgm:prSet>
      <dgm:spPr/>
      <dgm:t>
        <a:bodyPr/>
        <a:lstStyle/>
        <a:p>
          <a:endParaRPr lang="es-CO"/>
        </a:p>
      </dgm:t>
    </dgm:pt>
    <dgm:pt modelId="{14BECF38-A039-4B0F-BE39-89DCC7EAABB0}" type="pres">
      <dgm:prSet presAssocID="{AE8A7852-ACE0-4743-A6ED-AC9B22BC5FA4}" presName="descendantText" presStyleLbl="alignAccFollowNode1" presStyleIdx="3" presStyleCnt="7" custScaleY="170240">
        <dgm:presLayoutVars>
          <dgm:bulletEnabled val="1"/>
        </dgm:presLayoutVars>
      </dgm:prSet>
      <dgm:spPr/>
      <dgm:t>
        <a:bodyPr/>
        <a:lstStyle/>
        <a:p>
          <a:endParaRPr lang="es-CO"/>
        </a:p>
      </dgm:t>
    </dgm:pt>
    <dgm:pt modelId="{63CB31E1-63AD-4975-8E31-5E35100DBB03}" type="pres">
      <dgm:prSet presAssocID="{6079152B-BA89-4723-9D9F-3998A1A3FB3D}" presName="sp" presStyleCnt="0"/>
      <dgm:spPr/>
    </dgm:pt>
    <dgm:pt modelId="{3FA5B549-2368-4DFB-B127-E8C9FAE7FA5A}" type="pres">
      <dgm:prSet presAssocID="{8FE47FD5-0AA4-450D-A86F-58CF0DF1708C}" presName="linNode" presStyleCnt="0"/>
      <dgm:spPr/>
    </dgm:pt>
    <dgm:pt modelId="{58F8FDC4-DD7D-47C3-91B6-630AA741CDE2}" type="pres">
      <dgm:prSet presAssocID="{8FE47FD5-0AA4-450D-A86F-58CF0DF1708C}" presName="parentText" presStyleLbl="node1" presStyleIdx="4" presStyleCnt="7">
        <dgm:presLayoutVars>
          <dgm:chMax val="1"/>
          <dgm:bulletEnabled val="1"/>
        </dgm:presLayoutVars>
      </dgm:prSet>
      <dgm:spPr/>
      <dgm:t>
        <a:bodyPr/>
        <a:lstStyle/>
        <a:p>
          <a:endParaRPr lang="es-CO"/>
        </a:p>
      </dgm:t>
    </dgm:pt>
    <dgm:pt modelId="{2AFD99A1-0775-4A1F-AD4E-082C1C35FF17}" type="pres">
      <dgm:prSet presAssocID="{8FE47FD5-0AA4-450D-A86F-58CF0DF1708C}" presName="descendantText" presStyleLbl="alignAccFollowNode1" presStyleIdx="4" presStyleCnt="7">
        <dgm:presLayoutVars>
          <dgm:bulletEnabled val="1"/>
        </dgm:presLayoutVars>
      </dgm:prSet>
      <dgm:spPr/>
      <dgm:t>
        <a:bodyPr/>
        <a:lstStyle/>
        <a:p>
          <a:endParaRPr lang="es-CO"/>
        </a:p>
      </dgm:t>
    </dgm:pt>
    <dgm:pt modelId="{FC5B85FB-E2DB-4B6F-87F2-A0BE5812C512}" type="pres">
      <dgm:prSet presAssocID="{CE860A53-AD66-4BFC-B6C3-3DEF74149087}" presName="sp" presStyleCnt="0"/>
      <dgm:spPr/>
    </dgm:pt>
    <dgm:pt modelId="{12A7F80D-77B6-42CF-B991-1C5E1DAD22B1}" type="pres">
      <dgm:prSet presAssocID="{D80ADE62-8567-4A85-9C0B-443C6F4C2D98}" presName="linNode" presStyleCnt="0"/>
      <dgm:spPr/>
    </dgm:pt>
    <dgm:pt modelId="{B2FD2C8C-2833-41F8-9D90-20360CDC5041}" type="pres">
      <dgm:prSet presAssocID="{D80ADE62-8567-4A85-9C0B-443C6F4C2D98}" presName="parentText" presStyleLbl="node1" presStyleIdx="5" presStyleCnt="7">
        <dgm:presLayoutVars>
          <dgm:chMax val="1"/>
          <dgm:bulletEnabled val="1"/>
        </dgm:presLayoutVars>
      </dgm:prSet>
      <dgm:spPr/>
      <dgm:t>
        <a:bodyPr/>
        <a:lstStyle/>
        <a:p>
          <a:endParaRPr lang="es-CO"/>
        </a:p>
      </dgm:t>
    </dgm:pt>
    <dgm:pt modelId="{38EF2B59-BC43-4C9B-90FA-168E7D2024A1}" type="pres">
      <dgm:prSet presAssocID="{D80ADE62-8567-4A85-9C0B-443C6F4C2D98}" presName="descendantText" presStyleLbl="alignAccFollowNode1" presStyleIdx="5" presStyleCnt="7">
        <dgm:presLayoutVars>
          <dgm:bulletEnabled val="1"/>
        </dgm:presLayoutVars>
      </dgm:prSet>
      <dgm:spPr/>
      <dgm:t>
        <a:bodyPr/>
        <a:lstStyle/>
        <a:p>
          <a:endParaRPr lang="es-CO"/>
        </a:p>
      </dgm:t>
    </dgm:pt>
    <dgm:pt modelId="{CB362413-9DC5-4711-8FB7-0D9F7E7699C4}" type="pres">
      <dgm:prSet presAssocID="{80C52CED-3111-4549-948F-DCB37C87C5C9}" presName="sp" presStyleCnt="0"/>
      <dgm:spPr/>
    </dgm:pt>
    <dgm:pt modelId="{DE493BA8-30E7-4602-B5EB-9BBBF0F3A485}" type="pres">
      <dgm:prSet presAssocID="{A9D17FA3-DEC7-420C-A9DD-256BAC8CE292}" presName="linNode" presStyleCnt="0"/>
      <dgm:spPr/>
    </dgm:pt>
    <dgm:pt modelId="{7C432851-15EC-41AF-B770-A8EA0FB2F155}" type="pres">
      <dgm:prSet presAssocID="{A9D17FA3-DEC7-420C-A9DD-256BAC8CE292}" presName="parentText" presStyleLbl="node1" presStyleIdx="6" presStyleCnt="7">
        <dgm:presLayoutVars>
          <dgm:chMax val="1"/>
          <dgm:bulletEnabled val="1"/>
        </dgm:presLayoutVars>
      </dgm:prSet>
      <dgm:spPr/>
      <dgm:t>
        <a:bodyPr/>
        <a:lstStyle/>
        <a:p>
          <a:endParaRPr lang="es-CO"/>
        </a:p>
      </dgm:t>
    </dgm:pt>
    <dgm:pt modelId="{0F9916FB-C8AE-4515-BEE6-D5B10A79B7B9}" type="pres">
      <dgm:prSet presAssocID="{A9D17FA3-DEC7-420C-A9DD-256BAC8CE292}" presName="descendantText" presStyleLbl="alignAccFollowNode1" presStyleIdx="6" presStyleCnt="7">
        <dgm:presLayoutVars>
          <dgm:bulletEnabled val="1"/>
        </dgm:presLayoutVars>
      </dgm:prSet>
      <dgm:spPr/>
      <dgm:t>
        <a:bodyPr/>
        <a:lstStyle/>
        <a:p>
          <a:endParaRPr lang="es-CO"/>
        </a:p>
      </dgm:t>
    </dgm:pt>
  </dgm:ptLst>
  <dgm:cxnLst>
    <dgm:cxn modelId="{B59B403C-F00A-4282-B19E-FBADB7214365}" srcId="{A9D17FA3-DEC7-420C-A9DD-256BAC8CE292}" destId="{9E188FEF-D532-4AFC-8A3A-21173C95CE63}" srcOrd="0" destOrd="0" parTransId="{743BCD91-79FA-4287-90DD-B181AC3E599C}" sibTransId="{4DA96BA7-918B-4AB4-8B89-135575E36C9B}"/>
    <dgm:cxn modelId="{240F181F-D46A-4C19-8EF2-545615E8D1E9}" srcId="{B88C8972-B3B8-4558-8C1D-648B2564D95F}" destId="{F6DF4B85-AFBC-4646-9822-4C946DD0442C}" srcOrd="0" destOrd="0" parTransId="{80FDD784-AA08-4160-B89B-77FEE132C42C}" sibTransId="{5B8D2C5A-A40B-43C4-99E8-A897C38582E8}"/>
    <dgm:cxn modelId="{0CA9B569-1423-4BDD-BEF6-C791FF72BD5D}" type="presOf" srcId="{D80ADE62-8567-4A85-9C0B-443C6F4C2D98}" destId="{B2FD2C8C-2833-41F8-9D90-20360CDC5041}" srcOrd="0" destOrd="0" presId="urn:microsoft.com/office/officeart/2005/8/layout/vList5"/>
    <dgm:cxn modelId="{418570FB-2251-4626-A5D6-245CA77166D6}" type="presOf" srcId="{8B15CB4B-5F0E-4FBE-AD7D-9C199CAA17A2}" destId="{10F4CE13-5410-42F0-88FE-039B3725159C}" srcOrd="0" destOrd="0" presId="urn:microsoft.com/office/officeart/2005/8/layout/vList5"/>
    <dgm:cxn modelId="{671C229E-84A0-4CE1-8AE5-B25B5EE28125}" type="presOf" srcId="{8B953AD4-F6FC-4729-B2B1-CE35C2C38C07}" destId="{74FCE7F0-DD2E-413F-BC9E-D7AB0C17A48F}" srcOrd="0" destOrd="0" presId="urn:microsoft.com/office/officeart/2005/8/layout/vList5"/>
    <dgm:cxn modelId="{1C1966F5-7896-4D31-9625-3BFB9240E642}" srcId="{E05CE92A-CB82-4E8D-9B07-A07EB2EE3A38}" destId="{FD7C5AE7-0FD2-4999-AAB1-E1A2CD6E4FE3}" srcOrd="0" destOrd="0" parTransId="{95BF4958-0FF1-476D-8BDF-3AEBE015E1DA}" sibTransId="{EF835F63-9E9C-4E44-A705-1B9BC9A8E09E}"/>
    <dgm:cxn modelId="{5B88A3F0-D841-45FF-A647-18A2CA548F53}" srcId="{4E3B36DE-27D4-456D-8504-AF89C0848466}" destId="{A9D17FA3-DEC7-420C-A9DD-256BAC8CE292}" srcOrd="6" destOrd="0" parTransId="{15037D3A-80D9-4E78-ACE2-84F9BC6EEE20}" sibTransId="{0CE9101F-5248-4CD7-A62B-860D47A9A738}"/>
    <dgm:cxn modelId="{82BAA8F1-D492-4A41-A4C4-4ACA3464CBDD}" srcId="{4E3B36DE-27D4-456D-8504-AF89C0848466}" destId="{D80ADE62-8567-4A85-9C0B-443C6F4C2D98}" srcOrd="5" destOrd="0" parTransId="{ECFC2A8D-4F3A-4CE0-9431-77C1267D46FD}" sibTransId="{80C52CED-3111-4549-948F-DCB37C87C5C9}"/>
    <dgm:cxn modelId="{D9BE5ED7-2D41-4249-8F33-ECA14F83514F}" srcId="{AE8A7852-ACE0-4743-A6ED-AC9B22BC5FA4}" destId="{7C9AC851-5FE0-40F6-A8A7-61E432A65C30}" srcOrd="1" destOrd="0" parTransId="{61852E06-3649-4DE5-830B-1A35546188B4}" sibTransId="{FCFDC131-7425-4BC6-8AD2-95076CC42804}"/>
    <dgm:cxn modelId="{990ECAF0-C294-4768-8B60-BA648F4858EA}" type="presOf" srcId="{C12EC7DA-1D2D-469A-B722-59E8E8FF594D}" destId="{14BECF38-A039-4B0F-BE39-89DCC7EAABB0}" srcOrd="0" destOrd="0" presId="urn:microsoft.com/office/officeart/2005/8/layout/vList5"/>
    <dgm:cxn modelId="{34289730-2324-432D-882B-E74F260D3FB1}" srcId="{D80ADE62-8567-4A85-9C0B-443C6F4C2D98}" destId="{803078C0-3B04-44B6-8CA6-57FDB4D10999}" srcOrd="0" destOrd="0" parTransId="{A9AF53A2-7396-46ED-BCAC-80590B8ADA0A}" sibTransId="{F3D3FFCA-8EC3-485E-96B7-B569AE48E5C9}"/>
    <dgm:cxn modelId="{8464C11C-09C5-490F-AC0D-C6561AF2ABB4}" srcId="{8FE47FD5-0AA4-450D-A86F-58CF0DF1708C}" destId="{27160540-3E20-4153-8649-19B400A693AB}" srcOrd="0" destOrd="0" parTransId="{F84B1037-1476-4657-B933-F0B54366C866}" sibTransId="{E9F9D4ED-8867-4FB9-A10C-61E573BF1AAC}"/>
    <dgm:cxn modelId="{DC5BB8ED-353E-4767-9314-688D2F120D50}" type="presOf" srcId="{27160540-3E20-4153-8649-19B400A693AB}" destId="{2AFD99A1-0775-4A1F-AD4E-082C1C35FF17}" srcOrd="0" destOrd="0" presId="urn:microsoft.com/office/officeart/2005/8/layout/vList5"/>
    <dgm:cxn modelId="{641339EE-CD46-4FE8-B132-97D0FE7E9877}" type="presOf" srcId="{AE8A7852-ACE0-4743-A6ED-AC9B22BC5FA4}" destId="{4C77A5B4-F0DD-4590-8214-67CA9673F311}" srcOrd="0" destOrd="0" presId="urn:microsoft.com/office/officeart/2005/8/layout/vList5"/>
    <dgm:cxn modelId="{511DBC9C-479D-4DFA-943F-5EF646881B87}" srcId="{4E3B36DE-27D4-456D-8504-AF89C0848466}" destId="{E05CE92A-CB82-4E8D-9B07-A07EB2EE3A38}" srcOrd="0" destOrd="0" parTransId="{701E1940-924F-44A2-A91A-816B49E64247}" sibTransId="{ACED31CB-9BE9-4BCB-BA00-F8D8B304DA6A}"/>
    <dgm:cxn modelId="{6C86D49B-0E17-4055-AA1E-6435E200304C}" type="presOf" srcId="{7C9AC851-5FE0-40F6-A8A7-61E432A65C30}" destId="{14BECF38-A039-4B0F-BE39-89DCC7EAABB0}" srcOrd="0" destOrd="1" presId="urn:microsoft.com/office/officeart/2005/8/layout/vList5"/>
    <dgm:cxn modelId="{BEC75757-6CE7-4EA5-AAD2-BF7839D28CCC}" srcId="{4E3B36DE-27D4-456D-8504-AF89C0848466}" destId="{B88C8972-B3B8-4558-8C1D-648B2564D95F}" srcOrd="1" destOrd="0" parTransId="{179509D6-5EDA-4930-A63A-D2B99E9DE19F}" sibTransId="{2028DDED-E9DE-4AE3-B737-2ABF1E1071BE}"/>
    <dgm:cxn modelId="{5DB39D88-5DA0-430A-88F4-0F5073BAE5A5}" type="presOf" srcId="{A9D17FA3-DEC7-420C-A9DD-256BAC8CE292}" destId="{7C432851-15EC-41AF-B770-A8EA0FB2F155}" srcOrd="0" destOrd="0" presId="urn:microsoft.com/office/officeart/2005/8/layout/vList5"/>
    <dgm:cxn modelId="{B3D654AB-2AC7-4E12-8F92-87CA39CF47C4}" type="presOf" srcId="{8FE47FD5-0AA4-450D-A86F-58CF0DF1708C}" destId="{58F8FDC4-DD7D-47C3-91B6-630AA741CDE2}" srcOrd="0" destOrd="0" presId="urn:microsoft.com/office/officeart/2005/8/layout/vList5"/>
    <dgm:cxn modelId="{11C6822D-C6AF-4D9C-ABA1-2BB4135DC797}" srcId="{4E3B36DE-27D4-456D-8504-AF89C0848466}" destId="{8FE47FD5-0AA4-450D-A86F-58CF0DF1708C}" srcOrd="4" destOrd="0" parTransId="{EEB07132-6D48-483E-A2EE-3E18858A3709}" sibTransId="{CE860A53-AD66-4BFC-B6C3-3DEF74149087}"/>
    <dgm:cxn modelId="{28678593-208E-4013-8669-57C6098B43DD}" type="presOf" srcId="{F6DF4B85-AFBC-4646-9822-4C946DD0442C}" destId="{EAE53105-C687-416B-ADC7-8990840128A3}" srcOrd="0" destOrd="0" presId="urn:microsoft.com/office/officeart/2005/8/layout/vList5"/>
    <dgm:cxn modelId="{D3719677-FB35-4A82-B1DF-19F88E1A1446}" type="presOf" srcId="{3455A16B-DA4C-44C6-AEEC-A9EE8E8A2F07}" destId="{2AFD99A1-0775-4A1F-AD4E-082C1C35FF17}" srcOrd="0" destOrd="1" presId="urn:microsoft.com/office/officeart/2005/8/layout/vList5"/>
    <dgm:cxn modelId="{09E50266-9BF7-4DCD-B8D1-6C379B871EDD}" srcId="{8FE47FD5-0AA4-450D-A86F-58CF0DF1708C}" destId="{3455A16B-DA4C-44C6-AEEC-A9EE8E8A2F07}" srcOrd="1" destOrd="0" parTransId="{895AA98E-56FA-4109-85D8-EE763C4C2CBA}" sibTransId="{FB5B6E98-FFC7-478F-B18B-3F2A5C6C6480}"/>
    <dgm:cxn modelId="{9918DC68-BFC5-4D5D-941B-D74BD256EAB2}" type="presOf" srcId="{9E188FEF-D532-4AFC-8A3A-21173C95CE63}" destId="{0F9916FB-C8AE-4515-BEE6-D5B10A79B7B9}" srcOrd="0" destOrd="0" presId="urn:microsoft.com/office/officeart/2005/8/layout/vList5"/>
    <dgm:cxn modelId="{0EFEB617-C5D1-436A-A5DB-7AFBE3CB5CEA}" type="presOf" srcId="{B88C8972-B3B8-4558-8C1D-648B2564D95F}" destId="{4FB9FB5C-8E55-4E39-A549-8DFB2BB506DE}" srcOrd="0" destOrd="0" presId="urn:microsoft.com/office/officeart/2005/8/layout/vList5"/>
    <dgm:cxn modelId="{2862F18A-20F7-41B3-8338-003D24450577}" srcId="{8B15CB4B-5F0E-4FBE-AD7D-9C199CAA17A2}" destId="{8B953AD4-F6FC-4729-B2B1-CE35C2C38C07}" srcOrd="0" destOrd="0" parTransId="{0C4C521C-7A15-4B93-A637-BF2948B8021C}" sibTransId="{00514122-DB30-4A92-AB74-4416471EFCAC}"/>
    <dgm:cxn modelId="{046C89D0-8EB8-48CC-AB93-938CDCD98163}" type="presOf" srcId="{FD7C5AE7-0FD2-4999-AAB1-E1A2CD6E4FE3}" destId="{87945191-9196-4D87-A05E-01E2508BC597}" srcOrd="0" destOrd="0" presId="urn:microsoft.com/office/officeart/2005/8/layout/vList5"/>
    <dgm:cxn modelId="{D2253070-22B7-4909-A7F3-A66A1B442DD6}" srcId="{AE8A7852-ACE0-4743-A6ED-AC9B22BC5FA4}" destId="{C12EC7DA-1D2D-469A-B722-59E8E8FF594D}" srcOrd="0" destOrd="0" parTransId="{DBCA4290-44E5-483A-85B0-E7CFB1BD21B7}" sibTransId="{19ED97AB-082B-4C43-BDF2-031E4A061C07}"/>
    <dgm:cxn modelId="{1CDA142C-3909-4C31-9FEF-744177E651CF}" type="presOf" srcId="{E05CE92A-CB82-4E8D-9B07-A07EB2EE3A38}" destId="{D6EA1911-8589-4B25-9DD2-0FB724A61462}" srcOrd="0" destOrd="0" presId="urn:microsoft.com/office/officeart/2005/8/layout/vList5"/>
    <dgm:cxn modelId="{0DCE2F92-3DDB-4B03-A524-4FC42CEE85F2}" type="presOf" srcId="{803078C0-3B04-44B6-8CA6-57FDB4D10999}" destId="{38EF2B59-BC43-4C9B-90FA-168E7D2024A1}" srcOrd="0" destOrd="0" presId="urn:microsoft.com/office/officeart/2005/8/layout/vList5"/>
    <dgm:cxn modelId="{B6FCD7ED-91E8-4F47-8ED0-0F0583AC8CB2}" srcId="{4E3B36DE-27D4-456D-8504-AF89C0848466}" destId="{8B15CB4B-5F0E-4FBE-AD7D-9C199CAA17A2}" srcOrd="2" destOrd="0" parTransId="{714889C4-271A-45F3-A520-6923213BF293}" sibTransId="{28C4AA09-BDA1-4316-82A3-890335851796}"/>
    <dgm:cxn modelId="{12342647-ADA9-436A-975E-E9F3CF6FADAF}" type="presOf" srcId="{4E3B36DE-27D4-456D-8504-AF89C0848466}" destId="{82619D65-2468-47EA-BFE1-A7EDDFDB6EB2}" srcOrd="0" destOrd="0" presId="urn:microsoft.com/office/officeart/2005/8/layout/vList5"/>
    <dgm:cxn modelId="{45D3B89D-8C56-4099-86CE-46F442C06D1E}" srcId="{4E3B36DE-27D4-456D-8504-AF89C0848466}" destId="{AE8A7852-ACE0-4743-A6ED-AC9B22BC5FA4}" srcOrd="3" destOrd="0" parTransId="{E4D8BC28-8541-4E56-8380-38E37A0F4C0C}" sibTransId="{6079152B-BA89-4723-9D9F-3998A1A3FB3D}"/>
    <dgm:cxn modelId="{6861B087-7D03-4E56-858B-E5EB270947D9}" type="presParOf" srcId="{82619D65-2468-47EA-BFE1-A7EDDFDB6EB2}" destId="{49986262-F80B-405A-9C78-1C9CAE909525}" srcOrd="0" destOrd="0" presId="urn:microsoft.com/office/officeart/2005/8/layout/vList5"/>
    <dgm:cxn modelId="{C27E9703-2BA2-4CD1-95EA-5CCDE7D70D62}" type="presParOf" srcId="{49986262-F80B-405A-9C78-1C9CAE909525}" destId="{D6EA1911-8589-4B25-9DD2-0FB724A61462}" srcOrd="0" destOrd="0" presId="urn:microsoft.com/office/officeart/2005/8/layout/vList5"/>
    <dgm:cxn modelId="{883E62E6-D199-4688-A256-25DC8EACF447}" type="presParOf" srcId="{49986262-F80B-405A-9C78-1C9CAE909525}" destId="{87945191-9196-4D87-A05E-01E2508BC597}" srcOrd="1" destOrd="0" presId="urn:microsoft.com/office/officeart/2005/8/layout/vList5"/>
    <dgm:cxn modelId="{3DA2A8B5-E609-449B-BB32-4A7AB984571C}" type="presParOf" srcId="{82619D65-2468-47EA-BFE1-A7EDDFDB6EB2}" destId="{B39D52E1-5C4C-49C7-8055-A260E86D8ED4}" srcOrd="1" destOrd="0" presId="urn:microsoft.com/office/officeart/2005/8/layout/vList5"/>
    <dgm:cxn modelId="{80E25F46-86F8-49F3-AC08-95E980581BB8}" type="presParOf" srcId="{82619D65-2468-47EA-BFE1-A7EDDFDB6EB2}" destId="{A2758E03-6030-439D-8EB5-D2E73AA92D6F}" srcOrd="2" destOrd="0" presId="urn:microsoft.com/office/officeart/2005/8/layout/vList5"/>
    <dgm:cxn modelId="{39B6CEDF-A68E-49CD-B609-2F6881B470A0}" type="presParOf" srcId="{A2758E03-6030-439D-8EB5-D2E73AA92D6F}" destId="{4FB9FB5C-8E55-4E39-A549-8DFB2BB506DE}" srcOrd="0" destOrd="0" presId="urn:microsoft.com/office/officeart/2005/8/layout/vList5"/>
    <dgm:cxn modelId="{A1329EF0-4409-4E48-994A-6A72337F4AEE}" type="presParOf" srcId="{A2758E03-6030-439D-8EB5-D2E73AA92D6F}" destId="{EAE53105-C687-416B-ADC7-8990840128A3}" srcOrd="1" destOrd="0" presId="urn:microsoft.com/office/officeart/2005/8/layout/vList5"/>
    <dgm:cxn modelId="{FDE4FC30-32B6-47E3-8C23-4315A1BFCE7E}" type="presParOf" srcId="{82619D65-2468-47EA-BFE1-A7EDDFDB6EB2}" destId="{7BD81D3F-8566-4E6A-8203-19578D8A0F93}" srcOrd="3" destOrd="0" presId="urn:microsoft.com/office/officeart/2005/8/layout/vList5"/>
    <dgm:cxn modelId="{9CE08024-E013-414C-BF2E-F20BFE5A0E4E}" type="presParOf" srcId="{82619D65-2468-47EA-BFE1-A7EDDFDB6EB2}" destId="{91C1BE5F-B3E1-4376-8F2B-4ECA388E39DE}" srcOrd="4" destOrd="0" presId="urn:microsoft.com/office/officeart/2005/8/layout/vList5"/>
    <dgm:cxn modelId="{70BCA341-A017-4052-AD0C-ED7713DFE00D}" type="presParOf" srcId="{91C1BE5F-B3E1-4376-8F2B-4ECA388E39DE}" destId="{10F4CE13-5410-42F0-88FE-039B3725159C}" srcOrd="0" destOrd="0" presId="urn:microsoft.com/office/officeart/2005/8/layout/vList5"/>
    <dgm:cxn modelId="{9B449AF0-853B-4896-8BC1-B93575954052}" type="presParOf" srcId="{91C1BE5F-B3E1-4376-8F2B-4ECA388E39DE}" destId="{74FCE7F0-DD2E-413F-BC9E-D7AB0C17A48F}" srcOrd="1" destOrd="0" presId="urn:microsoft.com/office/officeart/2005/8/layout/vList5"/>
    <dgm:cxn modelId="{3FF051E1-A4C1-4F00-898F-C65E77FEE2F7}" type="presParOf" srcId="{82619D65-2468-47EA-BFE1-A7EDDFDB6EB2}" destId="{2C2F3305-A25B-4685-A512-548F8CFDA73F}" srcOrd="5" destOrd="0" presId="urn:microsoft.com/office/officeart/2005/8/layout/vList5"/>
    <dgm:cxn modelId="{5EA6A00B-8A2F-41AB-821C-490FE949C6DB}" type="presParOf" srcId="{82619D65-2468-47EA-BFE1-A7EDDFDB6EB2}" destId="{5C4E4618-D555-4626-AAC7-F7DBE1BA4927}" srcOrd="6" destOrd="0" presId="urn:microsoft.com/office/officeart/2005/8/layout/vList5"/>
    <dgm:cxn modelId="{9AC2973A-7885-4485-8422-997A691982AA}" type="presParOf" srcId="{5C4E4618-D555-4626-AAC7-F7DBE1BA4927}" destId="{4C77A5B4-F0DD-4590-8214-67CA9673F311}" srcOrd="0" destOrd="0" presId="urn:microsoft.com/office/officeart/2005/8/layout/vList5"/>
    <dgm:cxn modelId="{2A81D190-8B4C-49CC-B1AD-3A144B2A3902}" type="presParOf" srcId="{5C4E4618-D555-4626-AAC7-F7DBE1BA4927}" destId="{14BECF38-A039-4B0F-BE39-89DCC7EAABB0}" srcOrd="1" destOrd="0" presId="urn:microsoft.com/office/officeart/2005/8/layout/vList5"/>
    <dgm:cxn modelId="{43980AA4-89D5-4EFE-BDA9-7C9C2BFFAC9B}" type="presParOf" srcId="{82619D65-2468-47EA-BFE1-A7EDDFDB6EB2}" destId="{63CB31E1-63AD-4975-8E31-5E35100DBB03}" srcOrd="7" destOrd="0" presId="urn:microsoft.com/office/officeart/2005/8/layout/vList5"/>
    <dgm:cxn modelId="{0A8036A2-B16E-416B-B2D1-DCD993CA7779}" type="presParOf" srcId="{82619D65-2468-47EA-BFE1-A7EDDFDB6EB2}" destId="{3FA5B549-2368-4DFB-B127-E8C9FAE7FA5A}" srcOrd="8" destOrd="0" presId="urn:microsoft.com/office/officeart/2005/8/layout/vList5"/>
    <dgm:cxn modelId="{88C9FD24-6856-4E4D-90F4-DD6EA9FFE5F0}" type="presParOf" srcId="{3FA5B549-2368-4DFB-B127-E8C9FAE7FA5A}" destId="{58F8FDC4-DD7D-47C3-91B6-630AA741CDE2}" srcOrd="0" destOrd="0" presId="urn:microsoft.com/office/officeart/2005/8/layout/vList5"/>
    <dgm:cxn modelId="{8C995CC9-DE6A-48E5-A3AB-80C496DEF7CD}" type="presParOf" srcId="{3FA5B549-2368-4DFB-B127-E8C9FAE7FA5A}" destId="{2AFD99A1-0775-4A1F-AD4E-082C1C35FF17}" srcOrd="1" destOrd="0" presId="urn:microsoft.com/office/officeart/2005/8/layout/vList5"/>
    <dgm:cxn modelId="{BED721A7-2803-43BE-A6E1-61E29D1D938B}" type="presParOf" srcId="{82619D65-2468-47EA-BFE1-A7EDDFDB6EB2}" destId="{FC5B85FB-E2DB-4B6F-87F2-A0BE5812C512}" srcOrd="9" destOrd="0" presId="urn:microsoft.com/office/officeart/2005/8/layout/vList5"/>
    <dgm:cxn modelId="{4627F716-4954-4F87-9154-8C3C0A6097CB}" type="presParOf" srcId="{82619D65-2468-47EA-BFE1-A7EDDFDB6EB2}" destId="{12A7F80D-77B6-42CF-B991-1C5E1DAD22B1}" srcOrd="10" destOrd="0" presId="urn:microsoft.com/office/officeart/2005/8/layout/vList5"/>
    <dgm:cxn modelId="{070B4686-054F-497D-A097-E8AD4CCE52E8}" type="presParOf" srcId="{12A7F80D-77B6-42CF-B991-1C5E1DAD22B1}" destId="{B2FD2C8C-2833-41F8-9D90-20360CDC5041}" srcOrd="0" destOrd="0" presId="urn:microsoft.com/office/officeart/2005/8/layout/vList5"/>
    <dgm:cxn modelId="{29AA29AD-6CE9-41AC-AFF5-368443FF64C5}" type="presParOf" srcId="{12A7F80D-77B6-42CF-B991-1C5E1DAD22B1}" destId="{38EF2B59-BC43-4C9B-90FA-168E7D2024A1}" srcOrd="1" destOrd="0" presId="urn:microsoft.com/office/officeart/2005/8/layout/vList5"/>
    <dgm:cxn modelId="{1EC379BD-5C3A-4072-AADC-7B4564775EDB}" type="presParOf" srcId="{82619D65-2468-47EA-BFE1-A7EDDFDB6EB2}" destId="{CB362413-9DC5-4711-8FB7-0D9F7E7699C4}" srcOrd="11" destOrd="0" presId="urn:microsoft.com/office/officeart/2005/8/layout/vList5"/>
    <dgm:cxn modelId="{49177A1D-1C59-40D4-AC37-EC41A3E39366}" type="presParOf" srcId="{82619D65-2468-47EA-BFE1-A7EDDFDB6EB2}" destId="{DE493BA8-30E7-4602-B5EB-9BBBF0F3A485}" srcOrd="12" destOrd="0" presId="urn:microsoft.com/office/officeart/2005/8/layout/vList5"/>
    <dgm:cxn modelId="{17A3E17D-1F3E-4519-81B0-9E15C5055FFB}" type="presParOf" srcId="{DE493BA8-30E7-4602-B5EB-9BBBF0F3A485}" destId="{7C432851-15EC-41AF-B770-A8EA0FB2F155}" srcOrd="0" destOrd="0" presId="urn:microsoft.com/office/officeart/2005/8/layout/vList5"/>
    <dgm:cxn modelId="{058E4641-8F7C-4757-ADFD-F7083DF29DE4}" type="presParOf" srcId="{DE493BA8-30E7-4602-B5EB-9BBBF0F3A485}" destId="{0F9916FB-C8AE-4515-BEE6-D5B10A79B7B9}" srcOrd="1" destOrd="0" presId="urn:microsoft.com/office/officeart/2005/8/layout/vList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AC8F04-3252-4811-AC6B-603803D962FF}">
      <dsp:nvSpPr>
        <dsp:cNvPr id="0" name=""/>
        <dsp:cNvSpPr/>
      </dsp:nvSpPr>
      <dsp:spPr>
        <a:xfrm>
          <a:off x="0" y="215477"/>
          <a:ext cx="1320859" cy="985994"/>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Puntos de Corte:</a:t>
          </a:r>
        </a:p>
        <a:p>
          <a:pPr marL="57150" lvl="1" indent="-57150" algn="l" defTabSz="400050">
            <a:lnSpc>
              <a:spcPct val="90000"/>
            </a:lnSpc>
            <a:spcBef>
              <a:spcPct val="0"/>
            </a:spcBef>
            <a:spcAft>
              <a:spcPct val="15000"/>
            </a:spcAft>
            <a:buChar char="••"/>
          </a:pPr>
          <a:r>
            <a:rPr lang="es-CO" sz="900" b="1" kern="1200" dirty="0">
              <a:latin typeface="Arial" panose="020B0604020202020204" pitchFamily="34" charset="0"/>
              <a:ea typeface="+mn-ea"/>
              <a:cs typeface="Arial" panose="020B0604020202020204" pitchFamily="34" charset="0"/>
            </a:rPr>
            <a:t>14 ciudades</a:t>
          </a:r>
          <a:r>
            <a:rPr lang="es-CO" sz="900" kern="1200" dirty="0">
              <a:latin typeface="Arial" panose="020B0604020202020204" pitchFamily="34" charset="0"/>
              <a:ea typeface="+mn-ea"/>
              <a:cs typeface="Arial" panose="020B0604020202020204" pitchFamily="34" charset="0"/>
            </a:rPr>
            <a:t>: 57.21</a:t>
          </a:r>
        </a:p>
        <a:p>
          <a:pPr marL="114300" lvl="2" indent="-57150" algn="l" defTabSz="400050">
            <a:lnSpc>
              <a:spcPct val="90000"/>
            </a:lnSpc>
            <a:spcBef>
              <a:spcPct val="0"/>
            </a:spcBef>
            <a:spcAft>
              <a:spcPct val="15000"/>
            </a:spcAft>
            <a:buChar char="••"/>
          </a:pPr>
          <a:r>
            <a:rPr lang="es-CO" sz="900" b="1" kern="1200" dirty="0">
              <a:latin typeface="Arial" panose="020B0604020202020204" pitchFamily="34" charset="0"/>
              <a:ea typeface="+mn-ea"/>
              <a:cs typeface="Arial" panose="020B0604020202020204" pitchFamily="34" charset="0"/>
            </a:rPr>
            <a:t>Resto Urbano: </a:t>
          </a:r>
          <a:r>
            <a:rPr lang="es-CO" sz="900" kern="1200" dirty="0">
              <a:latin typeface="Arial" panose="020B0604020202020204" pitchFamily="34" charset="0"/>
              <a:ea typeface="+mn-ea"/>
              <a:cs typeface="Arial" panose="020B0604020202020204" pitchFamily="34" charset="0"/>
            </a:rPr>
            <a:t>56.32</a:t>
          </a:r>
        </a:p>
        <a:p>
          <a:pPr marL="114300" lvl="2" indent="-57150" algn="l"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Resto Disperso: 40.75</a:t>
          </a:r>
        </a:p>
        <a:p>
          <a:pPr marL="57150" lvl="1" indent="-57150" algn="ctr" defTabSz="400050">
            <a:lnSpc>
              <a:spcPct val="90000"/>
            </a:lnSpc>
            <a:spcBef>
              <a:spcPct val="0"/>
            </a:spcBef>
            <a:spcAft>
              <a:spcPct val="15000"/>
            </a:spcAft>
            <a:buChar char="••"/>
          </a:pPr>
          <a:endParaRPr lang="es-CO" sz="9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103" y="238580"/>
        <a:ext cx="1274653" cy="962891"/>
      </dsp:txXfrm>
    </dsp:sp>
    <dsp:sp modelId="{27A9DF75-0123-43BF-9ADE-AB35EFEB7A08}">
      <dsp:nvSpPr>
        <dsp:cNvPr id="0" name=""/>
        <dsp:cNvSpPr/>
      </dsp:nvSpPr>
      <dsp:spPr>
        <a:xfrm>
          <a:off x="2455" y="1146384"/>
          <a:ext cx="1320859" cy="423977"/>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ea typeface="+mn-ea"/>
              <a:cs typeface="Arial" panose="020B0604020202020204" pitchFamily="34" charset="0"/>
            </a:rPr>
            <a:t>POBLACIÓN SISBEN III</a:t>
          </a:r>
        </a:p>
      </dsp:txBody>
      <dsp:txXfrm>
        <a:off x="2455" y="1146384"/>
        <a:ext cx="930183" cy="423977"/>
      </dsp:txXfrm>
    </dsp:sp>
    <dsp:sp modelId="{8D868944-5C18-417B-93BE-7FC1AF2CB844}">
      <dsp:nvSpPr>
        <dsp:cNvPr id="0" name=""/>
        <dsp:cNvSpPr/>
      </dsp:nvSpPr>
      <dsp:spPr>
        <a:xfrm>
          <a:off x="970003" y="1213729"/>
          <a:ext cx="462300" cy="462300"/>
        </a:xfrm>
        <a:prstGeom prst="ellipse">
          <a:avLst/>
        </a:prstGeom>
        <a:blipFill>
          <a:blip xmlns:r="http://schemas.openxmlformats.org/officeDocument/2006/relationships" r:embed="rId1" cstate="print">
            <a:duotone>
              <a:schemeClr val="accent3">
                <a:alpha val="90000"/>
                <a:hueOff val="0"/>
                <a:satOff val="0"/>
                <a:lumOff val="0"/>
                <a:alphaOff val="0"/>
                <a:shade val="20000"/>
                <a:satMod val="200000"/>
              </a:schemeClr>
              <a:schemeClr val="accent3">
                <a:alpha val="90000"/>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6CBC307-2F92-4083-9D0A-7A74D588CAB0}">
      <dsp:nvSpPr>
        <dsp:cNvPr id="0" name=""/>
        <dsp:cNvSpPr/>
      </dsp:nvSpPr>
      <dsp:spPr>
        <a:xfrm>
          <a:off x="1546836" y="160390"/>
          <a:ext cx="1320859" cy="985994"/>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3">
              <a:hueOff val="3750088"/>
              <a:satOff val="-5627"/>
              <a:lumOff val="-91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Atención Integral a los niños y niñas de 0 a 5 años, que hagan parte de las familias que se encuentran en RED UNIDOS </a:t>
          </a:r>
        </a:p>
      </dsp:txBody>
      <dsp:txXfrm>
        <a:off x="1569939" y="183493"/>
        <a:ext cx="1274653" cy="962891"/>
      </dsp:txXfrm>
    </dsp:sp>
    <dsp:sp modelId="{9D090686-22FE-4FDA-938A-4A4F1838A5B1}">
      <dsp:nvSpPr>
        <dsp:cNvPr id="0" name=""/>
        <dsp:cNvSpPr/>
      </dsp:nvSpPr>
      <dsp:spPr>
        <a:xfrm>
          <a:off x="1546836" y="1146384"/>
          <a:ext cx="1320859" cy="423977"/>
        </a:xfrm>
        <a:prstGeom prst="rect">
          <a:avLst/>
        </a:prstGeom>
        <a:solidFill>
          <a:schemeClr val="accent3">
            <a:hueOff val="3750088"/>
            <a:satOff val="-5627"/>
            <a:lumOff val="-915"/>
            <a:alphaOff val="0"/>
          </a:schemeClr>
        </a:solidFill>
        <a:ln w="25400" cap="flat" cmpd="sng" algn="ctr">
          <a:solidFill>
            <a:schemeClr val="accent3">
              <a:hueOff val="3750088"/>
              <a:satOff val="-5627"/>
              <a:lumOff val="-91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ea typeface="+mn-ea"/>
              <a:cs typeface="Arial" panose="020B0604020202020204" pitchFamily="34" charset="0"/>
            </a:rPr>
            <a:t>RED UNIDOS</a:t>
          </a:r>
        </a:p>
      </dsp:txBody>
      <dsp:txXfrm>
        <a:off x="1546836" y="1146384"/>
        <a:ext cx="930183" cy="423977"/>
      </dsp:txXfrm>
    </dsp:sp>
    <dsp:sp modelId="{CC55A387-B9F9-4673-AAD0-702E5EB7471D}">
      <dsp:nvSpPr>
        <dsp:cNvPr id="0" name=""/>
        <dsp:cNvSpPr/>
      </dsp:nvSpPr>
      <dsp:spPr>
        <a:xfrm>
          <a:off x="2524389" y="1213729"/>
          <a:ext cx="442292" cy="462300"/>
        </a:xfrm>
        <a:prstGeom prst="ellipse">
          <a:avLst/>
        </a:prstGeom>
        <a:blipFill>
          <a:blip xmlns:r="http://schemas.openxmlformats.org/officeDocument/2006/relationships" r:embed="rId2" cstate="print">
            <a:duotone>
              <a:schemeClr val="accent3">
                <a:alpha val="90000"/>
                <a:hueOff val="3572285"/>
                <a:satOff val="-4598"/>
                <a:lumOff val="-358"/>
                <a:alphaOff val="0"/>
                <a:shade val="20000"/>
                <a:satMod val="200000"/>
              </a:schemeClr>
              <a:schemeClr val="accent3">
                <a:alpha val="90000"/>
                <a:hueOff val="3572285"/>
                <a:satOff val="-4598"/>
                <a:lumOff val="-358"/>
                <a:alphaOff val="0"/>
                <a:tint val="12000"/>
                <a:satMod val="190000"/>
              </a:schemeClr>
            </a:duotone>
            <a:extLst>
              <a:ext uri="{28A0092B-C50C-407E-A947-70E740481C1C}">
                <a14:useLocalDpi xmlns:a14="http://schemas.microsoft.com/office/drawing/2010/main" val="0"/>
              </a:ext>
            </a:extLst>
          </a:blip>
          <a:srcRect/>
          <a:stretch>
            <a:fillRect t="-11000" b="-11000"/>
          </a:stretch>
        </a:blipFill>
        <a:ln w="25400" cap="flat" cmpd="sng" algn="ctr">
          <a:solidFill>
            <a:schemeClr val="accent3">
              <a:tint val="40000"/>
              <a:alpha val="90000"/>
              <a:hueOff val="3572285"/>
              <a:satOff val="-4598"/>
              <a:lumOff val="-358"/>
              <a:alphaOff val="0"/>
            </a:schemeClr>
          </a:solidFill>
          <a:prstDash val="solid"/>
        </a:ln>
        <a:effectLst/>
      </dsp:spPr>
      <dsp:style>
        <a:lnRef idx="2">
          <a:scrgbClr r="0" g="0" b="0"/>
        </a:lnRef>
        <a:fillRef idx="1">
          <a:scrgbClr r="0" g="0" b="0"/>
        </a:fillRef>
        <a:effectRef idx="0">
          <a:scrgbClr r="0" g="0" b="0"/>
        </a:effectRef>
        <a:fontRef idx="minor"/>
      </dsp:style>
    </dsp:sp>
    <dsp:sp modelId="{CF9C8C76-C3FF-4F67-BCCC-D137F7A8060E}">
      <dsp:nvSpPr>
        <dsp:cNvPr id="0" name=""/>
        <dsp:cNvSpPr/>
      </dsp:nvSpPr>
      <dsp:spPr>
        <a:xfrm>
          <a:off x="3081213" y="160390"/>
          <a:ext cx="1320859" cy="985994"/>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3">
              <a:hueOff val="7500176"/>
              <a:satOff val="-11253"/>
              <a:lumOff val="-18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Población identificada por la Unidad para la Atención y Reparación Integral a las víctimas.</a:t>
          </a:r>
        </a:p>
      </dsp:txBody>
      <dsp:txXfrm>
        <a:off x="3104316" y="183493"/>
        <a:ext cx="1274653" cy="962891"/>
      </dsp:txXfrm>
    </dsp:sp>
    <dsp:sp modelId="{D2375C9D-FEC8-4C2B-8FD2-CC7D19164E9F}">
      <dsp:nvSpPr>
        <dsp:cNvPr id="0" name=""/>
        <dsp:cNvSpPr/>
      </dsp:nvSpPr>
      <dsp:spPr>
        <a:xfrm>
          <a:off x="3081213" y="1146384"/>
          <a:ext cx="1320859" cy="423977"/>
        </a:xfrm>
        <a:prstGeom prst="rect">
          <a:avLst/>
        </a:prstGeom>
        <a:solidFill>
          <a:schemeClr val="accent3">
            <a:hueOff val="7500176"/>
            <a:satOff val="-11253"/>
            <a:lumOff val="-1830"/>
            <a:alphaOff val="0"/>
          </a:schemeClr>
        </a:solidFill>
        <a:ln w="25400" cap="flat" cmpd="sng" algn="ctr">
          <a:solidFill>
            <a:schemeClr val="accent3">
              <a:hueOff val="7500176"/>
              <a:satOff val="-11253"/>
              <a:lumOff val="-183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ea typeface="+mn-ea"/>
              <a:cs typeface="Arial" panose="020B0604020202020204" pitchFamily="34" charset="0"/>
            </a:rPr>
            <a:t>POBLACIÓN VICTIMA DE LA VIOLENCIA</a:t>
          </a:r>
        </a:p>
      </dsp:txBody>
      <dsp:txXfrm>
        <a:off x="3081213" y="1146384"/>
        <a:ext cx="930183" cy="423977"/>
      </dsp:txXfrm>
    </dsp:sp>
    <dsp:sp modelId="{1E97CA61-1C08-4D52-B868-C469B0E891A6}">
      <dsp:nvSpPr>
        <dsp:cNvPr id="0" name=""/>
        <dsp:cNvSpPr/>
      </dsp:nvSpPr>
      <dsp:spPr>
        <a:xfrm>
          <a:off x="4048762" y="1213729"/>
          <a:ext cx="462300" cy="462300"/>
        </a:xfrm>
        <a:prstGeom prst="ellipse">
          <a:avLst/>
        </a:prstGeom>
        <a:blipFill>
          <a:blip xmlns:r="http://schemas.openxmlformats.org/officeDocument/2006/relationships" r:embed="rId3">
            <a:duotone>
              <a:schemeClr val="accent3">
                <a:alpha val="90000"/>
                <a:hueOff val="7144569"/>
                <a:satOff val="-9195"/>
                <a:lumOff val="-717"/>
                <a:alphaOff val="0"/>
                <a:shade val="20000"/>
                <a:satMod val="200000"/>
              </a:schemeClr>
              <a:schemeClr val="accent3">
                <a:alpha val="90000"/>
                <a:hueOff val="7144569"/>
                <a:satOff val="-9195"/>
                <a:lumOff val="-717"/>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chemeClr val="accent3">
              <a:tint val="40000"/>
              <a:alpha val="90000"/>
              <a:hueOff val="7144569"/>
              <a:satOff val="-9195"/>
              <a:lumOff val="-717"/>
              <a:alphaOff val="0"/>
            </a:schemeClr>
          </a:solidFill>
          <a:prstDash val="solid"/>
        </a:ln>
        <a:effectLst/>
      </dsp:spPr>
      <dsp:style>
        <a:lnRef idx="2">
          <a:scrgbClr r="0" g="0" b="0"/>
        </a:lnRef>
        <a:fillRef idx="1">
          <a:scrgbClr r="0" g="0" b="0"/>
        </a:fillRef>
        <a:effectRef idx="0">
          <a:scrgbClr r="0" g="0" b="0"/>
        </a:effectRef>
        <a:fontRef idx="minor"/>
      </dsp:style>
    </dsp:sp>
    <dsp:sp modelId="{E3EB5378-D23E-4177-A151-8CE2D141404D}">
      <dsp:nvSpPr>
        <dsp:cNvPr id="0" name=""/>
        <dsp:cNvSpPr/>
      </dsp:nvSpPr>
      <dsp:spPr>
        <a:xfrm>
          <a:off x="4625595" y="160390"/>
          <a:ext cx="1320859" cy="985994"/>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ctr"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Población Indígena.</a:t>
          </a:r>
        </a:p>
        <a:p>
          <a:pPr marL="57150" lvl="1" indent="-57150" algn="ctr" defTabSz="400050">
            <a:lnSpc>
              <a:spcPct val="90000"/>
            </a:lnSpc>
            <a:spcBef>
              <a:spcPct val="0"/>
            </a:spcBef>
            <a:spcAft>
              <a:spcPct val="15000"/>
            </a:spcAft>
            <a:buChar char="••"/>
          </a:pPr>
          <a:r>
            <a:rPr lang="es-CO" sz="900" kern="1200" dirty="0">
              <a:latin typeface="Arial" panose="020B0604020202020204" pitchFamily="34" charset="0"/>
              <a:ea typeface="+mn-ea"/>
              <a:cs typeface="Arial" panose="020B0604020202020204" pitchFamily="34" charset="0"/>
            </a:rPr>
            <a:t> Población Afrocolombiana,  Raizal y </a:t>
          </a:r>
          <a:r>
            <a:rPr lang="es-CO" sz="900" kern="1200" dirty="0" err="1">
              <a:latin typeface="Arial" panose="020B0604020202020204" pitchFamily="34" charset="0"/>
              <a:ea typeface="+mn-ea"/>
              <a:cs typeface="Arial" panose="020B0604020202020204" pitchFamily="34" charset="0"/>
            </a:rPr>
            <a:t>Palenquera</a:t>
          </a:r>
          <a:r>
            <a:rPr lang="es-CO" sz="900" kern="1200" dirty="0">
              <a:latin typeface="Arial" panose="020B0604020202020204" pitchFamily="34" charset="0"/>
              <a:ea typeface="+mn-ea"/>
              <a:cs typeface="Arial" panose="020B0604020202020204" pitchFamily="34" charset="0"/>
            </a:rPr>
            <a:t>.</a:t>
          </a:r>
        </a:p>
        <a:p>
          <a:pPr marL="57150" lvl="1" indent="-57150" algn="ctr" defTabSz="400050">
            <a:lnSpc>
              <a:spcPct val="90000"/>
            </a:lnSpc>
            <a:spcBef>
              <a:spcPct val="0"/>
            </a:spcBef>
            <a:spcAft>
              <a:spcPct val="15000"/>
            </a:spcAft>
            <a:buChar char="••"/>
          </a:pPr>
          <a:r>
            <a:rPr lang="es-CO" sz="900" kern="1200" dirty="0" err="1">
              <a:latin typeface="Arial" panose="020B0604020202020204" pitchFamily="34" charset="0"/>
              <a:ea typeface="+mn-ea"/>
              <a:cs typeface="Arial" panose="020B0604020202020204" pitchFamily="34" charset="0"/>
            </a:rPr>
            <a:t>Rrom</a:t>
          </a:r>
          <a:endParaRPr lang="es-CO" sz="900" kern="1200" dirty="0">
            <a:latin typeface="Arial" panose="020B0604020202020204" pitchFamily="34" charset="0"/>
            <a:ea typeface="+mn-ea"/>
            <a:cs typeface="Arial" panose="020B0604020202020204" pitchFamily="34" charset="0"/>
          </a:endParaRPr>
        </a:p>
      </dsp:txBody>
      <dsp:txXfrm>
        <a:off x="4648698" y="183493"/>
        <a:ext cx="1274653" cy="962891"/>
      </dsp:txXfrm>
    </dsp:sp>
    <dsp:sp modelId="{B94854A0-AEDF-4FC8-9BA3-DB375C899DB1}">
      <dsp:nvSpPr>
        <dsp:cNvPr id="0" name=""/>
        <dsp:cNvSpPr/>
      </dsp:nvSpPr>
      <dsp:spPr>
        <a:xfrm>
          <a:off x="4625595" y="1146384"/>
          <a:ext cx="1320859" cy="423977"/>
        </a:xfrm>
        <a:prstGeom prst="rect">
          <a:avLst/>
        </a:prstGeom>
        <a:solidFill>
          <a:schemeClr val="accent3">
            <a:hueOff val="11250264"/>
            <a:satOff val="-16880"/>
            <a:lumOff val="-2745"/>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ea typeface="+mn-ea"/>
              <a:cs typeface="Arial" panose="020B0604020202020204" pitchFamily="34" charset="0"/>
            </a:rPr>
            <a:t>GRUPOS ETNICOS</a:t>
          </a:r>
        </a:p>
      </dsp:txBody>
      <dsp:txXfrm>
        <a:off x="4625595" y="1146384"/>
        <a:ext cx="930183" cy="423977"/>
      </dsp:txXfrm>
    </dsp:sp>
    <dsp:sp modelId="{E1C3169B-1E09-45F2-9495-7CCB7BCF82B5}">
      <dsp:nvSpPr>
        <dsp:cNvPr id="0" name=""/>
        <dsp:cNvSpPr/>
      </dsp:nvSpPr>
      <dsp:spPr>
        <a:xfrm>
          <a:off x="5593143" y="1213729"/>
          <a:ext cx="462300" cy="462300"/>
        </a:xfrm>
        <a:prstGeom prst="ellipse">
          <a:avLst/>
        </a:prstGeom>
        <a:blipFill>
          <a:blip xmlns:r="http://schemas.openxmlformats.org/officeDocument/2006/relationships" r:embed="rId4" cstate="print">
            <a:duotone>
              <a:schemeClr val="accent3">
                <a:alpha val="90000"/>
                <a:hueOff val="10716854"/>
                <a:satOff val="-13793"/>
                <a:lumOff val="-1075"/>
                <a:alphaOff val="0"/>
                <a:shade val="20000"/>
                <a:satMod val="200000"/>
              </a:schemeClr>
              <a:schemeClr val="accent3">
                <a:alpha val="90000"/>
                <a:hueOff val="10716854"/>
                <a:satOff val="-13793"/>
                <a:lumOff val="-1075"/>
                <a:alphaOff val="0"/>
                <a:tint val="12000"/>
                <a:satMod val="190000"/>
              </a:schemeClr>
            </a:duotone>
            <a:extLst>
              <a:ext uri="{28A0092B-C50C-407E-A947-70E740481C1C}">
                <a14:useLocalDpi xmlns:a14="http://schemas.microsoft.com/office/drawing/2010/main" val="0"/>
              </a:ext>
            </a:extLst>
          </a:blip>
          <a:srcRect/>
          <a:stretch>
            <a:fillRect/>
          </a:stretch>
        </a:blipFill>
        <a:ln w="25400" cap="flat" cmpd="sng" algn="ctr">
          <a:solidFill>
            <a:schemeClr val="accent3">
              <a:tint val="40000"/>
              <a:alpha val="90000"/>
              <a:hueOff val="10716854"/>
              <a:satOff val="-13793"/>
              <a:lumOff val="-1075"/>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3E9243-5897-41ED-AFA3-3E973EF050C7}">
      <dsp:nvSpPr>
        <dsp:cNvPr id="0" name=""/>
        <dsp:cNvSpPr/>
      </dsp:nvSpPr>
      <dsp:spPr>
        <a:xfrm>
          <a:off x="1169" y="262600"/>
          <a:ext cx="1424513" cy="569805"/>
        </a:xfrm>
        <a:prstGeom prst="chevron">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buNone/>
          </a:pPr>
          <a:r>
            <a:rPr lang="es-CO" sz="1100" b="1" kern="1200">
              <a:latin typeface="Calibri"/>
              <a:ea typeface="+mn-ea"/>
              <a:cs typeface="+mn-cs"/>
            </a:rPr>
            <a:t>Producción</a:t>
          </a:r>
        </a:p>
        <a:p>
          <a:pPr lvl="0" algn="ctr" defTabSz="488950">
            <a:lnSpc>
              <a:spcPct val="90000"/>
            </a:lnSpc>
            <a:spcBef>
              <a:spcPct val="0"/>
            </a:spcBef>
            <a:spcAft>
              <a:spcPct val="35000"/>
            </a:spcAft>
            <a:buNone/>
          </a:pPr>
          <a:r>
            <a:rPr lang="es-CO" sz="1100" kern="1200">
              <a:latin typeface="Calibri"/>
              <a:ea typeface="+mn-ea"/>
              <a:cs typeface="+mn-cs"/>
            </a:rPr>
            <a:t>18.011 Ton.</a:t>
          </a:r>
        </a:p>
      </dsp:txBody>
      <dsp:txXfrm>
        <a:off x="286072" y="262600"/>
        <a:ext cx="854708" cy="569805"/>
      </dsp:txXfrm>
    </dsp:sp>
    <dsp:sp modelId="{316240E3-CFD2-4C97-979D-80E13CCF4C9F}">
      <dsp:nvSpPr>
        <dsp:cNvPr id="0" name=""/>
        <dsp:cNvSpPr/>
      </dsp:nvSpPr>
      <dsp:spPr>
        <a:xfrm>
          <a:off x="1283230" y="262600"/>
          <a:ext cx="1424513" cy="569805"/>
        </a:xfrm>
        <a:prstGeom prst="chevron">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buNone/>
          </a:pPr>
          <a:r>
            <a:rPr lang="es-CO" sz="1100" b="1" kern="1200">
              <a:latin typeface="Calibri"/>
              <a:ea typeface="+mn-ea"/>
              <a:cs typeface="+mn-cs"/>
            </a:rPr>
            <a:t>Distribución</a:t>
          </a:r>
        </a:p>
        <a:p>
          <a:pPr lvl="0" algn="ctr" defTabSz="488950">
            <a:lnSpc>
              <a:spcPct val="90000"/>
            </a:lnSpc>
            <a:spcBef>
              <a:spcPct val="0"/>
            </a:spcBef>
            <a:spcAft>
              <a:spcPct val="35000"/>
            </a:spcAft>
            <a:buNone/>
          </a:pPr>
          <a:r>
            <a:rPr lang="es-CO" sz="1100" kern="1200">
              <a:latin typeface="Calibri"/>
              <a:ea typeface="+mn-ea"/>
              <a:cs typeface="+mn-cs"/>
            </a:rPr>
            <a:t>20.601 Ton.</a:t>
          </a:r>
        </a:p>
      </dsp:txBody>
      <dsp:txXfrm>
        <a:off x="1568133" y="262600"/>
        <a:ext cx="854708" cy="569805"/>
      </dsp:txXfrm>
    </dsp:sp>
    <dsp:sp modelId="{79CDF2F4-3CF8-4809-B7DC-2305571BF4A9}">
      <dsp:nvSpPr>
        <dsp:cNvPr id="0" name=""/>
        <dsp:cNvSpPr/>
      </dsp:nvSpPr>
      <dsp:spPr>
        <a:xfrm>
          <a:off x="2565292" y="262600"/>
          <a:ext cx="1424513" cy="569805"/>
        </a:xfrm>
        <a:prstGeom prst="chevron">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buNone/>
          </a:pPr>
          <a:r>
            <a:rPr lang="es-CO" sz="1100" b="1" kern="1200">
              <a:latin typeface="Calibri"/>
              <a:ea typeface="+mn-ea"/>
              <a:cs typeface="+mn-cs"/>
            </a:rPr>
            <a:t>Atención</a:t>
          </a:r>
        </a:p>
        <a:p>
          <a:pPr lvl="0" algn="ctr" defTabSz="488950">
            <a:lnSpc>
              <a:spcPct val="90000"/>
            </a:lnSpc>
            <a:spcBef>
              <a:spcPct val="0"/>
            </a:spcBef>
            <a:spcAft>
              <a:spcPct val="35000"/>
            </a:spcAft>
            <a:buNone/>
          </a:pPr>
          <a:r>
            <a:rPr lang="es-ES_tradnl" sz="1100" b="0" kern="1200">
              <a:latin typeface="Calibri"/>
              <a:ea typeface="+mn-ea"/>
              <a:cs typeface="+mn-cs"/>
            </a:rPr>
            <a:t>2.997.000 Beneficiarios</a:t>
          </a:r>
          <a:endParaRPr lang="es-CO" sz="1100" b="0" kern="1200">
            <a:latin typeface="Calibri"/>
            <a:ea typeface="+mn-ea"/>
            <a:cs typeface="+mn-cs"/>
          </a:endParaRPr>
        </a:p>
      </dsp:txBody>
      <dsp:txXfrm>
        <a:off x="2850195" y="262600"/>
        <a:ext cx="854708" cy="5698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34E9D-D068-4953-9859-32109B6D6646}">
      <dsp:nvSpPr>
        <dsp:cNvPr id="0" name=""/>
        <dsp:cNvSpPr/>
      </dsp:nvSpPr>
      <dsp:spPr>
        <a:xfrm rot="5400000">
          <a:off x="476363" y="733922"/>
          <a:ext cx="563513" cy="661130"/>
        </a:xfrm>
        <a:prstGeom prst="bentUpArrow">
          <a:avLst>
            <a:gd name="adj1" fmla="val 32840"/>
            <a:gd name="adj2" fmla="val 25000"/>
            <a:gd name="adj3" fmla="val 35780"/>
          </a:avLst>
        </a:prstGeom>
        <a:solidFill>
          <a:schemeClr val="tx2">
            <a:lumMod val="40000"/>
            <a:lumOff val="6000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sp>
    <dsp:sp modelId="{349A25E8-F578-40AE-9EE0-49F4B45B2614}">
      <dsp:nvSpPr>
        <dsp:cNvPr id="0" name=""/>
        <dsp:cNvSpPr/>
      </dsp:nvSpPr>
      <dsp:spPr>
        <a:xfrm>
          <a:off x="136856" y="183154"/>
          <a:ext cx="1209539" cy="592440"/>
        </a:xfrm>
        <a:prstGeom prst="roundRect">
          <a:avLst>
            <a:gd name="adj" fmla="val 16670"/>
          </a:avLst>
        </a:prstGeom>
        <a:solidFill>
          <a:sysClr val="window" lastClr="FFFFFF"/>
        </a:solidFill>
        <a:ln w="25400" cap="flat" cmpd="sng" algn="ctr">
          <a:solidFill>
            <a:schemeClr val="tx2">
              <a:lumMod val="40000"/>
              <a:lumOff val="60000"/>
            </a:schemeClr>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a:solidFill>
                <a:sysClr val="windowText" lastClr="000000"/>
              </a:solidFill>
              <a:latin typeface="Arial" panose="020B0604020202020204" pitchFamily="34" charset="0"/>
              <a:ea typeface="+mn-ea"/>
              <a:cs typeface="Arial" panose="020B0604020202020204" pitchFamily="34" charset="0"/>
            </a:rPr>
            <a:t>Cumplimiento 2015-2016</a:t>
          </a:r>
        </a:p>
      </dsp:txBody>
      <dsp:txXfrm>
        <a:off x="165782" y="212080"/>
        <a:ext cx="1151687" cy="534588"/>
      </dsp:txXfrm>
    </dsp:sp>
    <dsp:sp modelId="{38DA2704-969E-4E81-9733-C777FF2E0B52}">
      <dsp:nvSpPr>
        <dsp:cNvPr id="0" name=""/>
        <dsp:cNvSpPr/>
      </dsp:nvSpPr>
      <dsp:spPr>
        <a:xfrm>
          <a:off x="1358505" y="134828"/>
          <a:ext cx="897318" cy="697992"/>
        </a:xfrm>
        <a:prstGeom prst="rect">
          <a:avLst/>
        </a:prstGeom>
        <a:noFill/>
        <a:ln>
          <a:noFill/>
        </a:ln>
        <a:effectLst/>
      </dsp:spPr>
      <dsp:style>
        <a:lnRef idx="0">
          <a:scrgbClr r="0" g="0" b="0"/>
        </a:lnRef>
        <a:fillRef idx="0">
          <a:scrgbClr r="0" g="0" b="0"/>
        </a:fillRef>
        <a:effectRef idx="0">
          <a:scrgbClr r="0" g="0" b="0"/>
        </a:effectRef>
        <a:fontRef idx="minor"/>
      </dsp:style>
    </dsp:sp>
    <dsp:sp modelId="{4BDC033F-25E1-45B0-9C3B-997BB80C06EC}">
      <dsp:nvSpPr>
        <dsp:cNvPr id="0" name=""/>
        <dsp:cNvSpPr/>
      </dsp:nvSpPr>
      <dsp:spPr>
        <a:xfrm>
          <a:off x="1059689" y="983761"/>
          <a:ext cx="905627" cy="355747"/>
        </a:xfrm>
        <a:prstGeom prst="roundRect">
          <a:avLst>
            <a:gd name="adj" fmla="val 16670"/>
          </a:avLst>
        </a:prstGeom>
        <a:solidFill>
          <a:sysClr val="window" lastClr="FFFFFF"/>
        </a:solidFill>
        <a:ln w="25400" cap="flat" cmpd="sng" algn="ctr">
          <a:solidFill>
            <a:schemeClr val="tx2">
              <a:lumMod val="40000"/>
              <a:lumOff val="60000"/>
            </a:schemeClr>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solidFill>
                <a:sysClr val="windowText" lastClr="000000"/>
              </a:solidFill>
              <a:latin typeface="Arial" panose="020B0604020202020204" pitchFamily="34" charset="0"/>
              <a:ea typeface="+mn-ea"/>
              <a:cs typeface="Arial" panose="020B0604020202020204" pitchFamily="34" charset="0"/>
            </a:rPr>
            <a:t>95.0%</a:t>
          </a:r>
        </a:p>
      </dsp:txBody>
      <dsp:txXfrm>
        <a:off x="1077058" y="1001130"/>
        <a:ext cx="870889" cy="321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34E9D-D068-4953-9859-32109B6D6646}">
      <dsp:nvSpPr>
        <dsp:cNvPr id="0" name=""/>
        <dsp:cNvSpPr/>
      </dsp:nvSpPr>
      <dsp:spPr>
        <a:xfrm rot="5400000">
          <a:off x="455834" y="721904"/>
          <a:ext cx="554285" cy="650304"/>
        </a:xfrm>
        <a:prstGeom prst="bentUpArrow">
          <a:avLst>
            <a:gd name="adj1" fmla="val 32840"/>
            <a:gd name="adj2" fmla="val 25000"/>
            <a:gd name="adj3" fmla="val 3578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349A25E8-F578-40AE-9EE0-49F4B45B2614}">
      <dsp:nvSpPr>
        <dsp:cNvPr id="0" name=""/>
        <dsp:cNvSpPr/>
      </dsp:nvSpPr>
      <dsp:spPr>
        <a:xfrm>
          <a:off x="177000" y="180155"/>
          <a:ext cx="1079505" cy="582738"/>
        </a:xfrm>
        <a:prstGeom prst="roundRect">
          <a:avLst>
            <a:gd name="adj" fmla="val 16670"/>
          </a:avLst>
        </a:prstGeom>
        <a:solidFill>
          <a:sysClr val="window" lastClr="FFFFFF"/>
        </a:solidFill>
        <a:ln w="25400" cap="flat" cmpd="sng" algn="ctr">
          <a:solidFill>
            <a:srgbClr val="92D050"/>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CO" sz="1100" kern="1200">
              <a:solidFill>
                <a:sysClr val="windowText" lastClr="000000"/>
              </a:solidFill>
              <a:latin typeface="Arial" panose="020B0604020202020204" pitchFamily="34" charset="0"/>
              <a:ea typeface="+mn-ea"/>
              <a:cs typeface="Arial" panose="020B0604020202020204" pitchFamily="34" charset="0"/>
            </a:rPr>
            <a:t>Avance PM 2015-2016</a:t>
          </a:r>
        </a:p>
      </dsp:txBody>
      <dsp:txXfrm>
        <a:off x="205452" y="208607"/>
        <a:ext cx="1022601" cy="525834"/>
      </dsp:txXfrm>
    </dsp:sp>
    <dsp:sp modelId="{38DA2704-969E-4E81-9733-C777FF2E0B52}">
      <dsp:nvSpPr>
        <dsp:cNvPr id="0" name=""/>
        <dsp:cNvSpPr/>
      </dsp:nvSpPr>
      <dsp:spPr>
        <a:xfrm>
          <a:off x="1323530" y="132620"/>
          <a:ext cx="882623" cy="686562"/>
        </a:xfrm>
        <a:prstGeom prst="rect">
          <a:avLst/>
        </a:prstGeom>
        <a:noFill/>
        <a:ln>
          <a:noFill/>
        </a:ln>
        <a:effectLst/>
      </dsp:spPr>
      <dsp:style>
        <a:lnRef idx="0">
          <a:scrgbClr r="0" g="0" b="0"/>
        </a:lnRef>
        <a:fillRef idx="0">
          <a:scrgbClr r="0" g="0" b="0"/>
        </a:fillRef>
        <a:effectRef idx="0">
          <a:scrgbClr r="0" g="0" b="0"/>
        </a:effectRef>
        <a:fontRef idx="minor"/>
      </dsp:style>
    </dsp:sp>
    <dsp:sp modelId="{4BDC033F-25E1-45B0-9C3B-997BB80C06EC}">
      <dsp:nvSpPr>
        <dsp:cNvPr id="0" name=""/>
        <dsp:cNvSpPr/>
      </dsp:nvSpPr>
      <dsp:spPr>
        <a:xfrm>
          <a:off x="1050766" y="945167"/>
          <a:ext cx="890797" cy="349921"/>
        </a:xfrm>
        <a:prstGeom prst="roundRect">
          <a:avLst>
            <a:gd name="adj" fmla="val 16670"/>
          </a:avLst>
        </a:prstGeom>
        <a:solidFill>
          <a:sysClr val="window" lastClr="FFFFFF"/>
        </a:solidFill>
        <a:ln w="25400" cap="flat" cmpd="sng" algn="ctr">
          <a:solidFill>
            <a:srgbClr val="92D050"/>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O" sz="1200" kern="1200">
              <a:solidFill>
                <a:sysClr val="windowText" lastClr="000000"/>
              </a:solidFill>
              <a:latin typeface="Arial" panose="020B0604020202020204" pitchFamily="34" charset="0"/>
              <a:ea typeface="+mn-ea"/>
              <a:cs typeface="Arial" panose="020B0604020202020204" pitchFamily="34" charset="0"/>
            </a:rPr>
            <a:t>79.5%</a:t>
          </a:r>
        </a:p>
      </dsp:txBody>
      <dsp:txXfrm>
        <a:off x="1067851" y="962252"/>
        <a:ext cx="856627" cy="3157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45191-9196-4D87-A05E-01E2508BC597}">
      <dsp:nvSpPr>
        <dsp:cNvPr id="0" name=""/>
        <dsp:cNvSpPr/>
      </dsp:nvSpPr>
      <dsp:spPr>
        <a:xfrm rot="5400000">
          <a:off x="3599245" y="-1559928"/>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Gestionar la obtención de recursos de cooperación técnica y financiera</a:t>
          </a:r>
        </a:p>
      </dsp:txBody>
      <dsp:txXfrm rot="-5400000">
        <a:off x="1996364" y="59713"/>
        <a:ext cx="3532331" cy="309808"/>
      </dsp:txXfrm>
    </dsp:sp>
    <dsp:sp modelId="{D6EA1911-8589-4B25-9DD2-0FB724A61462}">
      <dsp:nvSpPr>
        <dsp:cNvPr id="0" name=""/>
        <dsp:cNvSpPr/>
      </dsp:nvSpPr>
      <dsp:spPr>
        <a:xfrm>
          <a:off x="0" y="36"/>
          <a:ext cx="1996363" cy="4291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Gestión de Cooperación</a:t>
          </a:r>
        </a:p>
      </dsp:txBody>
      <dsp:txXfrm>
        <a:off x="20950" y="20986"/>
        <a:ext cx="1954463" cy="387260"/>
      </dsp:txXfrm>
    </dsp:sp>
    <dsp:sp modelId="{EAE53105-C687-416B-ADC7-8990840128A3}">
      <dsp:nvSpPr>
        <dsp:cNvPr id="0" name=""/>
        <dsp:cNvSpPr/>
      </dsp:nvSpPr>
      <dsp:spPr>
        <a:xfrm rot="5400000">
          <a:off x="3599245" y="-1109309"/>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Apoyo a la formulación de proyectos</a:t>
          </a:r>
        </a:p>
      </dsp:txBody>
      <dsp:txXfrm rot="-5400000">
        <a:off x="1996364" y="510332"/>
        <a:ext cx="3532331" cy="309808"/>
      </dsp:txXfrm>
    </dsp:sp>
    <dsp:sp modelId="{4FB9FB5C-8E55-4E39-A549-8DFB2BB506DE}">
      <dsp:nvSpPr>
        <dsp:cNvPr id="0" name=""/>
        <dsp:cNvSpPr/>
      </dsp:nvSpPr>
      <dsp:spPr>
        <a:xfrm>
          <a:off x="0" y="450655"/>
          <a:ext cx="1996363" cy="429160"/>
        </a:xfrm>
        <a:prstGeom prst="roundRect">
          <a:avLst/>
        </a:prstGeom>
        <a:solidFill>
          <a:schemeClr val="accent3">
            <a:hueOff val="1875044"/>
            <a:satOff val="-2813"/>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Proyectos Estratégicos </a:t>
          </a:r>
        </a:p>
      </dsp:txBody>
      <dsp:txXfrm>
        <a:off x="20950" y="471605"/>
        <a:ext cx="1954463" cy="387260"/>
      </dsp:txXfrm>
    </dsp:sp>
    <dsp:sp modelId="{74FCE7F0-DD2E-413F-BC9E-D7AB0C17A48F}">
      <dsp:nvSpPr>
        <dsp:cNvPr id="0" name=""/>
        <dsp:cNvSpPr/>
      </dsp:nvSpPr>
      <dsp:spPr>
        <a:xfrm rot="5400000">
          <a:off x="3599245" y="-658690"/>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Nuevas alianzas para el apoyo a los proyectos institucionales</a:t>
          </a:r>
        </a:p>
      </dsp:txBody>
      <dsp:txXfrm rot="-5400000">
        <a:off x="1996364" y="960951"/>
        <a:ext cx="3532331" cy="309808"/>
      </dsp:txXfrm>
    </dsp:sp>
    <dsp:sp modelId="{10F4CE13-5410-42F0-88FE-039B3725159C}">
      <dsp:nvSpPr>
        <dsp:cNvPr id="0" name=""/>
        <dsp:cNvSpPr/>
      </dsp:nvSpPr>
      <dsp:spPr>
        <a:xfrm>
          <a:off x="0" y="901274"/>
          <a:ext cx="1996363" cy="429160"/>
        </a:xfrm>
        <a:prstGeom prst="roundRect">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Gestión de Alianzas </a:t>
          </a:r>
        </a:p>
      </dsp:txBody>
      <dsp:txXfrm>
        <a:off x="20950" y="922224"/>
        <a:ext cx="1954463" cy="387260"/>
      </dsp:txXfrm>
    </dsp:sp>
    <dsp:sp modelId="{14BECF38-A039-4B0F-BE39-89DCC7EAABB0}">
      <dsp:nvSpPr>
        <dsp:cNvPr id="0" name=""/>
        <dsp:cNvSpPr/>
      </dsp:nvSpPr>
      <dsp:spPr>
        <a:xfrm rot="5400000">
          <a:off x="3474985" y="-126892"/>
          <a:ext cx="584482" cy="3545625"/>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Implementación de la Estrategia de Articulación con la cooperación en territorio.  </a:t>
          </a:r>
        </a:p>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Ejercicios de alineación con organismos internacionales  </a:t>
          </a:r>
        </a:p>
      </dsp:txBody>
      <dsp:txXfrm rot="-5400000">
        <a:off x="1994414" y="1382211"/>
        <a:ext cx="3517093" cy="527418"/>
      </dsp:txXfrm>
    </dsp:sp>
    <dsp:sp modelId="{4C77A5B4-F0DD-4590-8214-67CA9673F311}">
      <dsp:nvSpPr>
        <dsp:cNvPr id="0" name=""/>
        <dsp:cNvSpPr/>
      </dsp:nvSpPr>
      <dsp:spPr>
        <a:xfrm>
          <a:off x="0" y="1351893"/>
          <a:ext cx="1994414" cy="588053"/>
        </a:xfrm>
        <a:prstGeom prst="roundRect">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Participación en espacios de coordinación de la cooperación</a:t>
          </a:r>
        </a:p>
      </dsp:txBody>
      <dsp:txXfrm>
        <a:off x="28706" y="1380599"/>
        <a:ext cx="1937002" cy="530641"/>
      </dsp:txXfrm>
    </dsp:sp>
    <dsp:sp modelId="{2AFD99A1-0775-4A1F-AD4E-082C1C35FF17}">
      <dsp:nvSpPr>
        <dsp:cNvPr id="0" name=""/>
        <dsp:cNvSpPr/>
      </dsp:nvSpPr>
      <dsp:spPr>
        <a:xfrm rot="5400000">
          <a:off x="3599245" y="401439"/>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Intercambios de experiencias</a:t>
          </a:r>
        </a:p>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 Proyectos de Cooperación Sur-Sur (Misiones Técnicas al exterior y en Colombia)</a:t>
          </a:r>
        </a:p>
      </dsp:txBody>
      <dsp:txXfrm rot="-5400000">
        <a:off x="1996364" y="2021080"/>
        <a:ext cx="3532331" cy="309808"/>
      </dsp:txXfrm>
    </dsp:sp>
    <dsp:sp modelId="{58F8FDC4-DD7D-47C3-91B6-630AA741CDE2}">
      <dsp:nvSpPr>
        <dsp:cNvPr id="0" name=""/>
        <dsp:cNvSpPr/>
      </dsp:nvSpPr>
      <dsp:spPr>
        <a:xfrm>
          <a:off x="0" y="1961404"/>
          <a:ext cx="1996363" cy="429160"/>
        </a:xfrm>
        <a:prstGeom prst="roundRect">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Cooperación Sur - Sur</a:t>
          </a:r>
        </a:p>
      </dsp:txBody>
      <dsp:txXfrm>
        <a:off x="20950" y="1982354"/>
        <a:ext cx="1954463" cy="387260"/>
      </dsp:txXfrm>
    </dsp:sp>
    <dsp:sp modelId="{38EF2B59-BC43-4C9B-90FA-168E7D2024A1}">
      <dsp:nvSpPr>
        <dsp:cNvPr id="0" name=""/>
        <dsp:cNvSpPr/>
      </dsp:nvSpPr>
      <dsp:spPr>
        <a:xfrm rot="5400000">
          <a:off x="3599245" y="852058"/>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Seguimiento a las recomendaciones con las acciones 2016 y el resultado/efecto alcanzado </a:t>
          </a:r>
        </a:p>
      </dsp:txBody>
      <dsp:txXfrm rot="-5400000">
        <a:off x="1996364" y="2471699"/>
        <a:ext cx="3532331" cy="309808"/>
      </dsp:txXfrm>
    </dsp:sp>
    <dsp:sp modelId="{B2FD2C8C-2833-41F8-9D90-20360CDC5041}">
      <dsp:nvSpPr>
        <dsp:cNvPr id="0" name=""/>
        <dsp:cNvSpPr/>
      </dsp:nvSpPr>
      <dsp:spPr>
        <a:xfrm>
          <a:off x="0" y="2412023"/>
          <a:ext cx="1996363" cy="429160"/>
        </a:xfrm>
        <a:prstGeom prst="roundRect">
          <a:avLst/>
        </a:prstGeom>
        <a:solidFill>
          <a:schemeClr val="accent3">
            <a:hueOff val="9375220"/>
            <a:satOff val="-14067"/>
            <a:lumOff val="-22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Seguimiento a las Recomendaciones del Comité de los Derechos del Niño</a:t>
          </a:r>
        </a:p>
      </dsp:txBody>
      <dsp:txXfrm>
        <a:off x="20950" y="2432973"/>
        <a:ext cx="1954463" cy="387260"/>
      </dsp:txXfrm>
    </dsp:sp>
    <dsp:sp modelId="{0F9916FB-C8AE-4515-BEE6-D5B10A79B7B9}">
      <dsp:nvSpPr>
        <dsp:cNvPr id="0" name=""/>
        <dsp:cNvSpPr/>
      </dsp:nvSpPr>
      <dsp:spPr>
        <a:xfrm rot="5400000">
          <a:off x="3599245" y="1302677"/>
          <a:ext cx="343328" cy="3549091"/>
        </a:xfrm>
        <a:prstGeom prst="round2SameRect">
          <a:avLst/>
        </a:prstGeom>
        <a:solidFill>
          <a:srgbClr val="F0F0F0"/>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s-CO" sz="900" kern="1200" dirty="0">
              <a:latin typeface="Arial" panose="020B0604020202020204" pitchFamily="34" charset="0"/>
              <a:cs typeface="Arial" panose="020B0604020202020204" pitchFamily="34" charset="0"/>
            </a:rPr>
            <a:t>Respuesta a los informes internacionales y requerimientos de información (comentarios, informes obervaciones y reportes)</a:t>
          </a:r>
        </a:p>
      </dsp:txBody>
      <dsp:txXfrm rot="-5400000">
        <a:off x="1996364" y="2922318"/>
        <a:ext cx="3532331" cy="309808"/>
      </dsp:txXfrm>
    </dsp:sp>
    <dsp:sp modelId="{7C432851-15EC-41AF-B770-A8EA0FB2F155}">
      <dsp:nvSpPr>
        <dsp:cNvPr id="0" name=""/>
        <dsp:cNvSpPr/>
      </dsp:nvSpPr>
      <dsp:spPr>
        <a:xfrm>
          <a:off x="0" y="2862642"/>
          <a:ext cx="1996363" cy="429160"/>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es-CO" sz="900" b="1" kern="1200" dirty="0">
              <a:latin typeface="Arial" panose="020B0604020202020204" pitchFamily="34" charset="0"/>
              <a:cs typeface="Arial" panose="020B0604020202020204" pitchFamily="34" charset="0"/>
            </a:rPr>
            <a:t>Cumplimiento a los compromisos internacionales</a:t>
          </a:r>
        </a:p>
      </dsp:txBody>
      <dsp:txXfrm>
        <a:off x="20950" y="2883592"/>
        <a:ext cx="1954463" cy="387260"/>
      </dsp:txXfrm>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C5D4BA-25BE-47DE-8438-15C48DF8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205</Pages>
  <Words>104590</Words>
  <Characters>575249</Characters>
  <Application>Microsoft Office Word</Application>
  <DocSecurity>0</DocSecurity>
  <Lines>4793</Lines>
  <Paragraphs>1356</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Hewlett-Packard Company</Company>
  <LinksUpToDate>false</LinksUpToDate>
  <CharactersWithSpaces>678483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ICBF</dc:title>
  <dc:subject/>
  <dc:creator>Manuela Miranda Castrillon</dc:creator>
  <cp:keywords/>
  <cp:lastModifiedBy>Diana Sofia Cifuentes Lopez</cp:lastModifiedBy>
  <cp:revision>2</cp:revision>
  <cp:lastPrinted>2017-01-31T05:03:00Z</cp:lastPrinted>
  <dcterms:created xsi:type="dcterms:W3CDTF">2017-02-16T17:02:00Z</dcterms:created>
  <dcterms:modified xsi:type="dcterms:W3CDTF">2017-02-16T17:02:00Z</dcterms:modified>
</cp:coreProperties>
</file>