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RESOLUCIÓN 6970 DE 2018</w:t>
      </w:r>
    </w:p>
    <w:p w14:paraId="00000002" w14:textId="77777777" w:rsidR="0024035C" w:rsidRDefault="00000000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 de Expedición: 7 de junio de 2018</w:t>
      </w:r>
    </w:p>
    <w:p w14:paraId="00000003" w14:textId="77777777" w:rsidR="0024035C" w:rsidRDefault="00000000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Fecha de </w:t>
      </w:r>
      <w:proofErr w:type="gramStart"/>
      <w:r>
        <w:rPr>
          <w:rFonts w:ascii="Verdana" w:eastAsia="Verdana" w:hAnsi="Verdana" w:cs="Verdana"/>
        </w:rPr>
        <w:t>entrada en vigencia</w:t>
      </w:r>
      <w:proofErr w:type="gramEnd"/>
      <w:r>
        <w:rPr>
          <w:rFonts w:ascii="Verdana" w:eastAsia="Verdana" w:hAnsi="Verdana" w:cs="Verdana"/>
        </w:rPr>
        <w:t>: 7 de junio de 2018</w:t>
      </w:r>
    </w:p>
    <w:p w14:paraId="00000004" w14:textId="77777777" w:rsidR="0024035C" w:rsidRDefault="00000000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Estado de la vigencia:</w:t>
      </w:r>
      <w:r>
        <w:rPr>
          <w:rFonts w:ascii="Verdana" w:eastAsia="Verdana" w:hAnsi="Verdana" w:cs="Verdana"/>
          <w:highlight w:val="white"/>
        </w:rPr>
        <w:t xml:space="preserve"> </w:t>
      </w:r>
      <w:r>
        <w:rPr>
          <w:rFonts w:ascii="Verdana" w:eastAsia="Verdana" w:hAnsi="Verdana" w:cs="Verdana"/>
        </w:rPr>
        <w:t>Vigente</w:t>
      </w:r>
    </w:p>
    <w:p w14:paraId="00000005" w14:textId="77777777" w:rsidR="0024035C" w:rsidRDefault="0024035C">
      <w:pPr>
        <w:spacing w:line="240" w:lineRule="auto"/>
        <w:rPr>
          <w:rFonts w:ascii="Verdana" w:eastAsia="Verdana" w:hAnsi="Verdana" w:cs="Verdana"/>
        </w:rPr>
      </w:pPr>
    </w:p>
    <w:p w14:paraId="00000006" w14:textId="77777777" w:rsidR="0024035C" w:rsidRDefault="00000000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 de publicación en Diario Oficial: N/A</w:t>
      </w:r>
    </w:p>
    <w:p w14:paraId="00000007" w14:textId="77777777" w:rsidR="0024035C" w:rsidRDefault="00000000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Número del Diario Oficial: N/A</w:t>
      </w:r>
    </w:p>
    <w:p w14:paraId="00000008" w14:textId="77777777" w:rsidR="0024035C" w:rsidRDefault="0024035C">
      <w:pPr>
        <w:shd w:val="clear" w:color="auto" w:fill="FFFFFF"/>
        <w:jc w:val="center"/>
        <w:rPr>
          <w:rFonts w:ascii="Verdana" w:eastAsia="Verdana" w:hAnsi="Verdana" w:cs="Verdana"/>
          <w:b/>
          <w:bCs/>
        </w:rPr>
      </w:pPr>
    </w:p>
    <w:p w14:paraId="00000009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RESOLUCIÓN 6970 DE 2018</w:t>
      </w:r>
    </w:p>
    <w:p w14:paraId="0000000A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</w:t>
      </w:r>
      <w:proofErr w:type="gramStart"/>
      <w:r>
        <w:rPr>
          <w:rFonts w:ascii="Verdana" w:eastAsia="Verdana" w:hAnsi="Verdana" w:cs="Verdana"/>
        </w:rPr>
        <w:t>Junio</w:t>
      </w:r>
      <w:proofErr w:type="gramEnd"/>
      <w:r>
        <w:rPr>
          <w:rFonts w:ascii="Verdana" w:eastAsia="Verdana" w:hAnsi="Verdana" w:cs="Verdana"/>
        </w:rPr>
        <w:t xml:space="preserve"> 7)</w:t>
      </w:r>
    </w:p>
    <w:p w14:paraId="0000000B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INSTITUTO COLOMBIANO DE BIENESTAR FAMILIAR</w:t>
      </w:r>
    </w:p>
    <w:p w14:paraId="0000000C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Por la cual se integra y reglamenta el Comité Institucional de Gestión y Desempeño del Instituto Colombiano de Bienestar Familiar</w:t>
      </w:r>
    </w:p>
    <w:p w14:paraId="0000000D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LA DIRECTORA GENERAL DEL INSTITUTO COLOMBIANO DE BIENESTAR FAMILIAR - CECILIA DE LA FUENTE DE LLERAS</w:t>
      </w:r>
    </w:p>
    <w:p w14:paraId="0000000E" w14:textId="5AC93C5B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 uso de sus facultades legales, en especial las conferidas en el literal b) del artículo 28 de la Ley 7</w:t>
      </w:r>
      <w:r>
        <w:rPr>
          <w:rFonts w:ascii="Verdana" w:eastAsia="Verdana" w:hAnsi="Verdana" w:cs="Verdana"/>
          <w:vertAlign w:val="superscript"/>
        </w:rPr>
        <w:t>a</w:t>
      </w:r>
      <w:r>
        <w:rPr>
          <w:rFonts w:ascii="Verdana" w:eastAsia="Verdana" w:hAnsi="Verdana" w:cs="Verdana"/>
        </w:rPr>
        <w:t xml:space="preserve"> de 1979, el artículo 78 de la Ley 489 de 1998, y</w:t>
      </w:r>
    </w:p>
    <w:p w14:paraId="0000000F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CONSIDERANDO:</w:t>
      </w:r>
    </w:p>
    <w:p w14:paraId="00000010" w14:textId="5BDE00C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el Instituto Colombiano de Bienestar Familiar es un establecimiento público del orden nacional, con personería jurídica, autonomía administrativa y patrimonio propio adscrito al Departamento Administrativo de la Prosperidad Social, creado por la Ley 75 de 1968.</w:t>
      </w:r>
    </w:p>
    <w:p w14:paraId="00000011" w14:textId="1D0C27FC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el Decreto 987 de 2012 “Por el cual se modifica la estructura del Instituto Colombiano de Bienestar Familiar “Cecilia de la Fuente de Lleras” y se determinan las funciones de sus dependencias”, en el artículo 1o determina que para el desarrollo de sus funciones el ICBF contara en su estructura organizacional con varios órganos de asesoría y coordinación entre los cuales están los que denominan Comité de Coordinación del Sistema de Control Interno y Comité de Gestión Integral.</w:t>
      </w:r>
    </w:p>
    <w:p w14:paraId="00000012" w14:textId="60E7E93B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el artículo 133 de la Ley 1753 de 2015 (Plan Nacional de Desarrollo 2014-2018 “Todos por un nuevo país), dispuso: “intégrese en un solo Sistema de Gestión los Sistemas de Gestión de la Calidad de que trata la Ley 872 de 2003 y de Desarrollo Administrativo de que trata la Ley 489 de 1998. El Sistema de Gestión deberá articularse con los Sistemas Nacional e Institucional de Control Interno consagrado en la Ley 87 de 1993 y en los artículos 27 al 29 de la Ley 489 de 1998 de tal manera que permita el fortalecimiento de los mecanismos, métodos y procedimientos de control al interior de los organismos y entidades del Estado. (...)"</w:t>
      </w:r>
    </w:p>
    <w:p w14:paraId="00000013" w14:textId="7DCEF095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Que mediante la Resolución 8080 de 2016 se aprobó el Manual del Sistema Integrado de Gestión y se adoptó el nuevo modelo de operación por procesos del Instituto Colombiano de Bienestar Familiar Cecilia de la Fuente de Lleras ICBF.</w:t>
      </w:r>
    </w:p>
    <w:p w14:paraId="00000014" w14:textId="36A3F4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la Resolución 7666 de 2016 expedida por la </w:t>
      </w:r>
      <w:proofErr w:type="gramStart"/>
      <w:r>
        <w:rPr>
          <w:rFonts w:ascii="Verdana" w:eastAsia="Verdana" w:hAnsi="Verdana" w:cs="Verdana"/>
        </w:rPr>
        <w:t>Directora General</w:t>
      </w:r>
      <w:proofErr w:type="gramEnd"/>
      <w:r>
        <w:rPr>
          <w:rFonts w:ascii="Verdana" w:eastAsia="Verdana" w:hAnsi="Verdana" w:cs="Verdana"/>
        </w:rPr>
        <w:t xml:space="preserve"> del ICBF, reestructuró el funcionamiento del Comité de Desarrollo Administrativo, unificándolo con el Comité de Peticiones, Quejas, Reclamos, Denuncias y Sugerencias (PQRDS).</w:t>
      </w:r>
    </w:p>
    <w:p w14:paraId="00000015" w14:textId="74972D8B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mediante la Resolución No. 7070 de 2017 expedida por la </w:t>
      </w:r>
      <w:proofErr w:type="gramStart"/>
      <w:r>
        <w:rPr>
          <w:rFonts w:ascii="Verdana" w:eastAsia="Verdana" w:hAnsi="Verdana" w:cs="Verdana"/>
        </w:rPr>
        <w:t>Directora General</w:t>
      </w:r>
      <w:proofErr w:type="gramEnd"/>
      <w:r>
        <w:rPr>
          <w:rFonts w:ascii="Verdana" w:eastAsia="Verdana" w:hAnsi="Verdana" w:cs="Verdana"/>
        </w:rPr>
        <w:t xml:space="preserve"> del ICBF, se reorganizó el Sistema Integrado de Gestión frente a roles y responsabilidades de actores que inciden directamente en la implementación y sostenibilidad </w:t>
      </w:r>
      <w:proofErr w:type="gramStart"/>
      <w:r>
        <w:rPr>
          <w:rFonts w:ascii="Verdana" w:eastAsia="Verdana" w:hAnsi="Verdana" w:cs="Verdana"/>
        </w:rPr>
        <w:t>del mismo</w:t>
      </w:r>
      <w:proofErr w:type="gramEnd"/>
      <w:r>
        <w:rPr>
          <w:rFonts w:ascii="Verdana" w:eastAsia="Verdana" w:hAnsi="Verdana" w:cs="Verdana"/>
        </w:rPr>
        <w:t xml:space="preserve"> con el fin de fortalecer el enfoque por procesos y la articulación de los ejes para mejorar los resultados de la gestión.</w:t>
      </w:r>
    </w:p>
    <w:p w14:paraId="00000016" w14:textId="1BDAF124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el Gobierno Nacional expidió el Decreto 1499 de 2017, que modificó el Decreto 1083 de 2015, reglamentando el alcance del Sistema de Gestión y su articulación con el Sistema de Control Interno, y actualizando el Modelo Integrado de Planeación de Gestión, el cual conforme lo establecido en su artículo 2.2.22.3.4 debe ser adoptado por los organismos y entidades de los órdenes nacional y territorial de la rama ejecutiva del poder público.</w:t>
      </w:r>
    </w:p>
    <w:p w14:paraId="00000017" w14:textId="610806B9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el artículo 2.2.22.3.8 del Decreto 1083 de 2015 modificado por el Decreto 1499 de 2017, dispone que en las entidades públicas se integrará un Comité Institucional de Gestión y Desempeño, encargado de orientar la implementación y operación del modelo integrado de Planeación y Gestión, el cual sustituirá los demás comités que tengan relación con el modelo y que no sean obligatorios por mandato legal.</w:t>
      </w:r>
    </w:p>
    <w:p w14:paraId="00000018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Que</w:t>
      </w:r>
      <w:proofErr w:type="gramEnd"/>
      <w:r>
        <w:rPr>
          <w:rFonts w:ascii="Verdana" w:eastAsia="Verdana" w:hAnsi="Verdana" w:cs="Verdana"/>
        </w:rPr>
        <w:t xml:space="preserve"> en consecuencia de lo anterior, se hace necesario integrar y reglamentar el Comité Institucional de Gestión y Desempeño en el ICBF, el cual integrará las actividades que adelantaba el Comité de Desarrollo Administrativo y el Comité de Coordinación del Sistema Integrado de Gestión.</w:t>
      </w:r>
    </w:p>
    <w:p w14:paraId="00000019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Que</w:t>
      </w:r>
      <w:proofErr w:type="gramEnd"/>
      <w:r>
        <w:rPr>
          <w:rFonts w:ascii="Verdana" w:eastAsia="Verdana" w:hAnsi="Verdana" w:cs="Verdana"/>
        </w:rPr>
        <w:t xml:space="preserve"> de acuerdo con lo anteriormente expuesto,</w:t>
      </w:r>
    </w:p>
    <w:p w14:paraId="0000001A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RESUELVE</w:t>
      </w:r>
    </w:p>
    <w:p w14:paraId="0000001B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PRIMERO.</w:t>
      </w:r>
      <w:r>
        <w:rPr>
          <w:rFonts w:ascii="Verdana" w:eastAsia="Verdana" w:hAnsi="Verdana" w:cs="Verdana"/>
        </w:rPr>
        <w:t xml:space="preserve"> OBJETO. Integrar el Comité Institucional de Gestión y Desempeño en el ICBF que tendrá como objeto orientar la implementación y operación del Modelo Integrado de Planeación y Gestión en el Instituto Colombiano de Bienestar Familiar.</w:t>
      </w:r>
    </w:p>
    <w:p w14:paraId="0000001C" w14:textId="2A5024A0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SEGUNDO.</w:t>
      </w:r>
      <w:r>
        <w:rPr>
          <w:rFonts w:ascii="Verdana" w:eastAsia="Verdana" w:hAnsi="Verdana" w:cs="Verdana"/>
        </w:rPr>
        <w:t xml:space="preserve"> CONFORMACIÓN. [Artículo modificado por el artículo 1 de la Resolución 2674 de 2019] </w:t>
      </w:r>
    </w:p>
    <w:p w14:paraId="0000001D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El Comité Institucional de Gestión y Desempeño del Instituto Colombiano de Bienestar Familiar estará conformado por:</w:t>
      </w:r>
    </w:p>
    <w:p w14:paraId="0000001E" w14:textId="77777777" w:rsidR="0024035C" w:rsidRDefault="00000000">
      <w:pPr>
        <w:shd w:val="clear" w:color="auto" w:fill="FFFFFF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1. </w:t>
      </w:r>
      <w:proofErr w:type="gramStart"/>
      <w:r>
        <w:rPr>
          <w:rFonts w:ascii="Verdana" w:eastAsia="Verdana" w:hAnsi="Verdana" w:cs="Verdana"/>
        </w:rPr>
        <w:t>Secretario General</w:t>
      </w:r>
      <w:proofErr w:type="gramEnd"/>
      <w:r>
        <w:rPr>
          <w:rFonts w:ascii="Verdana" w:eastAsia="Verdana" w:hAnsi="Verdana" w:cs="Verdana"/>
        </w:rPr>
        <w:t>, quien lo liderará</w:t>
      </w:r>
      <w:r>
        <w:rPr>
          <w:rFonts w:ascii="Verdana" w:eastAsia="Verdana" w:hAnsi="Verdana" w:cs="Verdana"/>
        </w:rPr>
        <w:br/>
        <w:t>2. Subdirector General</w:t>
      </w:r>
      <w:r>
        <w:rPr>
          <w:rFonts w:ascii="Verdana" w:eastAsia="Verdana" w:hAnsi="Verdana" w:cs="Verdana"/>
        </w:rPr>
        <w:br/>
        <w:t>3. Director de Planeación y Control de Gestión</w:t>
      </w:r>
      <w:r>
        <w:rPr>
          <w:rFonts w:ascii="Verdana" w:eastAsia="Verdana" w:hAnsi="Verdana" w:cs="Verdana"/>
        </w:rPr>
        <w:br/>
        <w:t>4. Director de Gestión Humana</w:t>
      </w:r>
      <w:r>
        <w:rPr>
          <w:rFonts w:ascii="Verdana" w:eastAsia="Verdana" w:hAnsi="Verdana" w:cs="Verdana"/>
        </w:rPr>
        <w:br/>
        <w:t>5. Director de Servicios y Atención</w:t>
      </w:r>
      <w:r>
        <w:rPr>
          <w:rFonts w:ascii="Verdana" w:eastAsia="Verdana" w:hAnsi="Verdana" w:cs="Verdana"/>
        </w:rPr>
        <w:br/>
        <w:t>6. Director Información y Tecnología</w:t>
      </w:r>
      <w:r>
        <w:rPr>
          <w:rFonts w:ascii="Verdana" w:eastAsia="Verdana" w:hAnsi="Verdana" w:cs="Verdana"/>
        </w:rPr>
        <w:br/>
        <w:t>7. Director de Administrativa</w:t>
      </w:r>
      <w:r>
        <w:rPr>
          <w:rFonts w:ascii="Verdana" w:eastAsia="Verdana" w:hAnsi="Verdana" w:cs="Verdana"/>
        </w:rPr>
        <w:br/>
        <w:t>8. Director Financiero</w:t>
      </w:r>
      <w:r>
        <w:rPr>
          <w:rFonts w:ascii="Verdana" w:eastAsia="Verdana" w:hAnsi="Verdana" w:cs="Verdana"/>
        </w:rPr>
        <w:br/>
        <w:t>9. Director del Sistema Nacional de Bienestar Familiar</w:t>
      </w:r>
      <w:r>
        <w:rPr>
          <w:rFonts w:ascii="Verdana" w:eastAsia="Verdana" w:hAnsi="Verdana" w:cs="Verdana"/>
        </w:rPr>
        <w:br/>
        <w:t>10. Director de Primera Infancia</w:t>
      </w:r>
    </w:p>
    <w:p w14:paraId="0000001F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11.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Niñez y Adolescencia</w:t>
      </w:r>
    </w:p>
    <w:p w14:paraId="00000020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12.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Familia y Comunidad</w:t>
      </w:r>
    </w:p>
    <w:p w14:paraId="00000021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13.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Protección</w:t>
      </w:r>
    </w:p>
    <w:p w14:paraId="00000022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14. </w:t>
      </w:r>
      <w:proofErr w:type="gramStart"/>
      <w:r>
        <w:rPr>
          <w:rFonts w:ascii="Verdana" w:eastAsia="Verdana" w:hAnsi="Verdana" w:cs="Verdana"/>
        </w:rPr>
        <w:t>Jefe</w:t>
      </w:r>
      <w:proofErr w:type="gramEnd"/>
      <w:r>
        <w:rPr>
          <w:rFonts w:ascii="Verdana" w:eastAsia="Verdana" w:hAnsi="Verdana" w:cs="Verdana"/>
        </w:rPr>
        <w:t xml:space="preserve"> Oficina de Gestión Regional</w:t>
      </w:r>
    </w:p>
    <w:p w14:paraId="00000023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15. </w:t>
      </w:r>
      <w:proofErr w:type="gramStart"/>
      <w:r>
        <w:rPr>
          <w:rFonts w:ascii="Verdana" w:eastAsia="Verdana" w:hAnsi="Verdana" w:cs="Verdana"/>
        </w:rPr>
        <w:t>Jefe</w:t>
      </w:r>
      <w:proofErr w:type="gramEnd"/>
      <w:r>
        <w:rPr>
          <w:rFonts w:ascii="Verdana" w:eastAsia="Verdana" w:hAnsi="Verdana" w:cs="Verdana"/>
        </w:rPr>
        <w:t xml:space="preserve"> Oficina Asesora Jurídica</w:t>
      </w:r>
    </w:p>
    <w:p w14:paraId="00000024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16. </w:t>
      </w:r>
      <w:proofErr w:type="gramStart"/>
      <w:r>
        <w:rPr>
          <w:rFonts w:ascii="Verdana" w:eastAsia="Verdana" w:hAnsi="Verdana" w:cs="Verdana"/>
        </w:rPr>
        <w:t>Subdirector</w:t>
      </w:r>
      <w:proofErr w:type="gramEnd"/>
      <w:r>
        <w:rPr>
          <w:rFonts w:ascii="Verdana" w:eastAsia="Verdana" w:hAnsi="Verdana" w:cs="Verdana"/>
        </w:rPr>
        <w:t xml:space="preserve"> de Monitoreo y Evaluación</w:t>
      </w:r>
    </w:p>
    <w:p w14:paraId="00000025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17. </w:t>
      </w:r>
      <w:proofErr w:type="gramStart"/>
      <w:r>
        <w:rPr>
          <w:rFonts w:ascii="Verdana" w:eastAsia="Verdana" w:hAnsi="Verdana" w:cs="Verdana"/>
        </w:rPr>
        <w:t>Subdirector</w:t>
      </w:r>
      <w:proofErr w:type="gramEnd"/>
      <w:r>
        <w:rPr>
          <w:rFonts w:ascii="Verdana" w:eastAsia="Verdana" w:hAnsi="Verdana" w:cs="Verdana"/>
        </w:rPr>
        <w:t xml:space="preserve"> de Mejoramiento Organizacional</w:t>
      </w:r>
    </w:p>
    <w:p w14:paraId="00000026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PARÁGRAFO PRIMERO.</w:t>
      </w:r>
      <w:r>
        <w:rPr>
          <w:rFonts w:ascii="Verdana" w:eastAsia="Verdana" w:hAnsi="Verdana" w:cs="Verdana"/>
        </w:rPr>
        <w:t xml:space="preserve"> A las sesiones del comité asistirá como invitado permanente el </w:t>
      </w:r>
      <w:proofErr w:type="gramStart"/>
      <w:r>
        <w:rPr>
          <w:rFonts w:ascii="Verdana" w:eastAsia="Verdana" w:hAnsi="Verdana" w:cs="Verdana"/>
        </w:rPr>
        <w:t>Jefe</w:t>
      </w:r>
      <w:proofErr w:type="gramEnd"/>
      <w:r>
        <w:rPr>
          <w:rFonts w:ascii="Verdana" w:eastAsia="Verdana" w:hAnsi="Verdana" w:cs="Verdana"/>
        </w:rPr>
        <w:t xml:space="preserve"> de la Oficina de Control Interno quien tendrá </w:t>
      </w:r>
      <w:proofErr w:type="gramStart"/>
      <w:r>
        <w:rPr>
          <w:rFonts w:ascii="Verdana" w:eastAsia="Verdana" w:hAnsi="Verdana" w:cs="Verdana"/>
        </w:rPr>
        <w:t>voz</w:t>
      </w:r>
      <w:proofErr w:type="gramEnd"/>
      <w:r>
        <w:rPr>
          <w:rFonts w:ascii="Verdana" w:eastAsia="Verdana" w:hAnsi="Verdana" w:cs="Verdana"/>
        </w:rPr>
        <w:t xml:space="preserve"> pero no voto.</w:t>
      </w:r>
    </w:p>
    <w:p w14:paraId="00000027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PARÁGRAFO SEGUNDO.</w:t>
      </w:r>
      <w:r>
        <w:rPr>
          <w:rFonts w:ascii="Verdana" w:eastAsia="Verdana" w:hAnsi="Verdana" w:cs="Verdana"/>
        </w:rPr>
        <w:t xml:space="preserve"> Los miembros podrán invitar a las sesiones a los colaboradores que consideren, de acuerdo con los temas previstos en el orden del día. Sin embargo, su presencia se limitará a la exposición o participación en el asunto para el cual sean llamados.</w:t>
      </w:r>
    </w:p>
    <w:p w14:paraId="00000028" w14:textId="0DB35BBF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TERCERO. </w:t>
      </w:r>
      <w:r>
        <w:rPr>
          <w:rFonts w:ascii="Verdana" w:eastAsia="Verdana" w:hAnsi="Verdana" w:cs="Verdana"/>
        </w:rPr>
        <w:t>RESPONSABILIDADES DEL COMITÉ INSTITUCIONAL DE GESTIÓN Y DESEMPEÑO. [Artículo modificado por el artículo 2 de la Resolución 2674 de 2019] Sin perjuicio de las responsabilidades establecidas en el título 22 de la Parte 2 del Libro 2 del Decreto 1083 de 2015 adicionado por el Decreto 1499 de 2017, tendrá las siguientes responsabilidades:</w:t>
      </w:r>
    </w:p>
    <w:p w14:paraId="00000029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1. Aprobar y hacer seguimiento, por lo menos una vez cada tres meses, a las acciones y estrategias adoptadas para la operación del Modelo Integrado de Planeación y Gestión -MIPG, por dimensión y eje del sistema integrado de gestión</w:t>
      </w:r>
    </w:p>
    <w:p w14:paraId="0000002A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2. Articular los esfuerzos institucionales, recursos, metodologías y estrategias para asegurar la implementación, sostenibilidad y mejora del Modelo Integrado de Planeación y Gestión - MIPG.</w:t>
      </w:r>
    </w:p>
    <w:p w14:paraId="0000002B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3. Proponer al Comité Sectorial de Gestión y Desempeño Institucional, iniciativas que contribuyan al mejoramiento en la implementación y operación del Modelo Integrado de Planeación y Gestión -MIPG.</w:t>
      </w:r>
    </w:p>
    <w:p w14:paraId="0000002C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4. Presentar los informes que el Comité Sectorial de Gestión y Desempeño Institucional y los organismos de control requieran sobre la gestión y el desempeño de la entidad.</w:t>
      </w:r>
    </w:p>
    <w:p w14:paraId="0000002D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 Adelantar y promover acciones permanentes de autodiagnóstico para facilitar la valoración interna de la gestión.</w:t>
      </w:r>
    </w:p>
    <w:p w14:paraId="0000002E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6. Socializar el Plan de Acción Integral al interior de la entidad, para facilitar el conocimiento y generar compromiso en sus colaboradores con el efectivo cumplimiento de las metas establecidas.</w:t>
      </w:r>
    </w:p>
    <w:p w14:paraId="0000002F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7. Socializar y propender por la adecuada implementación de las siete (7) dimensiones y las dieciséis (16) políticas establecidas en el Manual de Operativo del Modelo Integrado de Planeación y Gestión.</w:t>
      </w:r>
    </w:p>
    <w:p w14:paraId="00000030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8. Promover el fortalecimiento del liderazgo y el talento humano bajo los principios de integridad y legalidad, como motores de la generación de resultados.</w:t>
      </w:r>
    </w:p>
    <w:p w14:paraId="00000031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9. Apoyar el desarrollo de una cultura organizacional fundamentada en la información, el control y la evaluación, para la toma de decisiones y la mejora continua.</w:t>
      </w:r>
    </w:p>
    <w:p w14:paraId="00000032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10. Facilitar y promover la efectiva participación ciudadana en la planeación, gestión y evaluación del Instituto.</w:t>
      </w:r>
    </w:p>
    <w:p w14:paraId="00000033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11. Promover la coordinación con otras entidades para mejorar la gestión y desempeño.</w:t>
      </w:r>
    </w:p>
    <w:p w14:paraId="00000034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12. Diseñar e implementar directrices y herramientas preventivas para el fortalecimiento institucional en la lucha contra la corrupción, blindaje electoral, acceso a la información y trasparencia.</w:t>
      </w:r>
    </w:p>
    <w:p w14:paraId="00000035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13. Aprobar el mapa de operación por procesos y promover su divulgación y su correcta aplicación.</w:t>
      </w:r>
    </w:p>
    <w:p w14:paraId="00000036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14. Aprobar y promover la implementación las políticas y objetivos de gestión y directrices en materia de Calidad, Seguridad y Salud en el Trabajo, Seguridad Digital y de la Información y Ambiental en el marco del Sistema Integrado de Gestión.</w:t>
      </w:r>
    </w:p>
    <w:p w14:paraId="00000037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15. Aprobar y apoyar la implementación de los planes de continuidad del negocio que se establezcan con el fin de mitigar los riesgos asociados a la interrupción de la operación.</w:t>
      </w:r>
    </w:p>
    <w:p w14:paraId="00000038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16. Emitir orientaciones que propendan que la información del ICBF se encuentre protegida apropiadamente, sobre los pilares de la confidencialidad, la integridad y la disponibilidad de la información, así como de los recursos informáticos y físicos que la soportan.</w:t>
      </w:r>
    </w:p>
    <w:p w14:paraId="00000039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17. Realizar la revisión del Sistema Integrado de Gestión con el fin de asegurar la conveniencia, adecuación, eficacia, eficiencia, efectividad y alineación continúa con el marco estratégico de la entidad.</w:t>
      </w:r>
    </w:p>
    <w:p w14:paraId="0000003A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18. Revisar y aprobar la matriz de los riesgos de corrupción, así mismo, conocer los demás riesgos en la entidad y apoyar su gestión.</w:t>
      </w:r>
    </w:p>
    <w:p w14:paraId="0000003B" w14:textId="4054D4AE" w:rsidR="0024035C" w:rsidRDefault="00000000">
      <w:pPr>
        <w:shd w:val="clear" w:color="auto" w:fill="FFFFFF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19. Adelantar las funciones del Comité Interno de Archivo definidas en el artículo 2.8.2.1.16 del Decreto 1080 de 2015.</w:t>
      </w:r>
    </w:p>
    <w:p w14:paraId="0000003C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20. Proponer a la Dirección General la creación de Subcomités o Mesas de Trabajo para el fortalecimiento de las políticas relacionadas con el Modelo Integrado de Planeación y Gestión.</w:t>
      </w:r>
    </w:p>
    <w:p w14:paraId="0000003D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21. Las demás que tengan relación directa con la implementación, desarrollo y evaluación del Modelo Integrado de Planeación y Gestión del Instituto Colombiano de Bienestar Familiar.</w:t>
      </w:r>
    </w:p>
    <w:p w14:paraId="0000003E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PARÁGRAFO PRIMERO.</w:t>
      </w:r>
      <w:r>
        <w:rPr>
          <w:rFonts w:ascii="Verdana" w:eastAsia="Verdana" w:hAnsi="Verdana" w:cs="Verdana"/>
        </w:rPr>
        <w:t xml:space="preserve"> Este Comité integra el Comité de Desarrollo Administrativo y el Comité del Sistema Integrado de Gestión y sustituye los demás comités que tengan relación directa con la implementación del Modelo Integrado de Planeación y Gestión - MIPG.</w:t>
      </w:r>
    </w:p>
    <w:p w14:paraId="0000003F" w14:textId="6DDC1B00" w:rsidR="0024035C" w:rsidRDefault="00000000">
      <w:pPr>
        <w:shd w:val="clear" w:color="auto" w:fill="FFFFFF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PARÁGRAFO SEGUNDO.</w:t>
      </w:r>
      <w:r>
        <w:rPr>
          <w:rFonts w:ascii="Verdana" w:eastAsia="Verdana" w:hAnsi="Verdana" w:cs="Verdana"/>
        </w:rPr>
        <w:t xml:space="preserve"> El Subcomité de Coordinación del Sistema Integrado de Gestión - SIGE establecido en el artículo 13 de la Resolución No. 7070 de 2017, así como los Comités de Archivo en las Regionales y la Mesa de Blindaje Electoral de que tratan los artículos 9 y siguientes, y 16 y siguientes de la Resolución No. 7666 de 2016 respectivamente, seguirán vigentes y harán parte del Comité Institucional de Gestión y Desempeño.</w:t>
      </w:r>
    </w:p>
    <w:p w14:paraId="00000040" w14:textId="77777777" w:rsidR="0024035C" w:rsidRDefault="00000000">
      <w:pPr>
        <w:shd w:val="clear" w:color="auto" w:fill="FFFFFF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</w:p>
    <w:p w14:paraId="00000041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CUARTO.</w:t>
      </w:r>
      <w:r>
        <w:rPr>
          <w:rFonts w:ascii="Verdana" w:eastAsia="Verdana" w:hAnsi="Verdana" w:cs="Verdana"/>
        </w:rPr>
        <w:t xml:space="preserve"> SECRETARÍA TÉCNICA. La Secretaría Técnica del Comité Institucional de Gestión y Desempeño será ejercida por 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Planeación y Control de Gestión.</w:t>
      </w:r>
    </w:p>
    <w:p w14:paraId="00000042" w14:textId="77777777" w:rsidR="0024035C" w:rsidRDefault="00000000">
      <w:pPr>
        <w:shd w:val="clear" w:color="auto" w:fill="FFFFFF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QUINTO.</w:t>
      </w:r>
      <w:r>
        <w:rPr>
          <w:rFonts w:ascii="Verdana" w:eastAsia="Verdana" w:hAnsi="Verdana" w:cs="Verdana"/>
        </w:rPr>
        <w:t xml:space="preserve"> FUNCIONES DE LA SECRETARÍA TÉCNICA. Son funciones de la Secretaría Técnica las descritas a continuación:</w:t>
      </w:r>
    </w:p>
    <w:p w14:paraId="00000043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1. Convocar por escrito a las reuniones ordinarias del Comité, con una antelación no inferior a cinco (5) días calendario a la fecha indicada para cada sesión, remitiendo el correspondiente orden del día, indicando el lugar y hora de la reunión.</w:t>
      </w:r>
    </w:p>
    <w:p w14:paraId="00000044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2. Extender invitación, según asuntos a tratar, a los colaboradores de la entidad que tengan relación con los mismos.</w:t>
      </w:r>
    </w:p>
    <w:p w14:paraId="00000045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3. Citar a sesiones extraordinarias cuando el líder del Comité lo solicite.</w:t>
      </w:r>
    </w:p>
    <w:p w14:paraId="00000046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4. Elaborar las actas en cada sesión del Comité, las cuales se numerarán consecutivamente con indicación del día, mes y año de la respectiva reunión.</w:t>
      </w:r>
    </w:p>
    <w:p w14:paraId="00000047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 Custodiar y administrar el archivo de las actas, sus anexos y demás documentos relacionados con el Comité.</w:t>
      </w:r>
    </w:p>
    <w:p w14:paraId="00000048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6. Recopilar y consolidar la información necesaria para reportar el seguimiento de las dimensiones del Modelo y presentar los informes de avance de la implementación del Modelo Integrado de Planeación y Gestión a los miembros del Comité.</w:t>
      </w:r>
    </w:p>
    <w:p w14:paraId="00000049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7. Realizar seguimiento al cumplimiento de las decisiones adoptadas por el Comité.</w:t>
      </w:r>
    </w:p>
    <w:p w14:paraId="0000004A" w14:textId="393FADF1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SEXTO.</w:t>
      </w:r>
      <w:r>
        <w:rPr>
          <w:rFonts w:ascii="Verdana" w:eastAsia="Verdana" w:hAnsi="Verdana" w:cs="Verdana"/>
        </w:rPr>
        <w:t xml:space="preserve"> SESIONES. El Comité Institucional de Gestión y Desempeño se reunirá de acuerdo con las necesidades planteadas tanto por el líder del Comité como la secretaria técnica, cuya frecuencia no podrá ser inferior a una (1) vez por trimestre de manera ordinaria, previa convocatoria del </w:t>
      </w:r>
      <w:proofErr w:type="gramStart"/>
      <w:r>
        <w:rPr>
          <w:rFonts w:ascii="Verdana" w:eastAsia="Verdana" w:hAnsi="Verdana" w:cs="Verdana"/>
        </w:rPr>
        <w:t>Secretario Técnico</w:t>
      </w:r>
      <w:proofErr w:type="gramEnd"/>
      <w:r>
        <w:rPr>
          <w:rFonts w:ascii="Verdana" w:eastAsia="Verdana" w:hAnsi="Verdana" w:cs="Verdana"/>
        </w:rPr>
        <w:t>. Igualmente, y cuando las circunstancias lo ameriten, podrá citarse a sesiones extraordinarias. Las sesiones ordinarias serán presenciales; las sesiones extraordinarias podrán ser presenciales o virtuales de conformidad con lo establecido en el artículo 63 del Código de Procedimiento Administrativo y de lo Contencioso Administrativo, para lo cual se hará uso de los medios tecnológicos disponibles.</w:t>
      </w:r>
    </w:p>
    <w:p w14:paraId="0000004B" w14:textId="399FBA14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SÉPTIMO.</w:t>
      </w:r>
      <w:r>
        <w:rPr>
          <w:rFonts w:ascii="Verdana" w:eastAsia="Verdana" w:hAnsi="Verdana" w:cs="Verdana"/>
        </w:rPr>
        <w:t xml:space="preserve"> QUORUM. El Comité Institucional de Gestión y Desempeño del ICBF deliberará y decidirá con la mitad más uno de los miembros del Comité que cuenten con voz y voto, teniendo en cuenta lo mencionado en el Artículo 2o de la presente resolución.</w:t>
      </w:r>
    </w:p>
    <w:p w14:paraId="0000004C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PARÁGRAFO. </w:t>
      </w:r>
      <w:r>
        <w:rPr>
          <w:rFonts w:ascii="Verdana" w:eastAsia="Verdana" w:hAnsi="Verdana" w:cs="Verdana"/>
        </w:rPr>
        <w:t>El Comité tomará sus decisiones con base en los informes elaborados y presentados por los responsables según los temas a tratar en cada sesión y demás criterios técnicos que consideren pertinentes.</w:t>
      </w:r>
    </w:p>
    <w:p w14:paraId="0000004D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OCTAVO. </w:t>
      </w:r>
      <w:r>
        <w:rPr>
          <w:rFonts w:ascii="Verdana" w:eastAsia="Verdana" w:hAnsi="Verdana" w:cs="Verdana"/>
        </w:rPr>
        <w:t>APROBACIÓN DE LAS ACTAS. La Secretaría Técnica enviará por correo electrónico el proyecto de acta a los integrantes del Comité dentro de los diez (10) días hábiles siguientes a la sesión, los cuales deberán aprobarla o hacer sus observaciones dentro de los tres (3) días hábiles siguientes. Si vencido el plazo no se han recibido observaciones, se entenderá que el proyecto de acta fue aprobado.</w:t>
      </w:r>
    </w:p>
    <w:p w14:paraId="0000004E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 caso de que existan observaciones o comentarios, se procederá a realizar los ajustes sugeridos de ser procedentes y elaborar la versión definitiva dentro de los tres (3) días hábiles siguientes al recibo de las observaciones.</w:t>
      </w:r>
    </w:p>
    <w:p w14:paraId="0000004F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Para la realización de las actas, la secretaria técnica se podrá apoyar en las dependencias que tengan la competencia y que hayan participado en las sesiones del Comité.</w:t>
      </w:r>
    </w:p>
    <w:p w14:paraId="00000050" w14:textId="63C35AD0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PARÁGRAFO PRIMERO.</w:t>
      </w:r>
      <w:r>
        <w:rPr>
          <w:rFonts w:ascii="Verdana" w:eastAsia="Verdana" w:hAnsi="Verdana" w:cs="Verdana"/>
        </w:rPr>
        <w:t xml:space="preserve"> Atendiendo a lo establecido en el artículo 33 del Decreto 019 de 2012, las actas del Comité Institucional de Gestión y Desempeño serán firmadas por el Líder y el </w:t>
      </w:r>
      <w:proofErr w:type="gramStart"/>
      <w:r>
        <w:rPr>
          <w:rFonts w:ascii="Verdana" w:eastAsia="Verdana" w:hAnsi="Verdana" w:cs="Verdana"/>
        </w:rPr>
        <w:t>Secretario Técnico</w:t>
      </w:r>
      <w:proofErr w:type="gramEnd"/>
      <w:r>
        <w:rPr>
          <w:rFonts w:ascii="Verdana" w:eastAsia="Verdana" w:hAnsi="Verdana" w:cs="Verdana"/>
        </w:rPr>
        <w:t xml:space="preserve"> del Comité.</w:t>
      </w:r>
    </w:p>
    <w:p w14:paraId="00000051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NOVENO. </w:t>
      </w:r>
      <w:r>
        <w:rPr>
          <w:rFonts w:ascii="Verdana" w:eastAsia="Verdana" w:hAnsi="Verdana" w:cs="Verdana"/>
        </w:rPr>
        <w:t>REFERENCIAS. Las referencias o menciones que en actos administrativos anteriores se hubieren realizado al Comité de Desarrollo Administrativo y al Comité de Coordinación del Sistema Integrado de Gestión deben entenderse en adelante que hacen referencia al Comité Institucional de Gestión y Desempeño del Instituto Colombiano de Bienestar Familiar.</w:t>
      </w:r>
    </w:p>
    <w:p w14:paraId="00000052" w14:textId="77777777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b/>
          <w:bCs/>
        </w:rPr>
        <w:t xml:space="preserve">ARTÍCULO DÉCIMO. </w:t>
      </w:r>
      <w:r>
        <w:rPr>
          <w:rFonts w:ascii="Verdana" w:eastAsia="Verdana" w:hAnsi="Verdana" w:cs="Verdana"/>
        </w:rPr>
        <w:t xml:space="preserve">PUBLICACIÓN. El presente acto administrativo será publicado en la página web del Instituto Colombiano de Bienestar Familiar </w:t>
      </w:r>
      <w:r>
        <w:rPr>
          <w:rFonts w:ascii="Verdana" w:eastAsia="Verdana" w:hAnsi="Verdana" w:cs="Verdana"/>
          <w:u w:val="single"/>
        </w:rPr>
        <w:t>(</w:t>
      </w:r>
      <w:r>
        <w:rPr>
          <w:rFonts w:ascii="Verdana" w:eastAsia="Verdana" w:hAnsi="Verdana" w:cs="Verdana"/>
        </w:rPr>
        <w:t>www.icbf.qov.co</w:t>
      </w:r>
      <w:r>
        <w:rPr>
          <w:rFonts w:ascii="Verdana" w:eastAsia="Verdana" w:hAnsi="Verdana" w:cs="Verdana"/>
          <w:u w:val="single"/>
        </w:rPr>
        <w:t>)</w:t>
      </w:r>
    </w:p>
    <w:p w14:paraId="00000053" w14:textId="69433815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DÉCIMO PRIMERO.</w:t>
      </w:r>
      <w:r>
        <w:rPr>
          <w:rFonts w:ascii="Verdana" w:eastAsia="Verdana" w:hAnsi="Verdana" w:cs="Verdana"/>
        </w:rPr>
        <w:t xml:space="preserve"> VIGENCIA. La presente resolución rige a partir de la fecha de su publicación y deroga los artículos 1 al 8 de la Resolución 7666 de 2016, los artículos 7 al 12 de la Resolución 7070 de 2017, así como las demás disposiciones que le sean contrarias.</w:t>
      </w:r>
    </w:p>
    <w:p w14:paraId="00000054" w14:textId="4437ED29" w:rsidR="0024035C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PARÁGRAFO ÚNICO.</w:t>
      </w:r>
      <w:r>
        <w:rPr>
          <w:rFonts w:ascii="Verdana" w:eastAsia="Verdana" w:hAnsi="Verdana" w:cs="Verdana"/>
        </w:rPr>
        <w:t xml:space="preserve"> Los artículos restantes de la Resolución No. 7070 de 2017 continuarán vigentes por un término de diez (10) meses contados a partir de la expedición de la presente resolución, mientras se culmina la implementación del Modelo Integrado de Planeación y Gestión luego de lo cual se entenderán derogados automáticamente.</w:t>
      </w:r>
    </w:p>
    <w:p w14:paraId="00000055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PUBLÍQUESE Y CÚMPLASE</w:t>
      </w:r>
    </w:p>
    <w:p w14:paraId="00000056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Dada en Bogotá D.C. a los 7 días de junio de 2018</w:t>
      </w:r>
    </w:p>
    <w:p w14:paraId="00000057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KAREN ABUDINEN ABUCHAIBE</w:t>
      </w:r>
    </w:p>
    <w:p w14:paraId="00000058" w14:textId="77777777" w:rsidR="0024035C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DIRECTORA GENERAL</w:t>
      </w:r>
    </w:p>
    <w:p w14:paraId="00000059" w14:textId="77777777" w:rsidR="0024035C" w:rsidRDefault="0024035C">
      <w:pPr>
        <w:rPr>
          <w:rFonts w:ascii="Verdana" w:eastAsia="Verdana" w:hAnsi="Verdana" w:cs="Verdana"/>
        </w:rPr>
      </w:pPr>
    </w:p>
    <w:p w14:paraId="0000005A" w14:textId="77777777" w:rsidR="0024035C" w:rsidRDefault="0024035C">
      <w:pPr>
        <w:rPr>
          <w:rFonts w:ascii="Verdana" w:eastAsia="Verdana" w:hAnsi="Verdana" w:cs="Verdana"/>
        </w:rPr>
      </w:pPr>
    </w:p>
    <w:sectPr w:rsidR="0024035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17579E5D-6064-46E6-9B1F-B582823E9C19}"/>
    <w:embedBold r:id="rId2" w:fontKey="{9F23B86D-8EA6-4706-9076-733A1500F0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8F990A0-6BE6-4607-939F-619D302310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E161EA4-ED55-4BC5-8442-A73421406C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35C"/>
    <w:rsid w:val="000F784F"/>
    <w:rsid w:val="0024035C"/>
    <w:rsid w:val="00AE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89A44-18DE-40AA-8943-FFA55231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6BA70C-750E-4572-9023-9D440D2002DF}"/>
</file>

<file path=customXml/itemProps2.xml><?xml version="1.0" encoding="utf-8"?>
<ds:datastoreItem xmlns:ds="http://schemas.openxmlformats.org/officeDocument/2006/customXml" ds:itemID="{46753DB1-17F4-41C6-B0DD-80ADA128B86D}"/>
</file>

<file path=customXml/itemProps3.xml><?xml version="1.0" encoding="utf-8"?>
<ds:datastoreItem xmlns:ds="http://schemas.openxmlformats.org/officeDocument/2006/customXml" ds:itemID="{65E8DC20-0743-4EEF-94DB-18EB06165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2363</Words>
  <Characters>12705</Characters>
  <Application>Microsoft Office Word</Application>
  <DocSecurity>0</DocSecurity>
  <Lines>249</Lines>
  <Paragraphs>85</Paragraphs>
  <ScaleCrop>false</ScaleCrop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Eduardo Lozano Bocanegra</cp:lastModifiedBy>
  <cp:revision>3</cp:revision>
  <dcterms:created xsi:type="dcterms:W3CDTF">2026-03-02T15:32:00Z</dcterms:created>
  <dcterms:modified xsi:type="dcterms:W3CDTF">2026-03-02T15:33:00Z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